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A8EE" w14:textId="77777777" w:rsidR="005075AA" w:rsidRPr="006F5136" w:rsidRDefault="005075AA" w:rsidP="005E4694">
      <w:pPr>
        <w:spacing w:after="0" w:line="240" w:lineRule="auto"/>
        <w:jc w:val="center"/>
        <w:rPr>
          <w:rFonts w:ascii="Times New Roman" w:hAnsi="Times New Roman" w:cs="Times New Roman"/>
          <w:b/>
          <w:sz w:val="18"/>
          <w:szCs w:val="18"/>
          <w:lang w:val="ro-RO"/>
        </w:rPr>
      </w:pPr>
      <w:r w:rsidRPr="006F5136">
        <w:rPr>
          <w:rFonts w:ascii="Times New Roman" w:hAnsi="Times New Roman" w:cs="Times New Roman"/>
          <w:b/>
          <w:sz w:val="18"/>
          <w:szCs w:val="18"/>
          <w:lang w:val="ro-RO"/>
        </w:rPr>
        <w:t>Tabel de concordanță</w:t>
      </w:r>
    </w:p>
    <w:p w14:paraId="0DFDFD6C" w14:textId="5C9A77C6" w:rsidR="00806499" w:rsidRPr="006F5136" w:rsidRDefault="00806499" w:rsidP="005E4694">
      <w:pPr>
        <w:tabs>
          <w:tab w:val="left" w:pos="284"/>
        </w:tabs>
        <w:spacing w:after="0" w:line="240" w:lineRule="auto"/>
        <w:jc w:val="center"/>
        <w:rPr>
          <w:rFonts w:ascii="Times New Roman" w:hAnsi="Times New Roman" w:cs="Times New Roman"/>
          <w:b/>
          <w:i/>
          <w:sz w:val="18"/>
          <w:szCs w:val="18"/>
          <w:lang w:val="ro-RO"/>
        </w:rPr>
      </w:pPr>
    </w:p>
    <w:tbl>
      <w:tblPr>
        <w:tblW w:w="5491" w:type="pct"/>
        <w:jc w:val="center"/>
        <w:tblCellMar>
          <w:top w:w="15" w:type="dxa"/>
          <w:left w:w="15" w:type="dxa"/>
          <w:bottom w:w="15" w:type="dxa"/>
          <w:right w:w="15" w:type="dxa"/>
        </w:tblCellMar>
        <w:tblLook w:val="04A0" w:firstRow="1" w:lastRow="0" w:firstColumn="1" w:lastColumn="0" w:noHBand="0" w:noVBand="1"/>
      </w:tblPr>
      <w:tblGrid>
        <w:gridCol w:w="274"/>
        <w:gridCol w:w="14613"/>
      </w:tblGrid>
      <w:tr w:rsidR="000A7960" w:rsidRPr="006F5136" w14:paraId="5B963094" w14:textId="77777777" w:rsidTr="000A7960">
        <w:trPr>
          <w:jc w:val="center"/>
        </w:trPr>
        <w:tc>
          <w:tcPr>
            <w:tcW w:w="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64642" w14:textId="7E080D62" w:rsidR="000A7960" w:rsidRPr="006F5136" w:rsidRDefault="000A7960" w:rsidP="005E4694">
            <w:pPr>
              <w:spacing w:after="0" w:line="240" w:lineRule="auto"/>
              <w:jc w:val="both"/>
              <w:rPr>
                <w:rFonts w:ascii="Times New Roman" w:eastAsia="Times New Roman" w:hAnsi="Times New Roman" w:cs="Times New Roman"/>
                <w:b/>
                <w:sz w:val="18"/>
                <w:szCs w:val="18"/>
                <w:lang w:val="ro-RO"/>
              </w:rPr>
            </w:pPr>
            <w:r w:rsidRPr="006F5136">
              <w:rPr>
                <w:rFonts w:ascii="Times New Roman" w:eastAsia="Times New Roman" w:hAnsi="Times New Roman" w:cs="Times New Roman"/>
                <w:b/>
                <w:sz w:val="18"/>
                <w:szCs w:val="18"/>
                <w:lang w:val="ro-RO"/>
              </w:rPr>
              <w:t xml:space="preserve">1. </w:t>
            </w:r>
          </w:p>
        </w:tc>
        <w:tc>
          <w:tcPr>
            <w:tcW w:w="4908" w:type="pct"/>
            <w:tcBorders>
              <w:top w:val="single" w:sz="6" w:space="0" w:color="000000"/>
              <w:left w:val="single" w:sz="6" w:space="0" w:color="000000"/>
              <w:bottom w:val="single" w:sz="6" w:space="0" w:color="000000"/>
              <w:right w:val="single" w:sz="6" w:space="0" w:color="000000"/>
            </w:tcBorders>
          </w:tcPr>
          <w:p w14:paraId="003064C3" w14:textId="15F663DD" w:rsidR="000A7960" w:rsidRPr="006F5136" w:rsidRDefault="000A7960" w:rsidP="005E4694">
            <w:pPr>
              <w:spacing w:after="0" w:line="240" w:lineRule="auto"/>
              <w:jc w:val="both"/>
              <w:rPr>
                <w:rFonts w:ascii="Times New Roman" w:eastAsia="Times New Roman" w:hAnsi="Times New Roman" w:cs="Times New Roman"/>
                <w:sz w:val="18"/>
                <w:szCs w:val="18"/>
                <w:lang w:val="ro-RO"/>
              </w:rPr>
            </w:pPr>
            <w:r w:rsidRPr="00681E21">
              <w:rPr>
                <w:rFonts w:ascii="Times New Roman" w:hAnsi="Times New Roman" w:cs="Times New Roman"/>
                <w:b/>
                <w:sz w:val="18"/>
                <w:szCs w:val="18"/>
                <w:lang w:val="ro-RO"/>
              </w:rPr>
              <w:t>Regulamentul nr. 575/2013 al Parlamentului European și al Consiliului din 26 iunie 2013 privind cerințele prudențiale pentru instituțiile de credit și de modificare a Regulamentului (UE) nr. 648/2012, publicat ]n Jurnalul Oficial al Uniunii Europene nr. L 176 din 27 iunie 2013, astfel cum a fost modificat ultima dată prin Regulamentul (UE) 2024/1623 al Parlamentului European și al Consiliului din 31 mai 2024</w:t>
            </w:r>
            <w:r w:rsidRPr="006F5136">
              <w:rPr>
                <w:rFonts w:ascii="Times New Roman" w:hAnsi="Times New Roman" w:cs="Times New Roman"/>
                <w:bCs/>
                <w:sz w:val="18"/>
                <w:szCs w:val="18"/>
                <w:lang w:val="ro-RO"/>
              </w:rPr>
              <w:t xml:space="preserve"> (Nr.CELEX: 32013R0575)</w:t>
            </w:r>
          </w:p>
        </w:tc>
      </w:tr>
      <w:tr w:rsidR="000A7960" w:rsidRPr="006F5136" w14:paraId="29720692" w14:textId="77777777" w:rsidTr="000A7960">
        <w:trPr>
          <w:jc w:val="center"/>
        </w:trPr>
        <w:tc>
          <w:tcPr>
            <w:tcW w:w="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BE94D" w14:textId="4BACC6FF" w:rsidR="000A7960" w:rsidRPr="006F5136" w:rsidRDefault="000A7960" w:rsidP="005E4694">
            <w:pPr>
              <w:tabs>
                <w:tab w:val="left" w:pos="5088"/>
              </w:tabs>
              <w:spacing w:after="0" w:line="240" w:lineRule="auto"/>
              <w:jc w:val="both"/>
              <w:rPr>
                <w:rFonts w:ascii="Times New Roman" w:eastAsia="Times New Roman" w:hAnsi="Times New Roman" w:cs="Times New Roman"/>
                <w:b/>
                <w:sz w:val="18"/>
                <w:szCs w:val="18"/>
                <w:lang w:val="ro-RO"/>
              </w:rPr>
            </w:pPr>
            <w:r w:rsidRPr="006F5136">
              <w:rPr>
                <w:rFonts w:ascii="Times New Roman" w:eastAsia="Times New Roman" w:hAnsi="Times New Roman" w:cs="Times New Roman"/>
                <w:b/>
                <w:sz w:val="18"/>
                <w:szCs w:val="18"/>
                <w:lang w:val="ro-RO"/>
              </w:rPr>
              <w:t xml:space="preserve">2. </w:t>
            </w:r>
          </w:p>
        </w:tc>
        <w:tc>
          <w:tcPr>
            <w:tcW w:w="4908" w:type="pct"/>
            <w:tcBorders>
              <w:top w:val="single" w:sz="6" w:space="0" w:color="000000"/>
              <w:left w:val="single" w:sz="6" w:space="0" w:color="000000"/>
              <w:bottom w:val="single" w:sz="6" w:space="0" w:color="000000"/>
              <w:right w:val="single" w:sz="6" w:space="0" w:color="000000"/>
            </w:tcBorders>
          </w:tcPr>
          <w:p w14:paraId="5C184092" w14:textId="01D4E2DB" w:rsidR="000A7960" w:rsidRPr="006F5136" w:rsidRDefault="000A7960" w:rsidP="005E4694">
            <w:pPr>
              <w:tabs>
                <w:tab w:val="left" w:pos="5088"/>
              </w:tabs>
              <w:spacing w:after="0" w:line="240" w:lineRule="auto"/>
              <w:jc w:val="both"/>
              <w:rPr>
                <w:rFonts w:ascii="Times New Roman" w:eastAsia="Times New Roman" w:hAnsi="Times New Roman" w:cs="Times New Roman"/>
                <w:b/>
                <w:sz w:val="18"/>
                <w:szCs w:val="18"/>
                <w:lang w:val="ro-RO"/>
              </w:rPr>
            </w:pPr>
            <w:r w:rsidRPr="006F5136">
              <w:rPr>
                <w:rFonts w:ascii="Times New Roman" w:eastAsia="Times New Roman" w:hAnsi="Times New Roman" w:cs="Times New Roman"/>
                <w:b/>
                <w:sz w:val="18"/>
                <w:szCs w:val="18"/>
                <w:lang w:val="ro-RO"/>
              </w:rPr>
              <w:t xml:space="preserve">Proiectul Hotărârii Comitetului executiv al Băncii Naționale a Moldovei pentru modificarea Regulamentului cu privire </w:t>
            </w:r>
            <w:r w:rsidR="00940700" w:rsidRPr="006F5136">
              <w:rPr>
                <w:rFonts w:ascii="Times New Roman" w:eastAsia="Times New Roman" w:hAnsi="Times New Roman" w:cs="Times New Roman"/>
                <w:b/>
                <w:sz w:val="18"/>
                <w:szCs w:val="18"/>
                <w:lang w:val="ro-RO"/>
              </w:rPr>
              <w:t>la tratamentul riscului de credit pentru bănci potrivit abordării standardizate</w:t>
            </w:r>
            <w:r w:rsidRPr="006F5136">
              <w:rPr>
                <w:rFonts w:ascii="Times New Roman" w:eastAsia="Times New Roman" w:hAnsi="Times New Roman" w:cs="Times New Roman"/>
                <w:b/>
                <w:sz w:val="18"/>
                <w:szCs w:val="18"/>
                <w:lang w:val="ro-RO"/>
              </w:rPr>
              <w:t>, aprobat prin Hotărârea Comitetului executiv al Băncii Naționale a Moldovei nr.111/2018</w:t>
            </w:r>
          </w:p>
        </w:tc>
      </w:tr>
      <w:tr w:rsidR="000A7960" w:rsidRPr="006F5136" w14:paraId="6F42979A" w14:textId="77777777" w:rsidTr="000A7960">
        <w:trPr>
          <w:jc w:val="center"/>
        </w:trPr>
        <w:tc>
          <w:tcPr>
            <w:tcW w:w="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E59F72" w14:textId="1CCC8263" w:rsidR="000A7960" w:rsidRPr="006F5136" w:rsidRDefault="000A7960" w:rsidP="005E4694">
            <w:pPr>
              <w:tabs>
                <w:tab w:val="left" w:pos="5088"/>
              </w:tabs>
              <w:spacing w:after="0" w:line="240" w:lineRule="auto"/>
              <w:jc w:val="both"/>
              <w:rPr>
                <w:rFonts w:ascii="Times New Roman" w:eastAsia="Times New Roman" w:hAnsi="Times New Roman" w:cs="Times New Roman"/>
                <w:b/>
                <w:sz w:val="18"/>
                <w:szCs w:val="18"/>
                <w:lang w:val="ro-RO"/>
              </w:rPr>
            </w:pPr>
            <w:r w:rsidRPr="006F5136">
              <w:rPr>
                <w:rFonts w:ascii="Times New Roman" w:eastAsia="Times New Roman" w:hAnsi="Times New Roman" w:cs="Times New Roman"/>
                <w:b/>
                <w:sz w:val="18"/>
                <w:szCs w:val="18"/>
                <w:lang w:val="ro-RO"/>
              </w:rPr>
              <w:t>3.</w:t>
            </w:r>
          </w:p>
        </w:tc>
        <w:tc>
          <w:tcPr>
            <w:tcW w:w="4908" w:type="pct"/>
            <w:tcBorders>
              <w:top w:val="single" w:sz="6" w:space="0" w:color="000000"/>
              <w:left w:val="single" w:sz="6" w:space="0" w:color="000000"/>
              <w:bottom w:val="single" w:sz="6" w:space="0" w:color="000000"/>
              <w:right w:val="single" w:sz="6" w:space="0" w:color="000000"/>
            </w:tcBorders>
          </w:tcPr>
          <w:p w14:paraId="1522B33B" w14:textId="10B82A2B" w:rsidR="000A7960" w:rsidRPr="006F5136" w:rsidRDefault="000A7960" w:rsidP="005E4694">
            <w:pPr>
              <w:tabs>
                <w:tab w:val="left" w:pos="5088"/>
              </w:tabs>
              <w:spacing w:after="0" w:line="240" w:lineRule="auto"/>
              <w:jc w:val="both"/>
              <w:rPr>
                <w:rFonts w:ascii="Times New Roman" w:eastAsia="Times New Roman" w:hAnsi="Times New Roman" w:cs="Times New Roman"/>
                <w:b/>
                <w:sz w:val="18"/>
                <w:szCs w:val="18"/>
                <w:lang w:val="ro-RO"/>
              </w:rPr>
            </w:pPr>
            <w:r w:rsidRPr="006F5136">
              <w:rPr>
                <w:rFonts w:ascii="Times New Roman" w:eastAsia="Times New Roman" w:hAnsi="Times New Roman" w:cs="Times New Roman"/>
                <w:b/>
                <w:sz w:val="18"/>
                <w:szCs w:val="18"/>
                <w:lang w:val="ro-RO"/>
              </w:rPr>
              <w:t xml:space="preserve">Parțial </w:t>
            </w:r>
            <w:r w:rsidR="00031BE8">
              <w:rPr>
                <w:rFonts w:ascii="Times New Roman" w:eastAsia="Times New Roman" w:hAnsi="Times New Roman" w:cs="Times New Roman"/>
                <w:b/>
                <w:bCs/>
                <w:sz w:val="18"/>
                <w:szCs w:val="18"/>
                <w:lang w:val="ro-RO"/>
              </w:rPr>
              <w:t>c</w:t>
            </w:r>
            <w:r w:rsidRPr="006F5136">
              <w:rPr>
                <w:rFonts w:ascii="Times New Roman" w:eastAsia="Times New Roman" w:hAnsi="Times New Roman" w:cs="Times New Roman"/>
                <w:b/>
                <w:bCs/>
                <w:sz w:val="18"/>
                <w:szCs w:val="18"/>
                <w:lang w:val="ro-RO"/>
              </w:rPr>
              <w:t>ompatibil</w:t>
            </w:r>
          </w:p>
        </w:tc>
      </w:tr>
      <w:tr w:rsidR="000A7960" w:rsidRPr="006F5136" w14:paraId="2CA0FF56" w14:textId="77777777" w:rsidTr="000A7960">
        <w:trPr>
          <w:jc w:val="center"/>
        </w:trPr>
        <w:tc>
          <w:tcPr>
            <w:tcW w:w="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69960C" w14:textId="58228229" w:rsidR="000A7960" w:rsidRPr="006F5136" w:rsidRDefault="000A7960" w:rsidP="005E4694">
            <w:pPr>
              <w:tabs>
                <w:tab w:val="left" w:pos="5088"/>
              </w:tabs>
              <w:spacing w:after="0" w:line="240" w:lineRule="auto"/>
              <w:jc w:val="both"/>
              <w:rPr>
                <w:rFonts w:ascii="Times New Roman" w:eastAsia="Times New Roman" w:hAnsi="Times New Roman" w:cs="Times New Roman"/>
                <w:b/>
                <w:sz w:val="18"/>
                <w:szCs w:val="18"/>
                <w:lang w:val="ro-RO"/>
              </w:rPr>
            </w:pPr>
            <w:r w:rsidRPr="006F5136">
              <w:rPr>
                <w:rFonts w:ascii="Times New Roman" w:eastAsia="Times New Roman" w:hAnsi="Times New Roman" w:cs="Times New Roman"/>
                <w:b/>
                <w:sz w:val="18"/>
                <w:szCs w:val="18"/>
                <w:lang w:val="ro-RO"/>
              </w:rPr>
              <w:t>4.</w:t>
            </w:r>
          </w:p>
        </w:tc>
        <w:tc>
          <w:tcPr>
            <w:tcW w:w="4908" w:type="pct"/>
            <w:tcBorders>
              <w:top w:val="single" w:sz="6" w:space="0" w:color="000000"/>
              <w:left w:val="single" w:sz="6" w:space="0" w:color="000000"/>
              <w:bottom w:val="single" w:sz="6" w:space="0" w:color="000000"/>
              <w:right w:val="single" w:sz="6" w:space="0" w:color="000000"/>
            </w:tcBorders>
          </w:tcPr>
          <w:p w14:paraId="58AE2A7E" w14:textId="7C425219" w:rsidR="000A7960" w:rsidRPr="006F5136" w:rsidRDefault="000A7960" w:rsidP="005E4694">
            <w:pPr>
              <w:tabs>
                <w:tab w:val="left" w:pos="5088"/>
              </w:tabs>
              <w:spacing w:after="0" w:line="240" w:lineRule="auto"/>
              <w:jc w:val="both"/>
              <w:rPr>
                <w:rFonts w:ascii="Times New Roman" w:eastAsia="Times New Roman" w:hAnsi="Times New Roman" w:cs="Times New Roman"/>
                <w:b/>
                <w:sz w:val="18"/>
                <w:szCs w:val="18"/>
                <w:lang w:val="ro-RO"/>
              </w:rPr>
            </w:pPr>
            <w:r w:rsidRPr="006F5136">
              <w:rPr>
                <w:rFonts w:ascii="Times New Roman" w:eastAsia="Times New Roman" w:hAnsi="Times New Roman" w:cs="Times New Roman"/>
                <w:b/>
                <w:sz w:val="18"/>
                <w:szCs w:val="18"/>
                <w:lang w:val="ro-RO"/>
              </w:rPr>
              <w:t>Banca Națională a Moldovei</w:t>
            </w:r>
          </w:p>
        </w:tc>
      </w:tr>
      <w:tr w:rsidR="000A7960" w:rsidRPr="006F5136" w14:paraId="6CB69472" w14:textId="77777777" w:rsidTr="000A7960">
        <w:trPr>
          <w:trHeight w:val="163"/>
          <w:jc w:val="center"/>
        </w:trPr>
        <w:tc>
          <w:tcPr>
            <w:tcW w:w="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07078B" w14:textId="3ABD76ED" w:rsidR="000A7960" w:rsidRPr="006F5136" w:rsidRDefault="000A7960" w:rsidP="005E4694">
            <w:pPr>
              <w:tabs>
                <w:tab w:val="left" w:pos="5088"/>
              </w:tabs>
              <w:spacing w:after="0" w:line="240" w:lineRule="auto"/>
              <w:jc w:val="both"/>
              <w:rPr>
                <w:rFonts w:ascii="Times New Roman" w:eastAsia="Times New Roman" w:hAnsi="Times New Roman" w:cs="Times New Roman"/>
                <w:b/>
                <w:sz w:val="18"/>
                <w:szCs w:val="18"/>
                <w:lang w:val="ro-RO"/>
              </w:rPr>
            </w:pPr>
            <w:r w:rsidRPr="006F5136">
              <w:rPr>
                <w:rFonts w:ascii="Times New Roman" w:eastAsia="Times New Roman" w:hAnsi="Times New Roman" w:cs="Times New Roman"/>
                <w:b/>
                <w:sz w:val="18"/>
                <w:szCs w:val="18"/>
                <w:lang w:val="ro-RO"/>
              </w:rPr>
              <w:t>5.</w:t>
            </w:r>
          </w:p>
        </w:tc>
        <w:tc>
          <w:tcPr>
            <w:tcW w:w="4908" w:type="pct"/>
            <w:tcBorders>
              <w:top w:val="single" w:sz="6" w:space="0" w:color="000000"/>
              <w:left w:val="single" w:sz="6" w:space="0" w:color="000000"/>
              <w:bottom w:val="single" w:sz="6" w:space="0" w:color="000000"/>
              <w:right w:val="single" w:sz="6" w:space="0" w:color="000000"/>
            </w:tcBorders>
          </w:tcPr>
          <w:p w14:paraId="66B945C5" w14:textId="417C6C13" w:rsidR="000A7960" w:rsidRPr="006F5136" w:rsidRDefault="001B309F" w:rsidP="005E4694">
            <w:pPr>
              <w:tabs>
                <w:tab w:val="left" w:pos="5088"/>
              </w:tabs>
              <w:spacing w:after="0" w:line="240" w:lineRule="auto"/>
              <w:jc w:val="both"/>
              <w:rPr>
                <w:rFonts w:ascii="Times New Roman" w:eastAsia="Times New Roman" w:hAnsi="Times New Roman" w:cs="Times New Roman"/>
                <w:b/>
                <w:sz w:val="18"/>
                <w:szCs w:val="18"/>
                <w:lang w:val="ro-RO"/>
              </w:rPr>
            </w:pPr>
            <w:r>
              <w:rPr>
                <w:rFonts w:ascii="Times New Roman" w:eastAsia="Times New Roman" w:hAnsi="Times New Roman" w:cs="Times New Roman"/>
                <w:b/>
                <w:sz w:val="18"/>
                <w:szCs w:val="18"/>
                <w:lang w:val="ro-RO"/>
              </w:rPr>
              <w:t>Octombrie 2025</w:t>
            </w:r>
          </w:p>
        </w:tc>
      </w:tr>
    </w:tbl>
    <w:p w14:paraId="23C290DE" w14:textId="77777777" w:rsidR="005075AA" w:rsidRPr="006F5136" w:rsidRDefault="005075AA" w:rsidP="005E4694">
      <w:pPr>
        <w:spacing w:after="0" w:line="240" w:lineRule="auto"/>
        <w:jc w:val="both"/>
        <w:rPr>
          <w:rFonts w:ascii="Times New Roman" w:hAnsi="Times New Roman" w:cs="Times New Roman"/>
          <w:sz w:val="18"/>
          <w:szCs w:val="18"/>
          <w:lang w:val="ro-RO"/>
        </w:rPr>
      </w:pPr>
    </w:p>
    <w:tbl>
      <w:tblPr>
        <w:tblW w:w="5436" w:type="pct"/>
        <w:tblInd w:w="-576" w:type="dxa"/>
        <w:tblLayout w:type="fixed"/>
        <w:tblLook w:val="01E0" w:firstRow="1" w:lastRow="1" w:firstColumn="1" w:lastColumn="1" w:noHBand="0" w:noVBand="0"/>
      </w:tblPr>
      <w:tblGrid>
        <w:gridCol w:w="5675"/>
        <w:gridCol w:w="4898"/>
        <w:gridCol w:w="1483"/>
        <w:gridCol w:w="2689"/>
      </w:tblGrid>
      <w:tr w:rsidR="00BB2F88" w:rsidRPr="006F5136" w14:paraId="52B96B74" w14:textId="77777777" w:rsidTr="0006443F">
        <w:trPr>
          <w:trHeight w:val="653"/>
          <w:tblHeader/>
        </w:trPr>
        <w:tc>
          <w:tcPr>
            <w:tcW w:w="1924" w:type="pct"/>
            <w:tcBorders>
              <w:top w:val="single" w:sz="4" w:space="0" w:color="auto"/>
              <w:left w:val="single" w:sz="4" w:space="0" w:color="auto"/>
              <w:bottom w:val="single" w:sz="4" w:space="0" w:color="auto"/>
              <w:right w:val="single" w:sz="4" w:space="0" w:color="auto"/>
            </w:tcBorders>
            <w:vAlign w:val="center"/>
          </w:tcPr>
          <w:p w14:paraId="7A3C6C63" w14:textId="210E2636" w:rsidR="00395381" w:rsidRPr="006F5136" w:rsidRDefault="008E76CD" w:rsidP="005E4694">
            <w:pPr>
              <w:spacing w:after="0" w:line="240" w:lineRule="auto"/>
              <w:jc w:val="center"/>
              <w:rPr>
                <w:rFonts w:ascii="Times New Roman" w:hAnsi="Times New Roman" w:cs="Times New Roman"/>
                <w:b/>
                <w:sz w:val="18"/>
                <w:szCs w:val="18"/>
                <w:lang w:val="ro-RO"/>
              </w:rPr>
            </w:pPr>
            <w:r w:rsidRPr="006F5136">
              <w:rPr>
                <w:rFonts w:ascii="Times New Roman" w:eastAsia="Times New Roman" w:hAnsi="Times New Roman" w:cs="Times New Roman"/>
                <w:b/>
                <w:sz w:val="18"/>
                <w:szCs w:val="18"/>
                <w:lang w:val="ro-RO"/>
              </w:rPr>
              <w:t xml:space="preserve">6. </w:t>
            </w:r>
            <w:r w:rsidR="00395381" w:rsidRPr="006F5136">
              <w:rPr>
                <w:rFonts w:ascii="Times New Roman" w:eastAsia="Times New Roman" w:hAnsi="Times New Roman" w:cs="Times New Roman"/>
                <w:b/>
                <w:sz w:val="18"/>
                <w:szCs w:val="18"/>
                <w:lang w:val="ro-RO"/>
              </w:rPr>
              <w:t>Actul Uniunii Europene</w:t>
            </w:r>
          </w:p>
        </w:tc>
        <w:tc>
          <w:tcPr>
            <w:tcW w:w="1661" w:type="pct"/>
            <w:tcBorders>
              <w:top w:val="single" w:sz="4" w:space="0" w:color="auto"/>
              <w:left w:val="single" w:sz="4" w:space="0" w:color="auto"/>
              <w:bottom w:val="single" w:sz="4" w:space="0" w:color="auto"/>
              <w:right w:val="single" w:sz="4" w:space="0" w:color="auto"/>
            </w:tcBorders>
            <w:vAlign w:val="center"/>
          </w:tcPr>
          <w:p w14:paraId="7B1706B3" w14:textId="24EC03AE" w:rsidR="00395381" w:rsidRPr="006F5136" w:rsidRDefault="008E76CD" w:rsidP="005E4694">
            <w:pPr>
              <w:spacing w:after="0" w:line="240" w:lineRule="auto"/>
              <w:jc w:val="center"/>
              <w:rPr>
                <w:rFonts w:ascii="Times New Roman" w:hAnsi="Times New Roman" w:cs="Times New Roman"/>
                <w:b/>
                <w:sz w:val="18"/>
                <w:szCs w:val="18"/>
                <w:lang w:val="ro-RO"/>
              </w:rPr>
            </w:pPr>
            <w:r w:rsidRPr="006F5136">
              <w:rPr>
                <w:rFonts w:ascii="Times New Roman" w:eastAsia="Times New Roman" w:hAnsi="Times New Roman" w:cs="Times New Roman"/>
                <w:b/>
                <w:sz w:val="18"/>
                <w:szCs w:val="18"/>
                <w:lang w:val="ro-RO"/>
              </w:rPr>
              <w:t xml:space="preserve">7. </w:t>
            </w:r>
            <w:r w:rsidR="00395381" w:rsidRPr="006F5136">
              <w:rPr>
                <w:rFonts w:ascii="Times New Roman" w:eastAsia="Times New Roman" w:hAnsi="Times New Roman" w:cs="Times New Roman"/>
                <w:b/>
                <w:sz w:val="18"/>
                <w:szCs w:val="18"/>
                <w:lang w:val="ro-RO"/>
              </w:rPr>
              <w:t>Proiectul de act normativ naţional</w:t>
            </w:r>
          </w:p>
        </w:tc>
        <w:tc>
          <w:tcPr>
            <w:tcW w:w="503" w:type="pct"/>
            <w:tcBorders>
              <w:top w:val="single" w:sz="4" w:space="0" w:color="auto"/>
              <w:left w:val="single" w:sz="4" w:space="0" w:color="auto"/>
              <w:bottom w:val="single" w:sz="4" w:space="0" w:color="auto"/>
              <w:right w:val="single" w:sz="4" w:space="0" w:color="auto"/>
            </w:tcBorders>
            <w:vAlign w:val="center"/>
          </w:tcPr>
          <w:p w14:paraId="3D69013B" w14:textId="38B636C4" w:rsidR="001F41B3" w:rsidRPr="006F5136" w:rsidRDefault="008E76CD" w:rsidP="005E4694">
            <w:pPr>
              <w:spacing w:after="0" w:line="240" w:lineRule="auto"/>
              <w:jc w:val="center"/>
              <w:rPr>
                <w:rFonts w:ascii="Times New Roman" w:eastAsia="Times New Roman" w:hAnsi="Times New Roman" w:cs="Times New Roman"/>
                <w:b/>
                <w:sz w:val="18"/>
                <w:szCs w:val="18"/>
                <w:lang w:val="ro-RO"/>
              </w:rPr>
            </w:pPr>
            <w:r w:rsidRPr="006F5136">
              <w:rPr>
                <w:rFonts w:ascii="Times New Roman" w:eastAsia="Times New Roman" w:hAnsi="Times New Roman" w:cs="Times New Roman"/>
                <w:b/>
                <w:sz w:val="18"/>
                <w:szCs w:val="18"/>
                <w:lang w:val="ro-RO"/>
              </w:rPr>
              <w:t xml:space="preserve">8. </w:t>
            </w:r>
            <w:r w:rsidR="00395381" w:rsidRPr="006F5136">
              <w:rPr>
                <w:rFonts w:ascii="Times New Roman" w:eastAsia="Times New Roman" w:hAnsi="Times New Roman" w:cs="Times New Roman"/>
                <w:b/>
                <w:sz w:val="18"/>
                <w:szCs w:val="18"/>
                <w:lang w:val="ro-RO"/>
              </w:rPr>
              <w:t>Gradul de compatibilitate</w:t>
            </w:r>
          </w:p>
        </w:tc>
        <w:tc>
          <w:tcPr>
            <w:tcW w:w="912" w:type="pct"/>
            <w:tcBorders>
              <w:top w:val="single" w:sz="4" w:space="0" w:color="auto"/>
              <w:left w:val="single" w:sz="4" w:space="0" w:color="auto"/>
              <w:bottom w:val="single" w:sz="4" w:space="0" w:color="auto"/>
              <w:right w:val="single" w:sz="4" w:space="0" w:color="auto"/>
            </w:tcBorders>
            <w:vAlign w:val="center"/>
          </w:tcPr>
          <w:p w14:paraId="0061062F" w14:textId="4DBB8BE6" w:rsidR="00395381" w:rsidRPr="006F5136" w:rsidRDefault="00395381" w:rsidP="005E4694">
            <w:pPr>
              <w:spacing w:after="0" w:line="240" w:lineRule="auto"/>
              <w:rPr>
                <w:rFonts w:ascii="Times New Roman" w:hAnsi="Times New Roman" w:cs="Times New Roman"/>
                <w:sz w:val="18"/>
                <w:szCs w:val="18"/>
                <w:lang w:val="ro-RO"/>
              </w:rPr>
            </w:pPr>
            <w:r w:rsidRPr="006F5136">
              <w:rPr>
                <w:rFonts w:ascii="Times New Roman" w:eastAsia="Times New Roman" w:hAnsi="Times New Roman" w:cs="Times New Roman"/>
                <w:b/>
                <w:sz w:val="18"/>
                <w:szCs w:val="18"/>
                <w:lang w:val="ro-RO"/>
              </w:rPr>
              <w:t xml:space="preserve"> </w:t>
            </w:r>
            <w:r w:rsidR="008E76CD" w:rsidRPr="006F5136">
              <w:rPr>
                <w:rFonts w:ascii="Times New Roman" w:eastAsia="Times New Roman" w:hAnsi="Times New Roman" w:cs="Times New Roman"/>
                <w:b/>
                <w:sz w:val="18"/>
                <w:szCs w:val="18"/>
                <w:lang w:val="ro-RO"/>
              </w:rPr>
              <w:t xml:space="preserve">9. </w:t>
            </w:r>
            <w:r w:rsidRPr="006F5136">
              <w:rPr>
                <w:rFonts w:ascii="Times New Roman" w:eastAsia="Times New Roman" w:hAnsi="Times New Roman" w:cs="Times New Roman"/>
                <w:b/>
                <w:sz w:val="18"/>
                <w:szCs w:val="18"/>
                <w:lang w:val="ro-RO"/>
              </w:rPr>
              <w:t>Observații</w:t>
            </w:r>
          </w:p>
        </w:tc>
      </w:tr>
      <w:tr w:rsidR="00951A05" w:rsidRPr="006F5136" w14:paraId="56753A0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2955A6FA" w14:textId="76B050E9" w:rsidR="00951A05" w:rsidRPr="006F5136" w:rsidRDefault="00951A05" w:rsidP="005E4694">
            <w:pPr>
              <w:spacing w:after="0" w:line="240" w:lineRule="auto"/>
              <w:rPr>
                <w:rFonts w:ascii="Times New Roman" w:hAnsi="Times New Roman" w:cs="Times New Roman"/>
                <w:b/>
                <w:sz w:val="18"/>
                <w:szCs w:val="18"/>
                <w:lang w:val="ro-RO"/>
              </w:rPr>
            </w:pPr>
            <w:r w:rsidRPr="006F5136">
              <w:rPr>
                <w:rFonts w:ascii="Times New Roman" w:hAnsi="Times New Roman" w:cs="Times New Roman"/>
                <w:b/>
                <w:sz w:val="18"/>
                <w:szCs w:val="18"/>
                <w:lang w:val="ro-RO"/>
              </w:rPr>
              <w:t>REGULAMENTUL NR. 575/2013 AL PARLAMENTULUI EUROPEAN ȘI AL CONSILIULUI din 26 iunie 2013 privind cerințele prudențiale pentru instituțiile de credit și firmele de investiții și de modificare a Regulamentului (UE) nr. 648/2012 (în continuare – CRR)</w:t>
            </w:r>
          </w:p>
        </w:tc>
        <w:tc>
          <w:tcPr>
            <w:tcW w:w="1661" w:type="pct"/>
          </w:tcPr>
          <w:p w14:paraId="55F397B1" w14:textId="4DEFC418" w:rsidR="00951A05" w:rsidRPr="006F5136" w:rsidRDefault="00951A05" w:rsidP="005E4694">
            <w:pPr>
              <w:spacing w:after="0" w:line="240" w:lineRule="auto"/>
              <w:rPr>
                <w:rFonts w:ascii="Times New Roman" w:hAnsi="Times New Roman" w:cs="Times New Roman"/>
                <w:b/>
                <w:sz w:val="18"/>
                <w:szCs w:val="18"/>
                <w:lang w:val="ro-RO"/>
              </w:rPr>
            </w:pPr>
            <w:r w:rsidRPr="006F5136">
              <w:rPr>
                <w:rFonts w:ascii="Times New Roman" w:hAnsi="Times New Roman" w:cs="Times New Roman"/>
                <w:b/>
                <w:sz w:val="18"/>
                <w:szCs w:val="18"/>
                <w:lang w:val="ro-RO"/>
              </w:rPr>
              <w:t>Proiectul Hotărârii Comitetului executiv al Băncii Naționale a Moldovei pentru modificarea Regulamentului cu privire cu privire la tratamentul riscului de credit pentru bănci potrivit abordării standardizate, aprobat prin Hotărârea Comitetului executiv al Băncii Naționale a Moldovei nr.111/2018</w:t>
            </w:r>
          </w:p>
        </w:tc>
        <w:tc>
          <w:tcPr>
            <w:tcW w:w="503" w:type="pct"/>
          </w:tcPr>
          <w:p w14:paraId="7D0F3717" w14:textId="77777777" w:rsidR="00951A05" w:rsidRPr="006F5136" w:rsidRDefault="00951A05" w:rsidP="005E4694">
            <w:pPr>
              <w:spacing w:after="0" w:line="240" w:lineRule="auto"/>
              <w:jc w:val="both"/>
              <w:rPr>
                <w:rFonts w:ascii="Times New Roman" w:hAnsi="Times New Roman" w:cs="Times New Roman"/>
                <w:sz w:val="18"/>
                <w:szCs w:val="18"/>
                <w:lang w:val="ro-RO"/>
              </w:rPr>
            </w:pPr>
          </w:p>
        </w:tc>
        <w:tc>
          <w:tcPr>
            <w:tcW w:w="912" w:type="pct"/>
          </w:tcPr>
          <w:p w14:paraId="4BC16CBC" w14:textId="77777777" w:rsidR="00951A05" w:rsidRPr="006F5136" w:rsidRDefault="00951A05" w:rsidP="005E4694">
            <w:pPr>
              <w:spacing w:after="0" w:line="240" w:lineRule="auto"/>
              <w:jc w:val="both"/>
              <w:rPr>
                <w:rFonts w:ascii="Times New Roman" w:hAnsi="Times New Roman" w:cs="Times New Roman"/>
                <w:sz w:val="18"/>
                <w:szCs w:val="18"/>
                <w:lang w:val="ro-RO"/>
              </w:rPr>
            </w:pPr>
          </w:p>
        </w:tc>
      </w:tr>
      <w:tr w:rsidR="00951A05" w:rsidRPr="006F5136" w14:paraId="20AB246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786F3766" w14:textId="77777777" w:rsidR="00951A05" w:rsidRPr="006F5136" w:rsidRDefault="00951A05" w:rsidP="005E4694">
            <w:pPr>
              <w:spacing w:after="0" w:line="240" w:lineRule="auto"/>
              <w:rPr>
                <w:rFonts w:ascii="Times New Roman" w:hAnsi="Times New Roman" w:cs="Times New Roman"/>
                <w:b/>
                <w:sz w:val="18"/>
                <w:szCs w:val="18"/>
                <w:lang w:val="ro-RO"/>
              </w:rPr>
            </w:pPr>
            <w:r w:rsidRPr="006F5136">
              <w:rPr>
                <w:rFonts w:ascii="Times New Roman" w:hAnsi="Times New Roman" w:cs="Times New Roman"/>
                <w:b/>
                <w:sz w:val="18"/>
                <w:szCs w:val="18"/>
                <w:lang w:val="ro-RO"/>
              </w:rPr>
              <w:t>PARTEA ÎNTÂI</w:t>
            </w:r>
          </w:p>
          <w:p w14:paraId="5021A983" w14:textId="5DAD4288" w:rsidR="00951A05" w:rsidRPr="006F5136" w:rsidRDefault="00951A05" w:rsidP="005E4694">
            <w:pPr>
              <w:spacing w:after="0" w:line="240" w:lineRule="auto"/>
              <w:rPr>
                <w:rFonts w:ascii="Times New Roman" w:hAnsi="Times New Roman" w:cs="Times New Roman"/>
                <w:b/>
                <w:sz w:val="18"/>
                <w:szCs w:val="18"/>
                <w:lang w:val="ro-RO"/>
              </w:rPr>
            </w:pPr>
            <w:r w:rsidRPr="006F5136">
              <w:rPr>
                <w:rFonts w:ascii="Times New Roman" w:hAnsi="Times New Roman" w:cs="Times New Roman"/>
                <w:b/>
                <w:sz w:val="18"/>
                <w:szCs w:val="18"/>
                <w:lang w:val="ro-RO"/>
              </w:rPr>
              <w:t>DISPOZIȚII GENERALE</w:t>
            </w:r>
          </w:p>
        </w:tc>
        <w:tc>
          <w:tcPr>
            <w:tcW w:w="1661" w:type="pct"/>
          </w:tcPr>
          <w:p w14:paraId="3670DCFC" w14:textId="77777777" w:rsidR="00951A05" w:rsidRPr="006F5136" w:rsidRDefault="00951A05" w:rsidP="005E4694">
            <w:pPr>
              <w:spacing w:after="0" w:line="240" w:lineRule="auto"/>
              <w:rPr>
                <w:rFonts w:ascii="Times New Roman" w:hAnsi="Times New Roman" w:cs="Times New Roman"/>
                <w:b/>
                <w:sz w:val="18"/>
                <w:szCs w:val="18"/>
                <w:lang w:val="ro-RO"/>
              </w:rPr>
            </w:pPr>
          </w:p>
        </w:tc>
        <w:tc>
          <w:tcPr>
            <w:tcW w:w="503" w:type="pct"/>
          </w:tcPr>
          <w:p w14:paraId="22DA7395" w14:textId="77777777" w:rsidR="00951A05" w:rsidRPr="006F5136" w:rsidRDefault="00951A05" w:rsidP="005E4694">
            <w:pPr>
              <w:spacing w:after="0" w:line="240" w:lineRule="auto"/>
              <w:jc w:val="both"/>
              <w:rPr>
                <w:rFonts w:ascii="Times New Roman" w:hAnsi="Times New Roman" w:cs="Times New Roman"/>
                <w:sz w:val="18"/>
                <w:szCs w:val="18"/>
                <w:lang w:val="ro-RO"/>
              </w:rPr>
            </w:pPr>
          </w:p>
        </w:tc>
        <w:tc>
          <w:tcPr>
            <w:tcW w:w="912" w:type="pct"/>
          </w:tcPr>
          <w:p w14:paraId="3190F246" w14:textId="77777777" w:rsidR="00951A05" w:rsidRPr="006F5136" w:rsidRDefault="00951A05" w:rsidP="005E4694">
            <w:pPr>
              <w:spacing w:after="0" w:line="240" w:lineRule="auto"/>
              <w:jc w:val="both"/>
              <w:rPr>
                <w:rFonts w:ascii="Times New Roman" w:hAnsi="Times New Roman" w:cs="Times New Roman"/>
                <w:sz w:val="18"/>
                <w:szCs w:val="18"/>
                <w:lang w:val="ro-RO"/>
              </w:rPr>
            </w:pPr>
          </w:p>
        </w:tc>
      </w:tr>
      <w:tr w:rsidR="00BB2F88" w:rsidRPr="006F5136" w14:paraId="4ABE73F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571AE394" w14:textId="77777777" w:rsidR="00395381" w:rsidRPr="006F5136" w:rsidRDefault="00395381" w:rsidP="005E4694">
            <w:pPr>
              <w:spacing w:after="0" w:line="240" w:lineRule="auto"/>
              <w:rPr>
                <w:rFonts w:ascii="Times New Roman" w:hAnsi="Times New Roman" w:cs="Times New Roman"/>
                <w:b/>
                <w:sz w:val="18"/>
                <w:szCs w:val="18"/>
                <w:lang w:val="ro-RO"/>
              </w:rPr>
            </w:pPr>
            <w:r w:rsidRPr="006F5136">
              <w:rPr>
                <w:rFonts w:ascii="Times New Roman" w:hAnsi="Times New Roman" w:cs="Times New Roman"/>
                <w:b/>
                <w:sz w:val="18"/>
                <w:szCs w:val="18"/>
                <w:lang w:val="ro-RO"/>
              </w:rPr>
              <w:t xml:space="preserve">TITLUL I   </w:t>
            </w:r>
          </w:p>
          <w:p w14:paraId="47F92B2F" w14:textId="321103E6" w:rsidR="00395381" w:rsidRPr="006F5136" w:rsidRDefault="00395381" w:rsidP="005E4694">
            <w:pPr>
              <w:spacing w:after="0" w:line="240" w:lineRule="auto"/>
              <w:rPr>
                <w:rFonts w:ascii="Times New Roman" w:hAnsi="Times New Roman" w:cs="Times New Roman"/>
                <w:b/>
                <w:sz w:val="18"/>
                <w:szCs w:val="18"/>
                <w:lang w:val="ro-RO"/>
              </w:rPr>
            </w:pPr>
            <w:r w:rsidRPr="006F5136">
              <w:rPr>
                <w:rFonts w:ascii="Times New Roman" w:hAnsi="Times New Roman" w:cs="Times New Roman"/>
                <w:b/>
                <w:sz w:val="18"/>
                <w:szCs w:val="18"/>
                <w:lang w:val="ro-RO"/>
              </w:rPr>
              <w:t>OBIECT, DOMENIU DE APLICARE ȘI DEFINIȚII</w:t>
            </w:r>
          </w:p>
        </w:tc>
        <w:tc>
          <w:tcPr>
            <w:tcW w:w="1661" w:type="pct"/>
          </w:tcPr>
          <w:p w14:paraId="3CFA7AC6" w14:textId="77777777" w:rsidR="00395381" w:rsidRPr="006F5136" w:rsidRDefault="00395381" w:rsidP="005E4694">
            <w:pPr>
              <w:spacing w:after="0" w:line="240" w:lineRule="auto"/>
              <w:rPr>
                <w:rFonts w:ascii="Times New Roman" w:hAnsi="Times New Roman" w:cs="Times New Roman"/>
                <w:b/>
                <w:sz w:val="18"/>
                <w:szCs w:val="18"/>
                <w:lang w:val="ro-RO"/>
              </w:rPr>
            </w:pPr>
          </w:p>
        </w:tc>
        <w:tc>
          <w:tcPr>
            <w:tcW w:w="503" w:type="pct"/>
          </w:tcPr>
          <w:p w14:paraId="7044C974" w14:textId="77777777" w:rsidR="00395381" w:rsidRPr="006F5136" w:rsidRDefault="00395381" w:rsidP="005E4694">
            <w:pPr>
              <w:spacing w:after="0" w:line="240" w:lineRule="auto"/>
              <w:jc w:val="both"/>
              <w:rPr>
                <w:rFonts w:ascii="Times New Roman" w:hAnsi="Times New Roman" w:cs="Times New Roman"/>
                <w:sz w:val="18"/>
                <w:szCs w:val="18"/>
                <w:lang w:val="ro-RO"/>
              </w:rPr>
            </w:pPr>
          </w:p>
        </w:tc>
        <w:tc>
          <w:tcPr>
            <w:tcW w:w="912" w:type="pct"/>
          </w:tcPr>
          <w:p w14:paraId="19F16AF1" w14:textId="3304BC56" w:rsidR="00395381" w:rsidRPr="006F5136" w:rsidRDefault="00395381" w:rsidP="005E4694">
            <w:pPr>
              <w:spacing w:after="0" w:line="240" w:lineRule="auto"/>
              <w:jc w:val="both"/>
              <w:rPr>
                <w:rFonts w:ascii="Times New Roman" w:hAnsi="Times New Roman" w:cs="Times New Roman"/>
                <w:sz w:val="18"/>
                <w:szCs w:val="18"/>
                <w:lang w:val="ro-RO"/>
              </w:rPr>
            </w:pPr>
          </w:p>
        </w:tc>
      </w:tr>
      <w:tr w:rsidR="00BB2F88" w:rsidRPr="006F5136" w14:paraId="1206F21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0772C789" w14:textId="77777777" w:rsidR="00395381" w:rsidRPr="006F5136" w:rsidRDefault="00395381" w:rsidP="005E4694">
            <w:pPr>
              <w:spacing w:after="0" w:line="240" w:lineRule="auto"/>
              <w:jc w:val="both"/>
              <w:rPr>
                <w:rFonts w:ascii="Times New Roman" w:eastAsia="Times New Roman" w:hAnsi="Times New Roman" w:cs="Times New Roman"/>
                <w:b/>
                <w:sz w:val="18"/>
                <w:szCs w:val="18"/>
                <w:lang w:val="ro-RO" w:eastAsia="ru-RU"/>
              </w:rPr>
            </w:pPr>
            <w:r w:rsidRPr="006F5136">
              <w:rPr>
                <w:rFonts w:ascii="Times New Roman" w:eastAsia="Times New Roman" w:hAnsi="Times New Roman" w:cs="Times New Roman"/>
                <w:i/>
                <w:sz w:val="18"/>
                <w:szCs w:val="18"/>
                <w:lang w:val="ro-RO" w:eastAsia="ru-RU"/>
              </w:rPr>
              <w:t xml:space="preserve">Articolul 1 </w:t>
            </w:r>
            <w:r w:rsidRPr="006F5136">
              <w:rPr>
                <w:rFonts w:ascii="Times New Roman" w:eastAsia="Times New Roman" w:hAnsi="Times New Roman" w:cs="Times New Roman"/>
                <w:b/>
                <w:sz w:val="18"/>
                <w:szCs w:val="18"/>
                <w:lang w:val="ro-RO" w:eastAsia="ru-RU"/>
              </w:rPr>
              <w:t>Domeniul de aplicare</w:t>
            </w:r>
          </w:p>
          <w:p w14:paraId="595D8439" w14:textId="29759F23" w:rsidR="00395381" w:rsidRPr="006F5136" w:rsidRDefault="00395381" w:rsidP="005E4694">
            <w:pPr>
              <w:spacing w:after="0" w:line="240" w:lineRule="auto"/>
              <w:jc w:val="both"/>
              <w:rPr>
                <w:rFonts w:ascii="Times New Roman" w:eastAsia="Times New Roman" w:hAnsi="Times New Roman" w:cs="Times New Roman"/>
                <w:sz w:val="18"/>
                <w:szCs w:val="18"/>
                <w:lang w:val="ro-RO" w:eastAsia="ru-RU"/>
              </w:rPr>
            </w:pPr>
            <w:r w:rsidRPr="006F5136">
              <w:rPr>
                <w:rFonts w:ascii="Times New Roman" w:eastAsia="Times New Roman" w:hAnsi="Times New Roman" w:cs="Times New Roman"/>
                <w:sz w:val="18"/>
                <w:szCs w:val="18"/>
                <w:lang w:val="ro-RO" w:eastAsia="ru-RU"/>
              </w:rPr>
              <w:t>Prezentul regulament stabilește reguli uniforme privind cerințele prudențiale generale pe care trebuie să le îndeplinească instituțiile, societățile financiare holding și societățile financiare holding mixte supravegheate în temeiul Directivei 2013/36/UE, în ceea ce privește următoarele elemente:</w:t>
            </w:r>
          </w:p>
          <w:p w14:paraId="2BDCA658" w14:textId="50278844" w:rsidR="005D49D5" w:rsidRPr="006F5136" w:rsidRDefault="00395381" w:rsidP="005E4694">
            <w:pPr>
              <w:autoSpaceDE w:val="0"/>
              <w:autoSpaceDN w:val="0"/>
              <w:adjustRightInd w:val="0"/>
              <w:spacing w:after="0" w:line="240" w:lineRule="auto"/>
              <w:rPr>
                <w:rFonts w:ascii="Times New Roman" w:eastAsia="Calibri" w:hAnsi="Times New Roman" w:cs="Times New Roman"/>
                <w:sz w:val="18"/>
                <w:szCs w:val="18"/>
                <w:lang w:val="ro-RO"/>
              </w:rPr>
            </w:pPr>
            <w:r w:rsidRPr="006F5136">
              <w:rPr>
                <w:rFonts w:ascii="Times New Roman" w:eastAsia="Calibri" w:hAnsi="Times New Roman" w:cs="Times New Roman"/>
                <w:sz w:val="18"/>
                <w:szCs w:val="18"/>
                <w:lang w:val="ro-RO"/>
              </w:rPr>
              <w:t xml:space="preserve">(a) cerințe de fonduri proprii referitoare la elemente în întregime cuantificabile, uniforme și standardizate ale riscului de credit, ale riscului de piață, ale riscului operațional,  ale riscului de decontare și ale efectului de levier; </w:t>
            </w:r>
          </w:p>
          <w:p w14:paraId="7F25C701" w14:textId="77777777" w:rsidR="005D49D5" w:rsidRPr="006F5136" w:rsidRDefault="005D49D5" w:rsidP="005E4694">
            <w:pPr>
              <w:spacing w:after="0" w:line="240" w:lineRule="auto"/>
              <w:jc w:val="both"/>
              <w:rPr>
                <w:rFonts w:ascii="Times New Roman" w:eastAsia="Calibri" w:hAnsi="Times New Roman" w:cs="Times New Roman"/>
                <w:sz w:val="18"/>
                <w:szCs w:val="18"/>
                <w:lang w:val="ro-RO"/>
              </w:rPr>
            </w:pPr>
          </w:p>
          <w:p w14:paraId="5708A351" w14:textId="77777777" w:rsidR="00395381" w:rsidRPr="006F5136" w:rsidRDefault="00395381" w:rsidP="005E4694">
            <w:pPr>
              <w:spacing w:after="0" w:line="240" w:lineRule="auto"/>
              <w:jc w:val="both"/>
              <w:rPr>
                <w:rFonts w:ascii="Times New Roman" w:hAnsi="Times New Roman" w:cs="Times New Roman"/>
                <w:sz w:val="18"/>
                <w:szCs w:val="18"/>
                <w:lang w:val="ro-RO"/>
              </w:rPr>
            </w:pPr>
          </w:p>
        </w:tc>
        <w:tc>
          <w:tcPr>
            <w:tcW w:w="1661" w:type="pct"/>
          </w:tcPr>
          <w:p w14:paraId="61E7DB1D" w14:textId="77777777" w:rsidR="00395381" w:rsidRPr="006F5136" w:rsidRDefault="006A7701"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Prezentul regulament se aplică băncilor cu sediul în Republica Moldova, sucursalelor în Republica Moldova ale băncilor din alte state care sunt licențiate de către Banca Națională a Moldovei conform Legii nr.202/2017 privind activitatea băncilor, denumite în continuare bănci. Prezentul regulament se aplică atât la nivel individual, cât și consolidat.</w:t>
            </w:r>
          </w:p>
          <w:p w14:paraId="06141655" w14:textId="77777777" w:rsidR="006A7701" w:rsidRPr="006F5136" w:rsidRDefault="006A7701" w:rsidP="005E4694">
            <w:pPr>
              <w:spacing w:after="0" w:line="240" w:lineRule="auto"/>
              <w:rPr>
                <w:rFonts w:ascii="Times New Roman" w:hAnsi="Times New Roman" w:cs="Times New Roman"/>
                <w:sz w:val="18"/>
                <w:szCs w:val="18"/>
                <w:lang w:val="ro-RO"/>
              </w:rPr>
            </w:pPr>
          </w:p>
          <w:p w14:paraId="3D1E14B0" w14:textId="77777777" w:rsidR="006A7701" w:rsidRPr="006F5136" w:rsidRDefault="006A7701" w:rsidP="005E4694">
            <w:pPr>
              <w:spacing w:after="0" w:line="240" w:lineRule="auto"/>
              <w:rPr>
                <w:rFonts w:ascii="Times New Roman" w:hAnsi="Times New Roman" w:cs="Times New Roman"/>
                <w:sz w:val="18"/>
                <w:szCs w:val="18"/>
                <w:lang w:val="ro-RO"/>
              </w:rPr>
            </w:pPr>
          </w:p>
          <w:p w14:paraId="016E38EA" w14:textId="0D2E4FFE" w:rsidR="006A7701" w:rsidRPr="006F5136" w:rsidRDefault="006A7701" w:rsidP="005E4694">
            <w:pPr>
              <w:spacing w:after="0" w:line="240" w:lineRule="auto"/>
              <w:rPr>
                <w:rFonts w:ascii="Times New Roman" w:hAnsi="Times New Roman" w:cs="Times New Roman"/>
                <w:i/>
                <w:iCs/>
                <w:sz w:val="18"/>
                <w:szCs w:val="18"/>
                <w:lang w:val="ro-RO"/>
              </w:rPr>
            </w:pPr>
            <w:r w:rsidRPr="006F5136">
              <w:rPr>
                <w:rFonts w:ascii="Times New Roman" w:hAnsi="Times New Roman" w:cs="Times New Roman"/>
                <w:i/>
                <w:iCs/>
                <w:sz w:val="18"/>
                <w:szCs w:val="18"/>
                <w:lang w:val="ro-RO"/>
              </w:rPr>
              <w:t xml:space="preserve">Regulamentul nr.111/2018 </w:t>
            </w:r>
          </w:p>
        </w:tc>
        <w:tc>
          <w:tcPr>
            <w:tcW w:w="503" w:type="pct"/>
          </w:tcPr>
          <w:p w14:paraId="7C8A1E5A" w14:textId="77777777"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Parțial compatibil</w:t>
            </w:r>
          </w:p>
        </w:tc>
        <w:tc>
          <w:tcPr>
            <w:tcW w:w="912" w:type="pct"/>
          </w:tcPr>
          <w:p w14:paraId="59BB6F7C" w14:textId="12B9CD51" w:rsidR="00395381" w:rsidRPr="006F5136" w:rsidRDefault="00395381" w:rsidP="005E4694">
            <w:pPr>
              <w:spacing w:after="0" w:line="240" w:lineRule="auto"/>
              <w:rPr>
                <w:rFonts w:ascii="Times New Roman" w:eastAsia="Times New Roman" w:hAnsi="Times New Roman" w:cs="Times New Roman"/>
                <w:sz w:val="18"/>
                <w:szCs w:val="18"/>
                <w:lang w:val="ro-RO" w:eastAsia="ru-RU"/>
              </w:rPr>
            </w:pPr>
            <w:r w:rsidRPr="006F5136">
              <w:rPr>
                <w:rFonts w:ascii="Times New Roman" w:eastAsia="Times New Roman" w:hAnsi="Times New Roman" w:cs="Times New Roman"/>
                <w:sz w:val="18"/>
                <w:szCs w:val="18"/>
                <w:lang w:val="ro-RO" w:eastAsia="ru-RU"/>
              </w:rPr>
              <w:t>Prevederile de la:</w:t>
            </w:r>
          </w:p>
          <w:p w14:paraId="7AAC87EA" w14:textId="77777777" w:rsidR="00865AF6" w:rsidRPr="006F5136" w:rsidRDefault="00395381" w:rsidP="005E4694">
            <w:pPr>
              <w:spacing w:after="0" w:line="240" w:lineRule="auto"/>
              <w:rPr>
                <w:rFonts w:ascii="Times New Roman" w:eastAsia="Times New Roman" w:hAnsi="Times New Roman" w:cs="Times New Roman"/>
                <w:sz w:val="18"/>
                <w:szCs w:val="18"/>
                <w:lang w:val="ro-RO" w:eastAsia="ru-RU"/>
              </w:rPr>
            </w:pPr>
            <w:r w:rsidRPr="006F5136">
              <w:rPr>
                <w:rFonts w:ascii="Times New Roman" w:eastAsia="Times New Roman" w:hAnsi="Times New Roman" w:cs="Times New Roman"/>
                <w:sz w:val="18"/>
                <w:szCs w:val="18"/>
                <w:lang w:val="ro-RO" w:eastAsia="ru-RU"/>
              </w:rPr>
              <w:t xml:space="preserve">- lit. (a) </w:t>
            </w:r>
            <w:r w:rsidRPr="006F5136">
              <w:rPr>
                <w:rFonts w:ascii="Times New Roman" w:eastAsia="Times New Roman" w:hAnsi="Times New Roman" w:cs="Times New Roman"/>
                <w:sz w:val="18"/>
                <w:szCs w:val="18"/>
                <w:u w:val="single"/>
                <w:lang w:val="ro-RO" w:eastAsia="ru-RU"/>
              </w:rPr>
              <w:t>au fost transpuse</w:t>
            </w:r>
            <w:r w:rsidRPr="006F5136">
              <w:rPr>
                <w:rFonts w:ascii="Times New Roman" w:eastAsia="Times New Roman" w:hAnsi="Times New Roman" w:cs="Times New Roman"/>
                <w:sz w:val="18"/>
                <w:szCs w:val="18"/>
                <w:lang w:val="ro-RO" w:eastAsia="ru-RU"/>
              </w:rPr>
              <w:t xml:space="preserve"> în </w:t>
            </w:r>
          </w:p>
          <w:p w14:paraId="34B3D056" w14:textId="77777777" w:rsidR="00865AF6" w:rsidRPr="006F5136" w:rsidRDefault="00865AF6" w:rsidP="005E4694">
            <w:pPr>
              <w:spacing w:after="0" w:line="240" w:lineRule="auto"/>
              <w:rPr>
                <w:rFonts w:ascii="Times New Roman" w:eastAsia="EUAlbertina-Italic-Identity-H" w:hAnsi="Times New Roman" w:cs="Times New Roman"/>
                <w:iCs/>
                <w:sz w:val="18"/>
                <w:szCs w:val="18"/>
                <w:lang w:val="ro-RO" w:eastAsia="ru-RU" w:bidi="or-IN"/>
              </w:rPr>
            </w:pPr>
            <w:r w:rsidRPr="006F5136">
              <w:rPr>
                <w:rFonts w:ascii="Times New Roman" w:eastAsia="Times New Roman" w:hAnsi="Times New Roman" w:cs="Times New Roman"/>
                <w:sz w:val="18"/>
                <w:szCs w:val="18"/>
                <w:lang w:val="ro-RO" w:eastAsia="ru-RU"/>
              </w:rPr>
              <w:t xml:space="preserve">- </w:t>
            </w:r>
            <w:r w:rsidR="00395381" w:rsidRPr="006F5136">
              <w:rPr>
                <w:rFonts w:ascii="Times New Roman" w:eastAsia="EUAlbertina-Italic-Identity-H" w:hAnsi="Times New Roman" w:cs="Times New Roman"/>
                <w:iCs/>
                <w:sz w:val="18"/>
                <w:szCs w:val="18"/>
                <w:lang w:val="ro-RO" w:eastAsia="ru-RU" w:bidi="or-IN"/>
              </w:rPr>
              <w:t>Regulamentul nr.111/2018 cu privire la tratamentul riscului de credit pentru bănci potrivit abordării standardizate</w:t>
            </w:r>
            <w:r w:rsidRPr="006F5136">
              <w:rPr>
                <w:rFonts w:ascii="Times New Roman" w:eastAsia="EUAlbertina-Italic-Identity-H" w:hAnsi="Times New Roman" w:cs="Times New Roman"/>
                <w:iCs/>
                <w:sz w:val="18"/>
                <w:szCs w:val="18"/>
                <w:lang w:val="ro-RO" w:eastAsia="ru-RU" w:bidi="or-IN"/>
              </w:rPr>
              <w:t>;</w:t>
            </w:r>
          </w:p>
          <w:p w14:paraId="06B0D91E" w14:textId="03D1C59C" w:rsidR="00395381" w:rsidRPr="006F5136" w:rsidRDefault="00865AF6" w:rsidP="005E4694">
            <w:pPr>
              <w:spacing w:after="0" w:line="240" w:lineRule="auto"/>
              <w:rPr>
                <w:rFonts w:ascii="Times New Roman" w:eastAsia="Times New Roman" w:hAnsi="Times New Roman" w:cs="Times New Roman"/>
                <w:sz w:val="18"/>
                <w:szCs w:val="18"/>
                <w:lang w:val="ro-RO" w:eastAsia="ru-RU"/>
              </w:rPr>
            </w:pPr>
            <w:r w:rsidRPr="006F5136">
              <w:rPr>
                <w:rFonts w:ascii="Times New Roman" w:eastAsia="EUAlbertina-Italic-Identity-H" w:hAnsi="Times New Roman" w:cs="Times New Roman"/>
                <w:iCs/>
                <w:sz w:val="18"/>
                <w:szCs w:val="18"/>
                <w:lang w:val="ro-RO" w:eastAsia="ru-RU" w:bidi="or-IN"/>
              </w:rPr>
              <w:t>-</w:t>
            </w:r>
            <w:r w:rsidR="00395381" w:rsidRPr="006F5136">
              <w:rPr>
                <w:rFonts w:ascii="Times New Roman" w:eastAsia="EUAlbertina-Italic-Identity-H" w:hAnsi="Times New Roman" w:cs="Times New Roman"/>
                <w:iCs/>
                <w:sz w:val="18"/>
                <w:szCs w:val="18"/>
                <w:lang w:val="ro-RO" w:eastAsia="ru-RU" w:bidi="or-IN"/>
              </w:rPr>
              <w:t xml:space="preserve"> Regulamentul nr.114/2018 cu privire la tratamentul riscului de piață potrivit abordării standardizate</w:t>
            </w:r>
            <w:r w:rsidR="00395381" w:rsidRPr="006F5136">
              <w:rPr>
                <w:rFonts w:ascii="Times New Roman" w:eastAsia="Times New Roman" w:hAnsi="Times New Roman" w:cs="Times New Roman"/>
                <w:sz w:val="18"/>
                <w:szCs w:val="18"/>
                <w:lang w:val="ro-RO" w:eastAsia="ru-RU"/>
              </w:rPr>
              <w:t>;</w:t>
            </w:r>
          </w:p>
          <w:p w14:paraId="565B6ECA" w14:textId="3AD1F022" w:rsidR="00D736A1" w:rsidRPr="006F5136" w:rsidRDefault="00D736A1" w:rsidP="005E4694">
            <w:pPr>
              <w:spacing w:after="0" w:line="240" w:lineRule="auto"/>
              <w:rPr>
                <w:rFonts w:ascii="Times New Roman" w:eastAsia="Times New Roman" w:hAnsi="Times New Roman" w:cs="Times New Roman"/>
                <w:sz w:val="18"/>
                <w:szCs w:val="18"/>
                <w:lang w:val="ro-RO" w:eastAsia="ru-RU"/>
              </w:rPr>
            </w:pPr>
            <w:r w:rsidRPr="006F5136">
              <w:rPr>
                <w:rFonts w:ascii="Times New Roman" w:eastAsia="Times New Roman" w:hAnsi="Times New Roman" w:cs="Times New Roman"/>
                <w:sz w:val="18"/>
                <w:szCs w:val="18"/>
                <w:lang w:val="ro-RO" w:eastAsia="ru-RU"/>
              </w:rPr>
              <w:t>- Regulamentul nr.115/2018 cu privire la tratamentul riscului de decontare/livrare pentru bănci;</w:t>
            </w:r>
          </w:p>
          <w:p w14:paraId="1B4370B5" w14:textId="2CD40073" w:rsidR="00865AF6" w:rsidRPr="006F5136" w:rsidRDefault="00865AF6" w:rsidP="005E4694">
            <w:pPr>
              <w:spacing w:after="0" w:line="240" w:lineRule="auto"/>
              <w:rPr>
                <w:rFonts w:ascii="Times New Roman" w:eastAsia="Times New Roman" w:hAnsi="Times New Roman" w:cs="Times New Roman"/>
                <w:sz w:val="18"/>
                <w:szCs w:val="18"/>
                <w:lang w:val="ro-RO" w:eastAsia="ru-RU"/>
              </w:rPr>
            </w:pPr>
            <w:r w:rsidRPr="006F5136">
              <w:rPr>
                <w:rFonts w:ascii="Times New Roman" w:eastAsia="Times New Roman" w:hAnsi="Times New Roman" w:cs="Times New Roman"/>
                <w:sz w:val="18"/>
                <w:szCs w:val="18"/>
                <w:lang w:val="ro-RO" w:eastAsia="ru-RU"/>
              </w:rPr>
              <w:t>- Regulamentul nr.274/2020 privind efectul de levier pentru bănci;</w:t>
            </w:r>
          </w:p>
          <w:p w14:paraId="49860B0C" w14:textId="77777777" w:rsidR="00395381" w:rsidRPr="006F5136" w:rsidRDefault="00395381" w:rsidP="005E4694">
            <w:pPr>
              <w:spacing w:after="0" w:line="240" w:lineRule="auto"/>
              <w:rPr>
                <w:rFonts w:ascii="Times New Roman" w:eastAsia="EUAlbertina-Italic-Identity-H" w:hAnsi="Times New Roman" w:cs="Times New Roman"/>
                <w:iCs/>
                <w:sz w:val="18"/>
                <w:szCs w:val="18"/>
                <w:lang w:val="ro-RO" w:eastAsia="ru-RU" w:bidi="or-IN"/>
              </w:rPr>
            </w:pPr>
            <w:r w:rsidRPr="006F5136">
              <w:rPr>
                <w:rFonts w:ascii="Times New Roman" w:eastAsia="EUAlbertina-Italic-Identity-H" w:hAnsi="Times New Roman" w:cs="Times New Roman"/>
                <w:bCs/>
                <w:iCs/>
                <w:sz w:val="18"/>
                <w:szCs w:val="18"/>
                <w:lang w:val="ro-RO" w:eastAsia="ru-RU" w:bidi="or-IN"/>
              </w:rPr>
              <w:t xml:space="preserve">- </w:t>
            </w:r>
            <w:r w:rsidRPr="006F5136">
              <w:rPr>
                <w:rFonts w:ascii="Times New Roman" w:eastAsia="Times New Roman" w:hAnsi="Times New Roman" w:cs="Times New Roman"/>
                <w:sz w:val="18"/>
                <w:szCs w:val="18"/>
                <w:lang w:val="ro-RO" w:eastAsia="ru-RU"/>
              </w:rPr>
              <w:t xml:space="preserve">lit. (b) </w:t>
            </w:r>
            <w:r w:rsidRPr="006F5136">
              <w:rPr>
                <w:rFonts w:ascii="Times New Roman" w:eastAsia="Times New Roman" w:hAnsi="Times New Roman" w:cs="Times New Roman"/>
                <w:sz w:val="18"/>
                <w:szCs w:val="18"/>
                <w:u w:val="single"/>
                <w:lang w:val="ro-RO" w:eastAsia="ru-RU"/>
              </w:rPr>
              <w:t>au fost transpuse</w:t>
            </w:r>
            <w:r w:rsidRPr="006F5136">
              <w:rPr>
                <w:rFonts w:ascii="Times New Roman" w:eastAsia="Times New Roman" w:hAnsi="Times New Roman" w:cs="Times New Roman"/>
                <w:sz w:val="18"/>
                <w:szCs w:val="18"/>
                <w:lang w:val="ro-RO" w:eastAsia="ru-RU"/>
              </w:rPr>
              <w:t xml:space="preserve"> în </w:t>
            </w:r>
            <w:r w:rsidRPr="006F5136">
              <w:rPr>
                <w:rFonts w:ascii="Times New Roman" w:eastAsia="EUAlbertina-Italic-Identity-H" w:hAnsi="Times New Roman" w:cs="Times New Roman"/>
                <w:iCs/>
                <w:sz w:val="18"/>
                <w:szCs w:val="18"/>
                <w:lang w:val="ro-RO" w:eastAsia="ru-RU" w:bidi="or-IN"/>
              </w:rPr>
              <w:t>Regulamentul nr.109/2019 cu privire la expunerile mari;</w:t>
            </w:r>
          </w:p>
          <w:p w14:paraId="36629936" w14:textId="1B4930A6" w:rsidR="00395381" w:rsidRPr="006F5136" w:rsidRDefault="00395381" w:rsidP="005E4694">
            <w:pPr>
              <w:spacing w:after="0" w:line="240" w:lineRule="auto"/>
              <w:rPr>
                <w:rFonts w:ascii="Times New Roman" w:eastAsia="EUAlbertina-Italic-Identity-H" w:hAnsi="Times New Roman" w:cs="Times New Roman"/>
                <w:iCs/>
                <w:sz w:val="18"/>
                <w:szCs w:val="18"/>
                <w:lang w:val="ro-RO" w:eastAsia="ru-RU" w:bidi="or-IN"/>
              </w:rPr>
            </w:pPr>
            <w:r w:rsidRPr="006F5136">
              <w:rPr>
                <w:rFonts w:ascii="Times New Roman" w:eastAsia="EUAlbertina-Italic-Identity-H" w:hAnsi="Times New Roman" w:cs="Times New Roman"/>
                <w:bCs/>
                <w:iCs/>
                <w:sz w:val="18"/>
                <w:szCs w:val="18"/>
                <w:lang w:val="ro-RO" w:eastAsia="ru-RU" w:bidi="or-IN"/>
              </w:rPr>
              <w:lastRenderedPageBreak/>
              <w:t xml:space="preserve">- lit. (c) </w:t>
            </w:r>
            <w:r w:rsidRPr="006F5136">
              <w:rPr>
                <w:rFonts w:ascii="Times New Roman" w:eastAsia="EUAlbertina-Italic-Identity-H" w:hAnsi="Times New Roman" w:cs="Times New Roman"/>
                <w:bCs/>
                <w:iCs/>
                <w:sz w:val="18"/>
                <w:szCs w:val="18"/>
                <w:u w:val="single"/>
                <w:lang w:val="ro-RO" w:eastAsia="ru-RU" w:bidi="or-IN"/>
              </w:rPr>
              <w:t>au fost transpuse</w:t>
            </w:r>
            <w:r w:rsidRPr="006F5136">
              <w:rPr>
                <w:rFonts w:ascii="Times New Roman" w:eastAsia="EUAlbertina-Italic-Identity-H" w:hAnsi="Times New Roman" w:cs="Times New Roman"/>
                <w:bCs/>
                <w:iCs/>
                <w:sz w:val="18"/>
                <w:szCs w:val="18"/>
                <w:lang w:val="ro-RO" w:eastAsia="ru-RU" w:bidi="or-IN"/>
              </w:rPr>
              <w:t xml:space="preserve"> în </w:t>
            </w:r>
            <w:r w:rsidRPr="006F5136">
              <w:rPr>
                <w:rFonts w:ascii="Times New Roman" w:eastAsia="EUAlbertina-Italic-Identity-H" w:hAnsi="Times New Roman" w:cs="Times New Roman"/>
                <w:iCs/>
                <w:sz w:val="18"/>
                <w:szCs w:val="18"/>
                <w:lang w:val="ro-RO" w:eastAsia="ru-RU" w:bidi="or-IN"/>
              </w:rPr>
              <w:t>Regulamentul nr.44/2020 privind cerințele de acoperire a necesarului de lichiditate pentru bănci;</w:t>
            </w:r>
          </w:p>
          <w:p w14:paraId="558B324A" w14:textId="77777777" w:rsidR="004E7DFB" w:rsidRPr="006F5136" w:rsidRDefault="00395381" w:rsidP="005E4694">
            <w:pPr>
              <w:spacing w:after="0" w:line="240" w:lineRule="auto"/>
              <w:jc w:val="both"/>
              <w:rPr>
                <w:rFonts w:ascii="Times New Roman" w:eastAsia="Times New Roman" w:hAnsi="Times New Roman" w:cs="Times New Roman"/>
                <w:sz w:val="18"/>
                <w:szCs w:val="18"/>
                <w:lang w:val="ro-RO" w:eastAsia="ru-RU"/>
              </w:rPr>
            </w:pPr>
            <w:r w:rsidRPr="006F5136">
              <w:rPr>
                <w:rFonts w:ascii="Times New Roman" w:eastAsia="EUAlbertina-Italic-Identity-H" w:hAnsi="Times New Roman" w:cs="Times New Roman"/>
                <w:b/>
                <w:bCs/>
                <w:iCs/>
                <w:sz w:val="18"/>
                <w:szCs w:val="18"/>
                <w:lang w:val="ro-RO" w:eastAsia="ru-RU" w:bidi="or-IN"/>
              </w:rPr>
              <w:t xml:space="preserve">- </w:t>
            </w:r>
            <w:r w:rsidRPr="006F5136">
              <w:rPr>
                <w:rFonts w:ascii="Times New Roman" w:eastAsia="EUAlbertina-Italic-Identity-H" w:hAnsi="Times New Roman" w:cs="Times New Roman"/>
                <w:bCs/>
                <w:iCs/>
                <w:sz w:val="18"/>
                <w:szCs w:val="18"/>
                <w:lang w:val="ro-RO" w:eastAsia="ru-RU" w:bidi="or-IN"/>
              </w:rPr>
              <w:t xml:space="preserve">lit. (d) au fost </w:t>
            </w:r>
            <w:r w:rsidRPr="006F5136">
              <w:rPr>
                <w:rFonts w:ascii="Times New Roman" w:eastAsia="Times New Roman" w:hAnsi="Times New Roman" w:cs="Times New Roman"/>
                <w:sz w:val="18"/>
                <w:szCs w:val="18"/>
                <w:lang w:val="ro-RO" w:eastAsia="ru-RU"/>
              </w:rPr>
              <w:t xml:space="preserve">transpuse în regulamentele menționate mai sus. </w:t>
            </w:r>
          </w:p>
          <w:p w14:paraId="71AD2616" w14:textId="22D627CE" w:rsidR="00395381" w:rsidRPr="006F5136" w:rsidRDefault="00395381" w:rsidP="005E4694">
            <w:pPr>
              <w:spacing w:after="0" w:line="240" w:lineRule="auto"/>
              <w:jc w:val="both"/>
              <w:rPr>
                <w:rFonts w:ascii="Times New Roman" w:eastAsia="Times New Roman" w:hAnsi="Times New Roman" w:cs="Times New Roman"/>
                <w:bCs/>
                <w:sz w:val="18"/>
                <w:szCs w:val="18"/>
                <w:lang w:val="ro-RO" w:eastAsia="ru-RU"/>
              </w:rPr>
            </w:pPr>
            <w:r w:rsidRPr="006F5136">
              <w:rPr>
                <w:rFonts w:ascii="Times New Roman" w:eastAsia="EUAlbertina-Italic-Identity-H" w:hAnsi="Times New Roman" w:cs="Times New Roman"/>
                <w:bCs/>
                <w:iCs/>
                <w:sz w:val="18"/>
                <w:szCs w:val="18"/>
                <w:lang w:val="ro-RO" w:eastAsia="ru-RU" w:bidi="or-IN"/>
              </w:rPr>
              <w:t xml:space="preserve">- lit. (e) </w:t>
            </w:r>
            <w:r w:rsidRPr="006F5136">
              <w:rPr>
                <w:rFonts w:ascii="Times New Roman" w:eastAsia="Times New Roman" w:hAnsi="Times New Roman" w:cs="Times New Roman"/>
                <w:sz w:val="18"/>
                <w:szCs w:val="18"/>
                <w:u w:val="single"/>
                <w:lang w:val="ro-RO" w:eastAsia="ru-RU"/>
              </w:rPr>
              <w:t>au fost transpuse</w:t>
            </w:r>
            <w:r w:rsidRPr="006F5136">
              <w:rPr>
                <w:rFonts w:ascii="Times New Roman" w:eastAsia="Times New Roman" w:hAnsi="Times New Roman" w:cs="Times New Roman"/>
                <w:sz w:val="18"/>
                <w:szCs w:val="18"/>
                <w:lang w:val="ro-RO" w:eastAsia="ru-RU"/>
              </w:rPr>
              <w:t xml:space="preserve"> în </w:t>
            </w:r>
            <w:r w:rsidRPr="006F5136">
              <w:rPr>
                <w:rFonts w:ascii="Times New Roman" w:eastAsia="Times New Roman" w:hAnsi="Times New Roman" w:cs="Times New Roman"/>
                <w:bCs/>
                <w:sz w:val="18"/>
                <w:szCs w:val="18"/>
                <w:lang w:val="ro-RO" w:eastAsia="ru-RU"/>
              </w:rPr>
              <w:t>Regulamentul nr.158/2020 cu privire la cerințele de publicare a informațiilor de către bănci</w:t>
            </w:r>
            <w:r w:rsidR="002A3D8B" w:rsidRPr="006F5136">
              <w:rPr>
                <w:rFonts w:ascii="Times New Roman" w:eastAsia="Times New Roman" w:hAnsi="Times New Roman" w:cs="Times New Roman"/>
                <w:bCs/>
                <w:sz w:val="18"/>
                <w:szCs w:val="18"/>
                <w:lang w:val="ro-RO" w:eastAsia="ru-RU"/>
              </w:rPr>
              <w:t>.</w:t>
            </w:r>
          </w:p>
          <w:p w14:paraId="3149BA69" w14:textId="22B6B7C1" w:rsidR="003816DE" w:rsidRPr="006F5136" w:rsidRDefault="002A3D8B" w:rsidP="005E4694">
            <w:pPr>
              <w:spacing w:after="0" w:line="240" w:lineRule="auto"/>
              <w:jc w:val="both"/>
              <w:rPr>
                <w:rFonts w:ascii="Times New Roman" w:hAnsi="Times New Roman" w:cs="Times New Roman"/>
                <w:sz w:val="18"/>
                <w:szCs w:val="18"/>
                <w:lang w:val="ro-RO"/>
              </w:rPr>
            </w:pPr>
            <w:r w:rsidRPr="006F5136">
              <w:rPr>
                <w:rFonts w:ascii="Times New Roman" w:eastAsia="Times New Roman" w:hAnsi="Times New Roman" w:cs="Times New Roman"/>
                <w:bCs/>
                <w:sz w:val="18"/>
                <w:szCs w:val="18"/>
                <w:lang w:val="ro-RO" w:eastAsia="ru-RU"/>
              </w:rPr>
              <w:t>Prevederile aferente societăților fianciare holding nu au fost transpuse.</w:t>
            </w:r>
          </w:p>
        </w:tc>
      </w:tr>
      <w:tr w:rsidR="00BB2F88" w:rsidRPr="006F5136" w14:paraId="58F6C542"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03988403" w14:textId="4184E082" w:rsidR="00395381" w:rsidRPr="006F5136" w:rsidRDefault="00395381" w:rsidP="005E4694">
            <w:pPr>
              <w:spacing w:after="0" w:line="240" w:lineRule="auto"/>
              <w:jc w:val="both"/>
              <w:rPr>
                <w:rFonts w:ascii="Times New Roman" w:hAnsi="Times New Roman" w:cs="Times New Roman"/>
                <w:b/>
                <w:sz w:val="18"/>
                <w:szCs w:val="18"/>
                <w:lang w:val="ro-RO"/>
              </w:rPr>
            </w:pPr>
            <w:r w:rsidRPr="006F5136">
              <w:rPr>
                <w:rFonts w:ascii="Times New Roman" w:hAnsi="Times New Roman" w:cs="Times New Roman"/>
                <w:i/>
                <w:sz w:val="18"/>
                <w:szCs w:val="18"/>
                <w:lang w:val="ro-RO"/>
              </w:rPr>
              <w:lastRenderedPageBreak/>
              <w:t>Articolul 4</w:t>
            </w:r>
            <w:r w:rsidRPr="006F5136">
              <w:rPr>
                <w:rFonts w:ascii="Times New Roman" w:hAnsi="Times New Roman" w:cs="Times New Roman"/>
                <w:b/>
                <w:sz w:val="18"/>
                <w:szCs w:val="18"/>
                <w:lang w:val="ro-RO"/>
              </w:rPr>
              <w:t xml:space="preserve"> Definiții</w:t>
            </w:r>
          </w:p>
          <w:p w14:paraId="0D0D24AF" w14:textId="77777777" w:rsidR="00395381" w:rsidRPr="006F5136" w:rsidRDefault="00395381" w:rsidP="005E4694">
            <w:pPr>
              <w:autoSpaceDE w:val="0"/>
              <w:autoSpaceDN w:val="0"/>
              <w:adjustRightInd w:val="0"/>
              <w:spacing w:after="0" w:line="240" w:lineRule="auto"/>
              <w:jc w:val="both"/>
              <w:rPr>
                <w:rFonts w:ascii="Times New Roman" w:eastAsia="Times New Roman" w:hAnsi="Times New Roman" w:cs="Times New Roman"/>
                <w:i/>
                <w:sz w:val="18"/>
                <w:szCs w:val="18"/>
                <w:lang w:val="ro-RO"/>
              </w:rPr>
            </w:pPr>
            <w:r w:rsidRPr="006F5136">
              <w:rPr>
                <w:rFonts w:ascii="Times New Roman" w:hAnsi="Times New Roman" w:cs="Times New Roman"/>
                <w:sz w:val="18"/>
                <w:szCs w:val="18"/>
                <w:lang w:val="ro-RO"/>
              </w:rPr>
              <w:t>(1) În sensul prezentului regulament, se aplică următoarele definiții:</w:t>
            </w:r>
          </w:p>
        </w:tc>
        <w:tc>
          <w:tcPr>
            <w:tcW w:w="1661" w:type="pct"/>
          </w:tcPr>
          <w:p w14:paraId="4C450CE3" w14:textId="77777777" w:rsidR="00395381" w:rsidRPr="006F5136" w:rsidRDefault="00395381" w:rsidP="005E4694">
            <w:pPr>
              <w:spacing w:after="0" w:line="240" w:lineRule="auto"/>
              <w:rPr>
                <w:rFonts w:ascii="Times New Roman" w:hAnsi="Times New Roman" w:cs="Times New Roman"/>
                <w:sz w:val="18"/>
                <w:szCs w:val="18"/>
                <w:lang w:val="ro-RO"/>
              </w:rPr>
            </w:pPr>
          </w:p>
        </w:tc>
        <w:tc>
          <w:tcPr>
            <w:tcW w:w="503" w:type="pct"/>
          </w:tcPr>
          <w:p w14:paraId="100C4CF7" w14:textId="77777777" w:rsidR="00395381" w:rsidRPr="006F5136" w:rsidRDefault="00395381" w:rsidP="005E4694">
            <w:pPr>
              <w:spacing w:after="0" w:line="240" w:lineRule="auto"/>
              <w:jc w:val="both"/>
              <w:rPr>
                <w:rFonts w:ascii="Times New Roman" w:eastAsia="Times New Roman" w:hAnsi="Times New Roman" w:cs="Times New Roman"/>
                <w:sz w:val="18"/>
                <w:szCs w:val="18"/>
                <w:lang w:val="ro-RO" w:eastAsia="ru-RU"/>
              </w:rPr>
            </w:pPr>
          </w:p>
        </w:tc>
        <w:tc>
          <w:tcPr>
            <w:tcW w:w="912" w:type="pct"/>
          </w:tcPr>
          <w:p w14:paraId="42F153CE" w14:textId="2DE0FF3D" w:rsidR="00395381" w:rsidRPr="006F5136" w:rsidRDefault="00395381" w:rsidP="005E4694">
            <w:pPr>
              <w:pStyle w:val="NormalWeb"/>
              <w:ind w:firstLine="0"/>
              <w:jc w:val="left"/>
              <w:rPr>
                <w:sz w:val="18"/>
                <w:szCs w:val="18"/>
                <w:highlight w:val="yellow"/>
                <w:lang w:val="ro-RO"/>
              </w:rPr>
            </w:pPr>
          </w:p>
        </w:tc>
      </w:tr>
      <w:tr w:rsidR="00061310" w:rsidRPr="006F5136" w14:paraId="55F0197E"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10A50122" w14:textId="2F38F759" w:rsidR="00061310" w:rsidRPr="006F5136" w:rsidRDefault="00061310" w:rsidP="00061310">
            <w:pPr>
              <w:spacing w:after="0" w:line="240" w:lineRule="auto"/>
              <w:jc w:val="both"/>
              <w:rPr>
                <w:rFonts w:ascii="Times New Roman" w:hAnsi="Times New Roman" w:cs="Times New Roman"/>
                <w:b/>
                <w:sz w:val="18"/>
                <w:szCs w:val="18"/>
                <w:lang w:val="ro-RO"/>
              </w:rPr>
            </w:pPr>
            <w:r w:rsidRPr="006F5136">
              <w:rPr>
                <w:rFonts w:ascii="Times New Roman" w:hAnsi="Times New Roman" w:cs="Times New Roman"/>
                <w:b/>
                <w:sz w:val="18"/>
                <w:szCs w:val="18"/>
                <w:lang w:val="ro-RO"/>
              </w:rPr>
              <w:t>7</w:t>
            </w:r>
            <w:r w:rsidRPr="006F5136">
              <w:rPr>
                <w:rFonts w:ascii="Times New Roman" w:hAnsi="Times New Roman" w:cs="Times New Roman"/>
                <w:sz w:val="18"/>
                <w:szCs w:val="18"/>
                <w:lang w:val="ro-RO"/>
              </w:rPr>
              <w:t>. „organism de plasament colectiv” sau „OPC” înseamnă un OPCVM astfel cum este definit la articolul 1 alineatul (2) din Directiva 2009/65/UE a Parlamentului European și a Consiliului (</w:t>
            </w:r>
            <w:r w:rsidRPr="006F5136">
              <w:rPr>
                <w:rStyle w:val="superscript"/>
                <w:rFonts w:ascii="Times New Roman" w:eastAsia="Arial Unicode MS" w:hAnsi="Times New Roman" w:cs="Times New Roman"/>
                <w:color w:val="3366CC"/>
                <w:sz w:val="18"/>
                <w:szCs w:val="18"/>
                <w:shd w:val="clear" w:color="auto" w:fill="FFFFFF"/>
                <w:lang w:val="ro-RO"/>
              </w:rPr>
              <w:t>8</w:t>
            </w:r>
            <w:r w:rsidRPr="006F5136">
              <w:rPr>
                <w:rFonts w:ascii="Times New Roman" w:eastAsia="Arial Unicode MS" w:hAnsi="Times New Roman" w:cs="Times New Roman"/>
                <w:color w:val="444444"/>
                <w:sz w:val="18"/>
                <w:szCs w:val="18"/>
                <w:shd w:val="clear" w:color="auto" w:fill="FFFFFF"/>
                <w:lang w:val="ro-RO"/>
              </w:rPr>
              <w:t>), sau un fond de investiții alternative (FIA), astfel cum este definit la articolul</w:t>
            </w:r>
            <w:r w:rsidRPr="006F5136">
              <w:rPr>
                <w:rFonts w:ascii="Times New Roman" w:eastAsia="Malgun Gothic Semilight" w:hAnsi="Times New Roman" w:cs="Times New Roman"/>
                <w:color w:val="444444"/>
                <w:sz w:val="18"/>
                <w:szCs w:val="18"/>
                <w:shd w:val="clear" w:color="auto" w:fill="FFFFFF"/>
                <w:lang w:val="ro-RO"/>
              </w:rPr>
              <w:t> </w:t>
            </w:r>
            <w:r w:rsidRPr="006F5136">
              <w:rPr>
                <w:rFonts w:ascii="Times New Roman" w:eastAsia="Arial Unicode MS" w:hAnsi="Times New Roman" w:cs="Times New Roman"/>
                <w:color w:val="444444"/>
                <w:sz w:val="18"/>
                <w:szCs w:val="18"/>
                <w:shd w:val="clear" w:color="auto" w:fill="FFFFFF"/>
                <w:lang w:val="ro-RO"/>
              </w:rPr>
              <w:t>4 alineatul</w:t>
            </w:r>
            <w:r w:rsidRPr="006F5136">
              <w:rPr>
                <w:rFonts w:ascii="Times New Roman" w:eastAsia="Malgun Gothic Semilight" w:hAnsi="Times New Roman" w:cs="Times New Roman"/>
                <w:color w:val="444444"/>
                <w:sz w:val="18"/>
                <w:szCs w:val="18"/>
                <w:shd w:val="clear" w:color="auto" w:fill="FFFFFF"/>
                <w:lang w:val="ro-RO"/>
              </w:rPr>
              <w:t> </w:t>
            </w:r>
            <w:r w:rsidRPr="006F5136">
              <w:rPr>
                <w:rFonts w:ascii="Times New Roman" w:eastAsia="Arial Unicode MS" w:hAnsi="Times New Roman" w:cs="Times New Roman"/>
                <w:color w:val="444444"/>
                <w:sz w:val="18"/>
                <w:szCs w:val="18"/>
                <w:shd w:val="clear" w:color="auto" w:fill="FFFFFF"/>
                <w:lang w:val="ro-RO"/>
              </w:rPr>
              <w:t>(1) litera</w:t>
            </w:r>
            <w:r w:rsidRPr="006F5136">
              <w:rPr>
                <w:rFonts w:ascii="Times New Roman" w:eastAsia="Malgun Gothic Semilight" w:hAnsi="Times New Roman" w:cs="Times New Roman"/>
                <w:color w:val="444444"/>
                <w:sz w:val="18"/>
                <w:szCs w:val="18"/>
                <w:shd w:val="clear" w:color="auto" w:fill="FFFFFF"/>
                <w:lang w:val="ro-RO"/>
              </w:rPr>
              <w:t> </w:t>
            </w:r>
            <w:r w:rsidRPr="006F5136">
              <w:rPr>
                <w:rFonts w:ascii="Times New Roman" w:eastAsia="Arial Unicode MS" w:hAnsi="Times New Roman" w:cs="Times New Roman"/>
                <w:color w:val="444444"/>
                <w:sz w:val="18"/>
                <w:szCs w:val="18"/>
                <w:shd w:val="clear" w:color="auto" w:fill="FFFFFF"/>
                <w:lang w:val="ro-RO"/>
              </w:rPr>
              <w:t>(a) din Directiva 2011/61/UE a Parlamentului European și a Consiliului</w:t>
            </w:r>
            <w:r w:rsidRPr="006F5136">
              <w:rPr>
                <w:rFonts w:ascii="Times New Roman" w:eastAsia="Malgun Gothic Semilight" w:hAnsi="Times New Roman" w:cs="Times New Roman"/>
                <w:color w:val="444444"/>
                <w:sz w:val="18"/>
                <w:szCs w:val="18"/>
                <w:shd w:val="clear" w:color="auto" w:fill="FFFFFF"/>
                <w:lang w:val="ro-RO"/>
              </w:rPr>
              <w:t> </w:t>
            </w:r>
            <w:r w:rsidRPr="006F5136">
              <w:rPr>
                <w:rFonts w:ascii="Times New Roman" w:eastAsia="Arial Unicode MS" w:hAnsi="Times New Roman" w:cs="Times New Roman"/>
                <w:color w:val="444444"/>
                <w:sz w:val="18"/>
                <w:szCs w:val="18"/>
                <w:shd w:val="clear" w:color="auto" w:fill="FFFFFF"/>
                <w:lang w:val="ro-RO"/>
              </w:rPr>
              <w:t>(</w:t>
            </w:r>
            <w:hyperlink r:id="rId11" w:anchor="E0009" w:history="1">
              <w:r w:rsidRPr="006F5136">
                <w:rPr>
                  <w:rStyle w:val="Hyperlink"/>
                  <w:rFonts w:ascii="Times New Roman" w:eastAsia="Arial Unicode MS" w:hAnsi="Times New Roman" w:cs="Times New Roman"/>
                  <w:color w:val="3366CC"/>
                  <w:sz w:val="18"/>
                  <w:szCs w:val="18"/>
                  <w:shd w:val="clear" w:color="auto" w:fill="FFFFFF"/>
                  <w:lang w:val="ro-RO"/>
                </w:rPr>
                <w:t> </w:t>
              </w:r>
              <w:r w:rsidRPr="006F5136">
                <w:rPr>
                  <w:rStyle w:val="superscript"/>
                  <w:rFonts w:ascii="Times New Roman" w:eastAsia="Arial Unicode MS" w:hAnsi="Times New Roman" w:cs="Times New Roman"/>
                  <w:color w:val="3366CC"/>
                  <w:sz w:val="18"/>
                  <w:szCs w:val="18"/>
                  <w:shd w:val="clear" w:color="auto" w:fill="FFFFFF"/>
                  <w:lang w:val="ro-RO"/>
                </w:rPr>
                <w:t>9</w:t>
              </w:r>
              <w:r w:rsidRPr="006F5136">
                <w:rPr>
                  <w:rStyle w:val="Hyperlink"/>
                  <w:rFonts w:ascii="Times New Roman" w:eastAsia="Arial Unicode MS" w:hAnsi="Times New Roman" w:cs="Times New Roman"/>
                  <w:color w:val="3366CC"/>
                  <w:sz w:val="18"/>
                  <w:szCs w:val="18"/>
                  <w:shd w:val="clear" w:color="auto" w:fill="FFFFFF"/>
                  <w:lang w:val="ro-RO"/>
                </w:rPr>
                <w:t> </w:t>
              </w:r>
            </w:hyperlink>
            <w:r w:rsidRPr="006F5136">
              <w:rPr>
                <w:rFonts w:ascii="Times New Roman" w:eastAsia="Arial Unicode MS" w:hAnsi="Times New Roman" w:cs="Times New Roman"/>
                <w:color w:val="444444"/>
                <w:sz w:val="18"/>
                <w:szCs w:val="18"/>
                <w:shd w:val="clear" w:color="auto" w:fill="FFFFFF"/>
                <w:lang w:val="ro-RO"/>
              </w:rPr>
              <w:t>)</w:t>
            </w:r>
            <w:r w:rsidRPr="006F5136">
              <w:rPr>
                <w:rFonts w:ascii="Times New Roman" w:hAnsi="Times New Roman" w:cs="Times New Roman"/>
                <w:sz w:val="18"/>
                <w:szCs w:val="18"/>
                <w:lang w:val="ro-RO"/>
              </w:rPr>
              <w:t>;</w:t>
            </w:r>
          </w:p>
        </w:tc>
        <w:tc>
          <w:tcPr>
            <w:tcW w:w="1661" w:type="pct"/>
          </w:tcPr>
          <w:p w14:paraId="5EBAF017" w14:textId="77777777" w:rsidR="00061310" w:rsidRPr="006F5136" w:rsidRDefault="00061310" w:rsidP="00061310">
            <w:pPr>
              <w:spacing w:after="0" w:line="240" w:lineRule="auto"/>
              <w:jc w:val="both"/>
              <w:rPr>
                <w:rFonts w:ascii="Times New Roman" w:hAnsi="Times New Roman" w:cs="Times New Roman"/>
                <w:bCs/>
                <w:sz w:val="18"/>
                <w:szCs w:val="18"/>
                <w:lang w:val="ro-RO"/>
              </w:rPr>
            </w:pPr>
            <w:r w:rsidRPr="006F5136">
              <w:rPr>
                <w:rFonts w:ascii="Times New Roman" w:hAnsi="Times New Roman" w:cs="Times New Roman"/>
                <w:b/>
                <w:sz w:val="18"/>
                <w:szCs w:val="18"/>
                <w:lang w:val="ro-RO"/>
              </w:rPr>
              <w:t>organism de plasament colectiv (OPC)</w:t>
            </w:r>
            <w:r w:rsidRPr="006F5136">
              <w:rPr>
                <w:rFonts w:ascii="Times New Roman" w:hAnsi="Times New Roman" w:cs="Times New Roman"/>
                <w:bCs/>
                <w:sz w:val="18"/>
                <w:szCs w:val="18"/>
                <w:lang w:val="ro-RO"/>
              </w:rPr>
              <w:t xml:space="preserve"> – organism de plasament colectiv (OPC) – organism de plasament colectiv în valori mobiliare (OPCVM) din Republica Moldova sau din alt stat, astfel cum este definit la art.6 din Legea nr.171/2012 privind piața de capital (Monitorul Oficial al Republicii Moldova, 2012, nr.193-197, art.665) sau un fond de investiții alternative (FIA) astfel cum este definit în Legea nr.2/2020 privind organismele de plasament colectiv alternative (Monitorul Oficial al Republicii Moldova, 2020, nr.94-98, art.142);</w:t>
            </w:r>
          </w:p>
          <w:p w14:paraId="212EEAA5" w14:textId="77777777" w:rsidR="00061310" w:rsidRPr="006F5136" w:rsidRDefault="00061310" w:rsidP="00061310">
            <w:pPr>
              <w:spacing w:after="0" w:line="240" w:lineRule="auto"/>
              <w:jc w:val="both"/>
              <w:rPr>
                <w:rFonts w:ascii="Times New Roman" w:hAnsi="Times New Roman" w:cs="Times New Roman"/>
                <w:bCs/>
                <w:sz w:val="18"/>
                <w:szCs w:val="18"/>
                <w:lang w:val="ro-RO"/>
              </w:rPr>
            </w:pPr>
          </w:p>
          <w:p w14:paraId="252932CB" w14:textId="28FD73D9" w:rsidR="00061310" w:rsidRPr="006F5136" w:rsidRDefault="00061310" w:rsidP="00061310">
            <w:pPr>
              <w:spacing w:after="0" w:line="240" w:lineRule="auto"/>
              <w:jc w:val="both"/>
              <w:rPr>
                <w:rFonts w:ascii="Times New Roman" w:hAnsi="Times New Roman" w:cs="Times New Roman"/>
                <w:bCs/>
                <w:i/>
                <w:iCs/>
                <w:sz w:val="18"/>
                <w:szCs w:val="18"/>
                <w:lang w:val="ro-RO"/>
              </w:rPr>
            </w:pPr>
            <w:r w:rsidRPr="006F5136">
              <w:rPr>
                <w:rFonts w:ascii="Times New Roman" w:hAnsi="Times New Roman" w:cs="Times New Roman"/>
                <w:bCs/>
                <w:i/>
                <w:iCs/>
                <w:sz w:val="18"/>
                <w:szCs w:val="18"/>
                <w:lang w:val="ro-RO"/>
              </w:rPr>
              <w:t>Modificat prin Proiectul HCE al BNM privind modificarea Regulamentului nr.111/2018.</w:t>
            </w:r>
          </w:p>
        </w:tc>
        <w:tc>
          <w:tcPr>
            <w:tcW w:w="503" w:type="pct"/>
          </w:tcPr>
          <w:p w14:paraId="388E6D7D" w14:textId="55F660BC"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054252B6" w14:textId="67E9F63E" w:rsidR="00061310" w:rsidRPr="006F5136" w:rsidRDefault="00061310" w:rsidP="00061310">
            <w:pPr>
              <w:spacing w:after="0" w:line="240" w:lineRule="auto"/>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BB2F88" w:rsidRPr="006F5136" w14:paraId="7E443CFD"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770EC991" w14:textId="77777777" w:rsidR="00395381" w:rsidRPr="006F5136" w:rsidRDefault="00395381" w:rsidP="005E4694">
            <w:pPr>
              <w:spacing w:after="0" w:line="240" w:lineRule="auto"/>
              <w:jc w:val="both"/>
              <w:rPr>
                <w:rFonts w:ascii="Times New Roman" w:hAnsi="Times New Roman" w:cs="Times New Roman"/>
                <w:b/>
                <w:sz w:val="18"/>
                <w:szCs w:val="18"/>
                <w:lang w:val="ro-RO"/>
              </w:rPr>
            </w:pPr>
            <w:r w:rsidRPr="006F5136">
              <w:rPr>
                <w:rFonts w:ascii="Times New Roman" w:hAnsi="Times New Roman" w:cs="Times New Roman"/>
                <w:b/>
                <w:sz w:val="18"/>
                <w:szCs w:val="18"/>
                <w:lang w:val="ro-RO"/>
              </w:rPr>
              <w:t xml:space="preserve">8. </w:t>
            </w:r>
            <w:r w:rsidRPr="006F5136">
              <w:rPr>
                <w:rFonts w:ascii="Times New Roman" w:hAnsi="Times New Roman" w:cs="Times New Roman"/>
                <w:sz w:val="18"/>
                <w:szCs w:val="18"/>
                <w:lang w:val="ro-RO"/>
              </w:rPr>
              <w:t>„entitate din sectorul public”</w:t>
            </w:r>
            <w:r w:rsidRPr="006F5136">
              <w:rPr>
                <w:rFonts w:ascii="Times New Roman" w:hAnsi="Times New Roman" w:cs="Times New Roman"/>
                <w:b/>
                <w:sz w:val="18"/>
                <w:szCs w:val="18"/>
                <w:lang w:val="ro-RO"/>
              </w:rPr>
              <w:t xml:space="preserve"> </w:t>
            </w:r>
            <w:r w:rsidRPr="006F5136">
              <w:rPr>
                <w:rFonts w:ascii="Times New Roman" w:hAnsi="Times New Roman" w:cs="Times New Roman"/>
                <w:sz w:val="18"/>
                <w:szCs w:val="18"/>
                <w:lang w:val="ro-RO"/>
              </w:rPr>
              <w:t>înseamnă un organism administrativ fără caracter comercial subordonat administrațiilor centrale, administrațiilor regionale, autorităților locale sau autorităților care exercită aceleași atribuții ca și autoritățile regionale și locale, sau o întreprindere necomercială deținută sau înființată și finanțată de administrațiile centrale, de administrațiile regionale sau de autoritățile locale și care beneficiază de acorduri de garantare explicite și care poate include organisme autonome guvernate prin lege și aflate sub supraveghere publică;</w:t>
            </w:r>
          </w:p>
        </w:tc>
        <w:tc>
          <w:tcPr>
            <w:tcW w:w="1661" w:type="pct"/>
          </w:tcPr>
          <w:p w14:paraId="0D57B4DE" w14:textId="6D0E6083" w:rsidR="00475794" w:rsidRPr="006F5136" w:rsidRDefault="00B75BD0" w:rsidP="005E4694">
            <w:pPr>
              <w:spacing w:after="0" w:line="240" w:lineRule="auto"/>
              <w:jc w:val="both"/>
              <w:rPr>
                <w:rFonts w:ascii="Times New Roman" w:hAnsi="Times New Roman" w:cs="Times New Roman"/>
                <w:bCs/>
                <w:sz w:val="18"/>
                <w:szCs w:val="18"/>
                <w:lang w:val="ro-RO"/>
              </w:rPr>
            </w:pPr>
            <w:r w:rsidRPr="006F5136">
              <w:rPr>
                <w:rFonts w:ascii="Times New Roman" w:hAnsi="Times New Roman" w:cs="Times New Roman"/>
                <w:b/>
                <w:sz w:val="18"/>
                <w:szCs w:val="18"/>
                <w:lang w:val="ro-RO"/>
              </w:rPr>
              <w:t xml:space="preserve">entitate din sectorul public – </w:t>
            </w:r>
            <w:r w:rsidRPr="006F5136">
              <w:rPr>
                <w:rFonts w:ascii="Times New Roman" w:hAnsi="Times New Roman" w:cs="Times New Roman"/>
                <w:bCs/>
                <w:sz w:val="18"/>
                <w:szCs w:val="18"/>
                <w:lang w:val="ro-RO"/>
              </w:rPr>
              <w:t>un organism administrativ fără caracter comercial subordonat administraţiilor centrale, regionale, autorităţilor locale sau celor care exercită aceleaşi atribuţii ca şi autorităţile regionale şi locale, sau o organizaţie necomercială deţinută sau înfiinţată şi finanţată de administraţiile centrale, regionale sau de autorităţile locale şi care beneficiază de acorduri de garantare explicite şi care poate include organisme autonome guvernate prin lege şi aflate sub supraveghere publică;</w:t>
            </w:r>
          </w:p>
        </w:tc>
        <w:tc>
          <w:tcPr>
            <w:tcW w:w="503" w:type="pct"/>
          </w:tcPr>
          <w:p w14:paraId="78C25F6B" w14:textId="77777777"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 xml:space="preserve">Compatibil </w:t>
            </w:r>
          </w:p>
        </w:tc>
        <w:tc>
          <w:tcPr>
            <w:tcW w:w="912" w:type="pct"/>
          </w:tcPr>
          <w:p w14:paraId="53D3839B" w14:textId="127C1819" w:rsidR="00395381" w:rsidRPr="006F5136" w:rsidRDefault="00475794"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bCs/>
                <w:i/>
                <w:iCs/>
                <w:sz w:val="18"/>
                <w:szCs w:val="18"/>
                <w:lang w:val="ro-RO"/>
              </w:rPr>
              <w:t>Regulamentul nr.111/2018</w:t>
            </w:r>
          </w:p>
        </w:tc>
      </w:tr>
      <w:tr w:rsidR="00BB2F88" w:rsidRPr="006F5136" w14:paraId="46C929E7"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C9F0366" w14:textId="1DD33BA2" w:rsidR="00395381" w:rsidRPr="006F5136" w:rsidRDefault="00395381" w:rsidP="005E4694">
            <w:pPr>
              <w:pStyle w:val="CM4"/>
              <w:jc w:val="both"/>
              <w:rPr>
                <w:rFonts w:ascii="Times New Roman" w:hAnsi="Times New Roman"/>
                <w:b/>
                <w:sz w:val="18"/>
                <w:szCs w:val="18"/>
                <w:lang w:val="ro-RO"/>
              </w:rPr>
            </w:pPr>
            <w:r w:rsidRPr="006F5136">
              <w:rPr>
                <w:rFonts w:ascii="Times New Roman" w:hAnsi="Times New Roman"/>
                <w:b/>
                <w:sz w:val="18"/>
                <w:szCs w:val="18"/>
                <w:lang w:val="ro-RO"/>
              </w:rPr>
              <w:t xml:space="preserve">61. </w:t>
            </w:r>
            <w:r w:rsidRPr="006F5136">
              <w:rPr>
                <w:rFonts w:ascii="Times New Roman" w:hAnsi="Times New Roman"/>
                <w:sz w:val="18"/>
                <w:szCs w:val="18"/>
                <w:lang w:val="ro-RO"/>
              </w:rPr>
              <w:t xml:space="preserve">„securitizare” înseamnă o </w:t>
            </w:r>
            <w:r w:rsidR="00EF007A" w:rsidRPr="006F5136">
              <w:rPr>
                <w:rFonts w:ascii="Times New Roman" w:hAnsi="Times New Roman"/>
                <w:sz w:val="18"/>
                <w:szCs w:val="18"/>
                <w:lang w:val="ro-RO"/>
              </w:rPr>
              <w:t>securitizare astfel cum este definită la articolul 2 punctul 1 din Regulamentul (UE) 2017/2402</w:t>
            </w:r>
            <w:r w:rsidRPr="006F5136">
              <w:rPr>
                <w:rFonts w:ascii="Times New Roman" w:hAnsi="Times New Roman"/>
                <w:sz w:val="18"/>
                <w:szCs w:val="18"/>
                <w:lang w:val="ro-RO"/>
              </w:rPr>
              <w:t>;</w:t>
            </w:r>
          </w:p>
        </w:tc>
        <w:tc>
          <w:tcPr>
            <w:tcW w:w="1661" w:type="pct"/>
          </w:tcPr>
          <w:p w14:paraId="4CF290CF" w14:textId="77777777" w:rsidR="00853619" w:rsidRPr="006F5136" w:rsidRDefault="00853619" w:rsidP="005E4694">
            <w:pPr>
              <w:spacing w:after="0" w:line="240" w:lineRule="auto"/>
              <w:jc w:val="both"/>
              <w:rPr>
                <w:rFonts w:ascii="Times New Roman" w:hAnsi="Times New Roman" w:cs="Times New Roman"/>
                <w:bCs/>
                <w:sz w:val="18"/>
                <w:szCs w:val="18"/>
                <w:lang w:val="ro-RO"/>
              </w:rPr>
            </w:pPr>
            <w:r w:rsidRPr="006F5136">
              <w:rPr>
                <w:rFonts w:ascii="Times New Roman" w:hAnsi="Times New Roman" w:cs="Times New Roman"/>
                <w:b/>
                <w:sz w:val="18"/>
                <w:szCs w:val="18"/>
                <w:lang w:val="ro-RO"/>
              </w:rPr>
              <w:t xml:space="preserve">securitizare – </w:t>
            </w:r>
            <w:r w:rsidRPr="006F5136">
              <w:rPr>
                <w:rFonts w:ascii="Times New Roman" w:hAnsi="Times New Roman" w:cs="Times New Roman"/>
                <w:bCs/>
                <w:sz w:val="18"/>
                <w:szCs w:val="18"/>
                <w:lang w:val="ro-RO"/>
              </w:rPr>
              <w:t>o tranzacţie sau o schemă prin care riscul de credit asociat unei expuneri sau unui portofoliu de expuneri este segmentat pe tranşe, având următoarele caracteristici:</w:t>
            </w:r>
          </w:p>
          <w:p w14:paraId="10AA20A8" w14:textId="77777777" w:rsidR="00853619" w:rsidRPr="006F5136" w:rsidRDefault="00853619" w:rsidP="005E4694">
            <w:pPr>
              <w:spacing w:after="0" w:line="240" w:lineRule="auto"/>
              <w:jc w:val="both"/>
              <w:rPr>
                <w:rFonts w:ascii="Times New Roman" w:hAnsi="Times New Roman" w:cs="Times New Roman"/>
                <w:bCs/>
                <w:sz w:val="18"/>
                <w:szCs w:val="18"/>
                <w:lang w:val="ro-RO"/>
              </w:rPr>
            </w:pPr>
            <w:r w:rsidRPr="006F5136">
              <w:rPr>
                <w:rFonts w:ascii="Times New Roman" w:hAnsi="Times New Roman" w:cs="Times New Roman"/>
                <w:bCs/>
                <w:sz w:val="18"/>
                <w:szCs w:val="18"/>
                <w:lang w:val="ro-RO"/>
              </w:rPr>
              <w:t>1) Plăţile în cadrul tranzacţiei sau schemei sunt dependente de performanţa expunerii sau a portofoliului de expuneri;</w:t>
            </w:r>
          </w:p>
          <w:p w14:paraId="0B523B65" w14:textId="69B37D22" w:rsidR="00395381" w:rsidRPr="006F5136" w:rsidRDefault="00853619" w:rsidP="005E4694">
            <w:pPr>
              <w:spacing w:after="0" w:line="240" w:lineRule="auto"/>
              <w:jc w:val="both"/>
              <w:rPr>
                <w:rFonts w:ascii="Times New Roman" w:hAnsi="Times New Roman" w:cs="Times New Roman"/>
                <w:b/>
                <w:sz w:val="18"/>
                <w:szCs w:val="18"/>
                <w:lang w:val="ro-RO"/>
              </w:rPr>
            </w:pPr>
            <w:r w:rsidRPr="006F5136">
              <w:rPr>
                <w:rFonts w:ascii="Times New Roman" w:hAnsi="Times New Roman" w:cs="Times New Roman"/>
                <w:bCs/>
                <w:sz w:val="18"/>
                <w:szCs w:val="18"/>
                <w:lang w:val="ro-RO"/>
              </w:rPr>
              <w:t>2) Subordonarea tranşelor determină modul de distribuire a pierderilor pe parcursul duratei de viaţă a tranzacţiei sau a schemei;</w:t>
            </w:r>
          </w:p>
        </w:tc>
        <w:tc>
          <w:tcPr>
            <w:tcW w:w="503" w:type="pct"/>
          </w:tcPr>
          <w:p w14:paraId="6CBD5546" w14:textId="7F651E85" w:rsidR="00395381" w:rsidRPr="006F5136" w:rsidRDefault="005942C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Parțial compatibil</w:t>
            </w:r>
          </w:p>
        </w:tc>
        <w:tc>
          <w:tcPr>
            <w:tcW w:w="912" w:type="pct"/>
          </w:tcPr>
          <w:p w14:paraId="01B88935" w14:textId="07491A4F" w:rsidR="005942C0" w:rsidRPr="006F5136" w:rsidRDefault="00395381" w:rsidP="005E4694">
            <w:pPr>
              <w:spacing w:after="0" w:line="240" w:lineRule="auto"/>
              <w:rPr>
                <w:rFonts w:ascii="Times New Roman" w:hAnsi="Times New Roman" w:cs="Times New Roman"/>
                <w:b/>
                <w:sz w:val="18"/>
                <w:szCs w:val="18"/>
                <w:lang w:val="ro-RO"/>
              </w:rPr>
            </w:pPr>
            <w:r w:rsidRPr="006F5136">
              <w:rPr>
                <w:rFonts w:ascii="Times New Roman" w:hAnsi="Times New Roman" w:cs="Times New Roman"/>
                <w:sz w:val="18"/>
                <w:szCs w:val="18"/>
                <w:lang w:val="ro-RO"/>
              </w:rPr>
              <w:t>Transpusă în p.3 din</w:t>
            </w:r>
            <w:r w:rsidRPr="006F5136">
              <w:rPr>
                <w:rFonts w:ascii="Times New Roman" w:hAnsi="Times New Roman" w:cs="Times New Roman"/>
                <w:b/>
                <w:sz w:val="18"/>
                <w:szCs w:val="18"/>
                <w:lang w:val="ro-RO"/>
              </w:rPr>
              <w:t xml:space="preserve"> Regulamentul cu privire la tratamentul riscului de credit pentru bănci potrivit abordării standardizate, </w:t>
            </w:r>
            <w:r w:rsidRPr="006F5136">
              <w:rPr>
                <w:rFonts w:ascii="Times New Roman" w:hAnsi="Times New Roman" w:cs="Times New Roman"/>
                <w:sz w:val="18"/>
                <w:szCs w:val="18"/>
                <w:lang w:val="ro-RO"/>
              </w:rPr>
              <w:t>aprobat prin HCE al BNM nr.111/2018, prin noțiunea „securitizare”</w:t>
            </w:r>
            <w:r w:rsidRPr="006F5136">
              <w:rPr>
                <w:rFonts w:ascii="Times New Roman" w:hAnsi="Times New Roman" w:cs="Times New Roman"/>
                <w:b/>
                <w:sz w:val="18"/>
                <w:szCs w:val="18"/>
                <w:lang w:val="ro-RO"/>
              </w:rPr>
              <w:t>.</w:t>
            </w:r>
          </w:p>
        </w:tc>
      </w:tr>
      <w:tr w:rsidR="00BB2F88" w:rsidRPr="006F5136" w14:paraId="1C60932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E596A52" w14:textId="4BA37910" w:rsidR="00395381" w:rsidRPr="006F5136" w:rsidRDefault="00395381" w:rsidP="005E4694">
            <w:pPr>
              <w:pStyle w:val="CM4"/>
              <w:jc w:val="both"/>
              <w:rPr>
                <w:rFonts w:ascii="Times New Roman" w:hAnsi="Times New Roman"/>
                <w:b/>
                <w:sz w:val="18"/>
                <w:szCs w:val="18"/>
                <w:lang w:val="ro-RO"/>
              </w:rPr>
            </w:pPr>
            <w:r w:rsidRPr="006F5136">
              <w:rPr>
                <w:rFonts w:ascii="Times New Roman" w:hAnsi="Times New Roman"/>
                <w:b/>
                <w:sz w:val="18"/>
                <w:szCs w:val="18"/>
                <w:lang w:val="ro-RO"/>
              </w:rPr>
              <w:t xml:space="preserve">62. </w:t>
            </w:r>
            <w:r w:rsidRPr="006F5136">
              <w:rPr>
                <w:rFonts w:ascii="Times New Roman" w:hAnsi="Times New Roman"/>
                <w:sz w:val="18"/>
                <w:szCs w:val="18"/>
                <w:lang w:val="ro-RO"/>
              </w:rPr>
              <w:t>„poziție din securitizare”</w:t>
            </w:r>
            <w:r w:rsidRPr="006F5136">
              <w:rPr>
                <w:rFonts w:ascii="Times New Roman" w:hAnsi="Times New Roman"/>
                <w:b/>
                <w:sz w:val="18"/>
                <w:szCs w:val="18"/>
                <w:lang w:val="ro-RO"/>
              </w:rPr>
              <w:t xml:space="preserve"> </w:t>
            </w:r>
            <w:r w:rsidRPr="006F5136">
              <w:rPr>
                <w:rFonts w:ascii="Times New Roman" w:hAnsi="Times New Roman"/>
                <w:sz w:val="18"/>
                <w:szCs w:val="18"/>
                <w:lang w:val="ro-RO"/>
              </w:rPr>
              <w:t xml:space="preserve">înseamnă o </w:t>
            </w:r>
            <w:r w:rsidR="00257CFD" w:rsidRPr="006F5136">
              <w:rPr>
                <w:rFonts w:ascii="Times New Roman" w:hAnsi="Times New Roman"/>
                <w:sz w:val="18"/>
                <w:szCs w:val="18"/>
                <w:lang w:val="ro-RO"/>
              </w:rPr>
              <w:t>înseamnă o poziție din securitizare astfel cum este definită la articolul 2 punctul 19 din Regulamentul (UE) 2017/2402</w:t>
            </w:r>
            <w:r w:rsidRPr="006F5136">
              <w:rPr>
                <w:rFonts w:ascii="Times New Roman" w:hAnsi="Times New Roman"/>
                <w:sz w:val="18"/>
                <w:szCs w:val="18"/>
                <w:lang w:val="ro-RO"/>
              </w:rPr>
              <w:t>;</w:t>
            </w:r>
          </w:p>
        </w:tc>
        <w:tc>
          <w:tcPr>
            <w:tcW w:w="1661" w:type="pct"/>
          </w:tcPr>
          <w:p w14:paraId="375098BE" w14:textId="38F36EE1" w:rsidR="00395381" w:rsidRPr="006F5136" w:rsidRDefault="00AC5CF3" w:rsidP="005E4694">
            <w:pPr>
              <w:spacing w:after="0" w:line="240" w:lineRule="auto"/>
              <w:jc w:val="both"/>
              <w:rPr>
                <w:rFonts w:ascii="Times New Roman" w:hAnsi="Times New Roman" w:cs="Times New Roman"/>
                <w:b/>
                <w:sz w:val="18"/>
                <w:szCs w:val="18"/>
                <w:lang w:val="ro-RO"/>
              </w:rPr>
            </w:pPr>
            <w:r w:rsidRPr="006F5136">
              <w:rPr>
                <w:rFonts w:ascii="Times New Roman" w:hAnsi="Times New Roman" w:cs="Times New Roman"/>
                <w:b/>
                <w:sz w:val="18"/>
                <w:szCs w:val="18"/>
                <w:lang w:val="ro-RO"/>
              </w:rPr>
              <w:t xml:space="preserve">poziţie din securitizare </w:t>
            </w:r>
            <w:r w:rsidRPr="006F5136">
              <w:rPr>
                <w:rFonts w:ascii="Times New Roman" w:hAnsi="Times New Roman" w:cs="Times New Roman"/>
                <w:bCs/>
                <w:sz w:val="18"/>
                <w:szCs w:val="18"/>
                <w:lang w:val="ro-RO"/>
              </w:rPr>
              <w:t>– o expunere faţă de o securitizare;</w:t>
            </w:r>
          </w:p>
        </w:tc>
        <w:tc>
          <w:tcPr>
            <w:tcW w:w="503" w:type="pct"/>
          </w:tcPr>
          <w:p w14:paraId="2A007968" w14:textId="77777777"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6F3E5016" w14:textId="23899432" w:rsidR="00395381" w:rsidRPr="006F5136" w:rsidRDefault="00395381" w:rsidP="005E4694">
            <w:pPr>
              <w:spacing w:after="0" w:line="240" w:lineRule="auto"/>
              <w:rPr>
                <w:rFonts w:ascii="Times New Roman" w:hAnsi="Times New Roman" w:cs="Times New Roman"/>
                <w:b/>
                <w:sz w:val="18"/>
                <w:szCs w:val="18"/>
                <w:lang w:val="ro-RO"/>
              </w:rPr>
            </w:pPr>
            <w:r w:rsidRPr="006F5136">
              <w:rPr>
                <w:rFonts w:ascii="Times New Roman" w:hAnsi="Times New Roman" w:cs="Times New Roman"/>
                <w:sz w:val="18"/>
                <w:szCs w:val="18"/>
                <w:lang w:val="ro-RO"/>
              </w:rPr>
              <w:t>Transpusă în p.3 din</w:t>
            </w:r>
            <w:r w:rsidRPr="006F5136">
              <w:rPr>
                <w:rFonts w:ascii="Times New Roman" w:hAnsi="Times New Roman" w:cs="Times New Roman"/>
                <w:b/>
                <w:sz w:val="18"/>
                <w:szCs w:val="18"/>
                <w:lang w:val="ro-RO"/>
              </w:rPr>
              <w:t xml:space="preserve"> Regulamentul cu privire la tratamentul riscului de credit pentru bănci potrivit abordării standardizate, </w:t>
            </w:r>
            <w:r w:rsidRPr="006F5136">
              <w:rPr>
                <w:rFonts w:ascii="Times New Roman" w:hAnsi="Times New Roman" w:cs="Times New Roman"/>
                <w:sz w:val="18"/>
                <w:szCs w:val="18"/>
                <w:lang w:val="ro-RO"/>
              </w:rPr>
              <w:t>aprobat prin HCE al BNM nr.111/2018, prin noțiunea „poziție din securitizare”</w:t>
            </w:r>
            <w:r w:rsidRPr="006F5136">
              <w:rPr>
                <w:rFonts w:ascii="Times New Roman" w:hAnsi="Times New Roman" w:cs="Times New Roman"/>
                <w:b/>
                <w:sz w:val="18"/>
                <w:szCs w:val="18"/>
                <w:lang w:val="ro-RO"/>
              </w:rPr>
              <w:t>.</w:t>
            </w:r>
          </w:p>
        </w:tc>
      </w:tr>
      <w:tr w:rsidR="00BB2F88" w:rsidRPr="006F5136" w14:paraId="401B4227"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99DC092" w14:textId="38DF4D7A" w:rsidR="00395381" w:rsidRPr="006F5136" w:rsidRDefault="00395381" w:rsidP="005E4694">
            <w:pPr>
              <w:pStyle w:val="CM4"/>
              <w:jc w:val="both"/>
              <w:rPr>
                <w:rFonts w:ascii="Times New Roman" w:hAnsi="Times New Roman"/>
                <w:b/>
                <w:sz w:val="18"/>
                <w:szCs w:val="18"/>
                <w:lang w:val="ro-RO"/>
              </w:rPr>
            </w:pPr>
            <w:r w:rsidRPr="006F5136">
              <w:rPr>
                <w:rFonts w:ascii="Times New Roman" w:hAnsi="Times New Roman"/>
                <w:b/>
                <w:sz w:val="18"/>
                <w:szCs w:val="18"/>
                <w:lang w:val="ro-RO"/>
              </w:rPr>
              <w:t xml:space="preserve">67. </w:t>
            </w:r>
            <w:r w:rsidRPr="006F5136">
              <w:rPr>
                <w:rFonts w:ascii="Times New Roman" w:hAnsi="Times New Roman"/>
                <w:sz w:val="18"/>
                <w:szCs w:val="18"/>
                <w:lang w:val="ro-RO"/>
              </w:rPr>
              <w:t>„tranșă”</w:t>
            </w:r>
            <w:r w:rsidRPr="006F5136">
              <w:rPr>
                <w:rFonts w:ascii="Times New Roman" w:hAnsi="Times New Roman"/>
                <w:b/>
                <w:sz w:val="18"/>
                <w:szCs w:val="18"/>
                <w:lang w:val="ro-RO"/>
              </w:rPr>
              <w:t xml:space="preserve"> </w:t>
            </w:r>
            <w:r w:rsidRPr="006F5136">
              <w:rPr>
                <w:rFonts w:ascii="Times New Roman" w:hAnsi="Times New Roman"/>
                <w:sz w:val="18"/>
                <w:szCs w:val="18"/>
                <w:lang w:val="ro-RO"/>
              </w:rPr>
              <w:t xml:space="preserve">înseamnă </w:t>
            </w:r>
            <w:r w:rsidR="005B7D99" w:rsidRPr="006F5136">
              <w:rPr>
                <w:rFonts w:ascii="Times New Roman" w:hAnsi="Times New Roman"/>
                <w:sz w:val="18"/>
                <w:szCs w:val="18"/>
                <w:lang w:val="ro-RO"/>
              </w:rPr>
              <w:t>o tranșă astfel cum este definită la articolul 2 punctul 6 din Regulamentul (UE) 2017/2402</w:t>
            </w:r>
            <w:r w:rsidRPr="006F5136">
              <w:rPr>
                <w:rFonts w:ascii="Times New Roman" w:hAnsi="Times New Roman"/>
                <w:sz w:val="18"/>
                <w:szCs w:val="18"/>
                <w:lang w:val="ro-RO"/>
              </w:rPr>
              <w:t>;</w:t>
            </w:r>
          </w:p>
        </w:tc>
        <w:tc>
          <w:tcPr>
            <w:tcW w:w="1661" w:type="pct"/>
          </w:tcPr>
          <w:p w14:paraId="13F18F30" w14:textId="306E75EC" w:rsidR="00395381" w:rsidRPr="006F5136" w:rsidRDefault="005B7D99" w:rsidP="005E4694">
            <w:pPr>
              <w:spacing w:after="0" w:line="240" w:lineRule="auto"/>
              <w:jc w:val="both"/>
              <w:rPr>
                <w:rFonts w:ascii="Times New Roman" w:hAnsi="Times New Roman" w:cs="Times New Roman"/>
                <w:b/>
                <w:sz w:val="18"/>
                <w:szCs w:val="18"/>
                <w:lang w:val="ro-RO"/>
              </w:rPr>
            </w:pPr>
            <w:r w:rsidRPr="006F5136">
              <w:rPr>
                <w:rFonts w:ascii="Times New Roman" w:hAnsi="Times New Roman" w:cs="Times New Roman"/>
                <w:b/>
                <w:sz w:val="18"/>
                <w:szCs w:val="18"/>
                <w:lang w:val="ro-RO"/>
              </w:rPr>
              <w:t xml:space="preserve">tranşă – </w:t>
            </w:r>
            <w:r w:rsidRPr="006F5136">
              <w:rPr>
                <w:rFonts w:ascii="Times New Roman" w:hAnsi="Times New Roman" w:cs="Times New Roman"/>
                <w:bCs/>
                <w:sz w:val="18"/>
                <w:szCs w:val="18"/>
                <w:lang w:val="ro-RO"/>
              </w:rPr>
              <w:t>în sensul securitizării, un segment de risc de credit, stabilit contractual, asociat unei expuneri sau unui număr de expuneri, în care o poziţie din segment implică un risc de pierdere din credit mai mare sau mai mic decât o poziţie în cuantum egal din orice alt asemenea segment, fără a se ţine seama de protecţia creditului furnizată de părţi terţe în mod direct deţinătorilor poziţiilor din segment sau din alte segmente;</w:t>
            </w:r>
          </w:p>
        </w:tc>
        <w:tc>
          <w:tcPr>
            <w:tcW w:w="503" w:type="pct"/>
          </w:tcPr>
          <w:p w14:paraId="350ED85D" w14:textId="77777777"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p w14:paraId="158F3CE8" w14:textId="77777777" w:rsidR="00395381" w:rsidRPr="006F5136" w:rsidRDefault="00395381" w:rsidP="005E4694">
            <w:pPr>
              <w:spacing w:after="0" w:line="240" w:lineRule="auto"/>
              <w:jc w:val="both"/>
              <w:rPr>
                <w:rFonts w:ascii="Times New Roman" w:hAnsi="Times New Roman" w:cs="Times New Roman"/>
                <w:sz w:val="18"/>
                <w:szCs w:val="18"/>
                <w:lang w:val="ro-RO"/>
              </w:rPr>
            </w:pPr>
          </w:p>
        </w:tc>
        <w:tc>
          <w:tcPr>
            <w:tcW w:w="912" w:type="pct"/>
          </w:tcPr>
          <w:p w14:paraId="332050F2" w14:textId="474AC573"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Transpusă în p.3 din</w:t>
            </w:r>
            <w:r w:rsidRPr="006F5136">
              <w:rPr>
                <w:rFonts w:ascii="Times New Roman" w:hAnsi="Times New Roman" w:cs="Times New Roman"/>
                <w:b/>
                <w:sz w:val="18"/>
                <w:szCs w:val="18"/>
                <w:lang w:val="ro-RO"/>
              </w:rPr>
              <w:t xml:space="preserve"> Regulamentul cu privire la tratamentul riscului de credit pentru bănci potrivit abordării standardizate, </w:t>
            </w:r>
            <w:r w:rsidRPr="006F5136">
              <w:rPr>
                <w:rFonts w:ascii="Times New Roman" w:hAnsi="Times New Roman" w:cs="Times New Roman"/>
                <w:sz w:val="18"/>
                <w:szCs w:val="18"/>
                <w:lang w:val="ro-RO"/>
              </w:rPr>
              <w:t>aprobat prin HCE al BNM nr.111/2018, prin noțiunea „tranșă”</w:t>
            </w:r>
            <w:r w:rsidRPr="006F5136">
              <w:rPr>
                <w:rFonts w:ascii="Times New Roman" w:hAnsi="Times New Roman" w:cs="Times New Roman"/>
                <w:b/>
                <w:sz w:val="18"/>
                <w:szCs w:val="18"/>
                <w:lang w:val="ro-RO"/>
              </w:rPr>
              <w:t>.</w:t>
            </w:r>
          </w:p>
        </w:tc>
      </w:tr>
      <w:tr w:rsidR="00061310" w:rsidRPr="006F5136" w14:paraId="30A09CB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CD0C19F" w14:textId="24C26578" w:rsidR="00061310" w:rsidRPr="006F5136" w:rsidRDefault="00061310" w:rsidP="00061310">
            <w:pPr>
              <w:pStyle w:val="CM4"/>
              <w:jc w:val="both"/>
              <w:rPr>
                <w:rFonts w:ascii="Times New Roman" w:hAnsi="Times New Roman"/>
                <w:b/>
                <w:sz w:val="18"/>
                <w:szCs w:val="18"/>
                <w:lang w:val="ro-RO"/>
              </w:rPr>
            </w:pPr>
            <w:r w:rsidRPr="006F5136">
              <w:rPr>
                <w:rFonts w:ascii="Times New Roman" w:hAnsi="Times New Roman"/>
                <w:b/>
                <w:sz w:val="18"/>
                <w:szCs w:val="18"/>
                <w:lang w:val="ro-RO"/>
              </w:rPr>
              <w:t>M17</w:t>
            </w:r>
          </w:p>
          <w:p w14:paraId="5C5DC9EA" w14:textId="457773B0" w:rsidR="00061310" w:rsidRPr="006F5136" w:rsidRDefault="00061310" w:rsidP="00061310">
            <w:pPr>
              <w:pStyle w:val="CM4"/>
              <w:jc w:val="both"/>
              <w:rPr>
                <w:rFonts w:ascii="Times New Roman" w:hAnsi="Times New Roman"/>
                <w:sz w:val="18"/>
                <w:szCs w:val="18"/>
              </w:rPr>
            </w:pPr>
            <w:r w:rsidRPr="006F5136">
              <w:rPr>
                <w:rFonts w:ascii="Times New Roman" w:hAnsi="Times New Roman"/>
                <w:b/>
                <w:sz w:val="18"/>
                <w:szCs w:val="18"/>
                <w:lang w:val="ro-RO"/>
              </w:rPr>
              <w:t xml:space="preserve">75. </w:t>
            </w:r>
            <w:r w:rsidRPr="006F5136">
              <w:rPr>
                <w:rFonts w:ascii="Times New Roman" w:hAnsi="Times New Roman"/>
                <w:sz w:val="18"/>
                <w:szCs w:val="18"/>
                <w:lang w:val="ro-RO"/>
              </w:rPr>
              <w:t>„bun imobil locativ”</w:t>
            </w:r>
            <w:r w:rsidRPr="006F5136">
              <w:rPr>
                <w:rFonts w:ascii="Times New Roman" w:hAnsi="Times New Roman"/>
                <w:b/>
                <w:sz w:val="18"/>
                <w:szCs w:val="18"/>
                <w:lang w:val="ro-RO"/>
              </w:rPr>
              <w:t xml:space="preserve"> </w:t>
            </w:r>
            <w:r w:rsidRPr="006F5136">
              <w:rPr>
                <w:rFonts w:ascii="Times New Roman" w:hAnsi="Times New Roman"/>
                <w:sz w:val="18"/>
                <w:szCs w:val="18"/>
                <w:lang w:val="ro-RO"/>
              </w:rPr>
              <w:t xml:space="preserve">înseamnă oricare dintre următoarele: </w:t>
            </w:r>
            <w:r w:rsidRPr="006F5136">
              <w:rPr>
                <w:rFonts w:ascii="Times New Roman" w:hAnsi="Times New Roman"/>
                <w:sz w:val="18"/>
                <w:szCs w:val="18"/>
              </w:rPr>
              <w:t xml:space="preserve"> </w:t>
            </w:r>
          </w:p>
          <w:p w14:paraId="66040172" w14:textId="20C3B89F" w:rsidR="00061310" w:rsidRPr="006F5136" w:rsidRDefault="00061310" w:rsidP="00061310">
            <w:pPr>
              <w:pStyle w:val="CM4"/>
              <w:jc w:val="both"/>
              <w:rPr>
                <w:rFonts w:ascii="Times New Roman" w:hAnsi="Times New Roman"/>
                <w:sz w:val="18"/>
                <w:szCs w:val="18"/>
                <w:lang w:val="ro-RO"/>
              </w:rPr>
            </w:pPr>
            <w:r w:rsidRPr="006F5136">
              <w:rPr>
                <w:rFonts w:ascii="Times New Roman" w:hAnsi="Times New Roman"/>
                <w:sz w:val="18"/>
                <w:szCs w:val="18"/>
                <w:lang w:val="ro-RO"/>
              </w:rPr>
              <w:t xml:space="preserve">(a) </w:t>
            </w:r>
            <w:bookmarkStart w:id="0" w:name="_Hlk193375486"/>
            <w:r w:rsidRPr="006F5136">
              <w:rPr>
                <w:rFonts w:ascii="Times New Roman" w:hAnsi="Times New Roman"/>
                <w:sz w:val="18"/>
                <w:szCs w:val="18"/>
                <w:lang w:val="ro-RO"/>
              </w:rPr>
              <w:t>un bun imobil care are natura unei locuințe și care respectă toate legile și reglementările aplicabile care permit ca bunul să fie ocupat în scop de locuire;</w:t>
            </w:r>
          </w:p>
          <w:bookmarkEnd w:id="0"/>
          <w:p w14:paraId="42B85FF6" w14:textId="2B8A475D" w:rsidR="00061310" w:rsidRPr="006F5136" w:rsidRDefault="00061310" w:rsidP="00061310">
            <w:pPr>
              <w:pStyle w:val="CM4"/>
              <w:jc w:val="both"/>
              <w:rPr>
                <w:rFonts w:ascii="Times New Roman" w:hAnsi="Times New Roman"/>
                <w:sz w:val="18"/>
                <w:szCs w:val="18"/>
                <w:lang w:val="ro-RO"/>
              </w:rPr>
            </w:pPr>
            <w:r w:rsidRPr="006F5136">
              <w:rPr>
                <w:rFonts w:ascii="Times New Roman" w:hAnsi="Times New Roman"/>
                <w:sz w:val="18"/>
                <w:szCs w:val="18"/>
                <w:lang w:val="ro-RO"/>
              </w:rPr>
              <w:t>(b) un bun imobil care are natura unei locuințe și se află încă în construcție, cu condiția să se preconizeze că acesta va respecta toate legile și reglementările aplicabile care permit ca bunul să fie ocupat în scopuri de locuire;</w:t>
            </w:r>
          </w:p>
          <w:p w14:paraId="36462946" w14:textId="06464743" w:rsidR="00061310" w:rsidRPr="006F5136" w:rsidRDefault="00061310" w:rsidP="00061310">
            <w:pPr>
              <w:pStyle w:val="CM4"/>
              <w:jc w:val="both"/>
              <w:rPr>
                <w:rFonts w:ascii="Times New Roman" w:hAnsi="Times New Roman"/>
                <w:sz w:val="18"/>
                <w:szCs w:val="18"/>
                <w:lang w:val="ro-RO"/>
              </w:rPr>
            </w:pPr>
            <w:r w:rsidRPr="006F5136">
              <w:rPr>
                <w:rFonts w:ascii="Times New Roman" w:hAnsi="Times New Roman"/>
                <w:sz w:val="18"/>
                <w:szCs w:val="18"/>
                <w:lang w:val="ro-RO"/>
              </w:rPr>
              <w:t>(c) dreptul de a locui într-un apartament din societățile cooperative de locuințe situate în Suedia;</w:t>
            </w:r>
          </w:p>
          <w:p w14:paraId="007AADC6" w14:textId="5EE6DF79" w:rsidR="00061310" w:rsidRPr="006F5136" w:rsidRDefault="00061310" w:rsidP="00061310">
            <w:pPr>
              <w:pStyle w:val="CM4"/>
              <w:jc w:val="both"/>
              <w:rPr>
                <w:rFonts w:ascii="Times New Roman" w:hAnsi="Times New Roman"/>
                <w:b/>
                <w:sz w:val="18"/>
                <w:szCs w:val="18"/>
                <w:lang w:val="ro-RO"/>
              </w:rPr>
            </w:pPr>
            <w:r w:rsidRPr="006F5136">
              <w:rPr>
                <w:rFonts w:ascii="Times New Roman" w:hAnsi="Times New Roman"/>
                <w:sz w:val="18"/>
                <w:szCs w:val="18"/>
                <w:lang w:val="ro-RO"/>
              </w:rPr>
              <w:t>(d) terenul accesoriu unui bun menționat la litera (a), (b) sau (c);</w:t>
            </w:r>
          </w:p>
        </w:tc>
        <w:tc>
          <w:tcPr>
            <w:tcW w:w="1661" w:type="pct"/>
          </w:tcPr>
          <w:p w14:paraId="60A14EF3" w14:textId="3146B4D2" w:rsidR="00061310" w:rsidRPr="006F5136" w:rsidRDefault="00061310" w:rsidP="00061310">
            <w:pPr>
              <w:spacing w:after="0" w:line="240" w:lineRule="auto"/>
              <w:jc w:val="both"/>
              <w:rPr>
                <w:rFonts w:ascii="Times New Roman" w:hAnsi="Times New Roman" w:cs="Times New Roman"/>
                <w:bCs/>
                <w:sz w:val="18"/>
                <w:szCs w:val="18"/>
                <w:lang w:val="ro-RO"/>
              </w:rPr>
            </w:pPr>
            <w:r w:rsidRPr="006F5136">
              <w:rPr>
                <w:rFonts w:ascii="Times New Roman" w:hAnsi="Times New Roman" w:cs="Times New Roman"/>
                <w:b/>
                <w:sz w:val="18"/>
                <w:szCs w:val="18"/>
                <w:lang w:val="ro-RO"/>
              </w:rPr>
              <w:t xml:space="preserve">bun imobil locativ </w:t>
            </w:r>
            <w:r w:rsidRPr="006F5136">
              <w:rPr>
                <w:rFonts w:ascii="Times New Roman" w:hAnsi="Times New Roman" w:cs="Times New Roman"/>
                <w:bCs/>
                <w:sz w:val="18"/>
                <w:szCs w:val="18"/>
                <w:lang w:val="ro-RO"/>
              </w:rPr>
              <w:t>–bun imobil cu destinație locativă – oricare dintre următoarele:</w:t>
            </w:r>
          </w:p>
          <w:p w14:paraId="275EBCF6" w14:textId="6F863D9D" w:rsidR="00061310" w:rsidRPr="006F5136" w:rsidRDefault="00061310" w:rsidP="00061310">
            <w:pPr>
              <w:spacing w:after="0" w:line="240" w:lineRule="auto"/>
              <w:jc w:val="both"/>
              <w:rPr>
                <w:rFonts w:ascii="Times New Roman" w:hAnsi="Times New Roman" w:cs="Times New Roman"/>
                <w:bCs/>
                <w:sz w:val="18"/>
                <w:szCs w:val="18"/>
                <w:lang w:val="ro-RO"/>
              </w:rPr>
            </w:pPr>
            <w:r w:rsidRPr="006F5136">
              <w:rPr>
                <w:rFonts w:ascii="Times New Roman" w:hAnsi="Times New Roman" w:cs="Times New Roman"/>
                <w:bCs/>
                <w:sz w:val="18"/>
                <w:szCs w:val="18"/>
                <w:lang w:val="ro-RO"/>
              </w:rPr>
              <w:t>1) un bun imobil care are natura unei locuințe și care respectă toate legile și reglementările aplicabile care permit ca bunul să fie ocupat în scop de locuire;</w:t>
            </w:r>
          </w:p>
          <w:p w14:paraId="7883E66E" w14:textId="0D281BB6" w:rsidR="00061310" w:rsidRPr="006F5136" w:rsidRDefault="00061310" w:rsidP="00061310">
            <w:pPr>
              <w:spacing w:after="0" w:line="240" w:lineRule="auto"/>
              <w:jc w:val="both"/>
              <w:rPr>
                <w:rFonts w:ascii="Times New Roman" w:hAnsi="Times New Roman" w:cs="Times New Roman"/>
                <w:bCs/>
                <w:sz w:val="18"/>
                <w:szCs w:val="18"/>
                <w:lang w:val="ro-RO"/>
              </w:rPr>
            </w:pPr>
            <w:r w:rsidRPr="006F5136">
              <w:rPr>
                <w:rFonts w:ascii="Times New Roman" w:hAnsi="Times New Roman" w:cs="Times New Roman"/>
                <w:bCs/>
                <w:sz w:val="18"/>
                <w:szCs w:val="18"/>
                <w:lang w:val="ro-RO"/>
              </w:rPr>
              <w:t>2) un bun imobil care are natura unei locuințe și se află încă în construcție, cu condiția să se preconizeze că acesta va respecta toate legile și reglementările aplicabile care permit ca bunul să fie ocupat în scopuri de locuire;</w:t>
            </w:r>
          </w:p>
          <w:p w14:paraId="772C0B95" w14:textId="7C396A54" w:rsidR="00061310" w:rsidRPr="006F5136" w:rsidRDefault="00061310" w:rsidP="00061310">
            <w:pPr>
              <w:spacing w:after="0" w:line="240" w:lineRule="auto"/>
              <w:jc w:val="both"/>
              <w:rPr>
                <w:rFonts w:ascii="Times New Roman" w:hAnsi="Times New Roman" w:cs="Times New Roman"/>
                <w:bCs/>
                <w:sz w:val="18"/>
                <w:szCs w:val="18"/>
                <w:lang w:val="ro-RO"/>
              </w:rPr>
            </w:pPr>
            <w:r w:rsidRPr="006F5136">
              <w:rPr>
                <w:rFonts w:ascii="Times New Roman" w:hAnsi="Times New Roman" w:cs="Times New Roman"/>
                <w:bCs/>
                <w:sz w:val="18"/>
                <w:szCs w:val="18"/>
                <w:lang w:val="ro-RO"/>
              </w:rPr>
              <w:t>3) dreptul de a locui într-un apartament din societățile cooperative de locuințe situate în Suedia;</w:t>
            </w:r>
          </w:p>
          <w:p w14:paraId="7EEB7BDD" w14:textId="77777777" w:rsidR="00061310" w:rsidRPr="006F5136" w:rsidRDefault="00061310" w:rsidP="00061310">
            <w:pPr>
              <w:spacing w:after="0" w:line="240" w:lineRule="auto"/>
              <w:jc w:val="both"/>
              <w:rPr>
                <w:rFonts w:ascii="Times New Roman" w:hAnsi="Times New Roman" w:cs="Times New Roman"/>
                <w:bCs/>
                <w:sz w:val="18"/>
                <w:szCs w:val="18"/>
                <w:lang w:val="ro-RO"/>
              </w:rPr>
            </w:pPr>
            <w:r w:rsidRPr="006F5136">
              <w:rPr>
                <w:rFonts w:ascii="Times New Roman" w:hAnsi="Times New Roman" w:cs="Times New Roman"/>
                <w:bCs/>
                <w:sz w:val="18"/>
                <w:szCs w:val="18"/>
                <w:lang w:val="ro-RO"/>
              </w:rPr>
              <w:t>4) terenul accesoriu unui bun menționat la punctele 1) - 3);</w:t>
            </w:r>
          </w:p>
          <w:p w14:paraId="7D693CF9" w14:textId="31CDE135" w:rsidR="00061310" w:rsidRPr="006F5136" w:rsidRDefault="00061310" w:rsidP="00061310">
            <w:pPr>
              <w:spacing w:after="0" w:line="240" w:lineRule="auto"/>
              <w:jc w:val="both"/>
              <w:rPr>
                <w:rFonts w:ascii="Times New Roman" w:hAnsi="Times New Roman" w:cs="Times New Roman"/>
                <w:b/>
                <w:sz w:val="18"/>
                <w:szCs w:val="18"/>
                <w:lang w:val="ro-RO"/>
              </w:rPr>
            </w:pPr>
            <w:r w:rsidRPr="006F5136">
              <w:rPr>
                <w:rFonts w:ascii="Times New Roman" w:hAnsi="Times New Roman" w:cs="Times New Roman"/>
                <w:bCs/>
                <w:i/>
                <w:iCs/>
                <w:sz w:val="18"/>
                <w:szCs w:val="18"/>
                <w:lang w:val="ro-RO"/>
              </w:rPr>
              <w:t>Modificat prin Proiectul HCE al BNM privind modificarea Regulamentului nr.111/2018.</w:t>
            </w:r>
          </w:p>
        </w:tc>
        <w:tc>
          <w:tcPr>
            <w:tcW w:w="503" w:type="pct"/>
          </w:tcPr>
          <w:p w14:paraId="6075E579" w14:textId="7293E84A"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32E2A22B" w14:textId="2F4352E0" w:rsidR="00061310" w:rsidRPr="006F5136" w:rsidRDefault="00061310" w:rsidP="00061310">
            <w:pPr>
              <w:spacing w:after="0" w:line="240" w:lineRule="auto"/>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061310" w:rsidRPr="006F5136" w14:paraId="170B2A3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8A20706" w14:textId="77777777" w:rsidR="00061310" w:rsidRPr="006F5136" w:rsidRDefault="00061310" w:rsidP="00061310">
            <w:pPr>
              <w:pStyle w:val="CM4"/>
              <w:jc w:val="both"/>
              <w:rPr>
                <w:rFonts w:ascii="Times New Roman" w:hAnsi="Times New Roman"/>
                <w:b/>
                <w:sz w:val="18"/>
                <w:szCs w:val="18"/>
                <w:lang w:val="ro-RO"/>
              </w:rPr>
            </w:pPr>
            <w:r w:rsidRPr="006F5136">
              <w:rPr>
                <w:rFonts w:ascii="Times New Roman" w:hAnsi="Times New Roman"/>
                <w:b/>
                <w:sz w:val="18"/>
                <w:szCs w:val="18"/>
                <w:lang w:val="ro-RO"/>
              </w:rPr>
              <w:t>M17</w:t>
            </w:r>
          </w:p>
          <w:p w14:paraId="05835A8A" w14:textId="1CE12A3A" w:rsidR="00061310" w:rsidRPr="006F5136" w:rsidRDefault="00061310" w:rsidP="00061310">
            <w:pPr>
              <w:spacing w:after="0" w:line="240" w:lineRule="auto"/>
              <w:rPr>
                <w:rFonts w:ascii="Times New Roman" w:hAnsi="Times New Roman" w:cs="Times New Roman"/>
                <w:sz w:val="18"/>
                <w:szCs w:val="18"/>
                <w:lang w:val="ro-RO"/>
              </w:rPr>
            </w:pPr>
            <w:r w:rsidRPr="006F5136">
              <w:rPr>
                <w:rFonts w:ascii="Times New Roman" w:eastAsia="Times New Roman" w:hAnsi="Times New Roman" w:cs="Times New Roman"/>
                <w:sz w:val="18"/>
                <w:szCs w:val="18"/>
                <w:lang w:val="ro-RO"/>
              </w:rPr>
              <w:t>75a.</w:t>
            </w:r>
            <w:r w:rsidRPr="006F5136">
              <w:rPr>
                <w:rFonts w:ascii="Times New Roman" w:eastAsia="Times New Roman" w:hAnsi="Times New Roman" w:cs="Times New Roman"/>
                <w:sz w:val="18"/>
                <w:szCs w:val="18"/>
                <w:lang w:val="ro-RO"/>
              </w:rPr>
              <w:tab/>
              <w:t xml:space="preserve">«bun imobil comercial» înseamnă </w:t>
            </w:r>
            <w:bookmarkStart w:id="1" w:name="_Hlk193375693"/>
            <w:r w:rsidRPr="006F5136">
              <w:rPr>
                <w:rFonts w:ascii="Times New Roman" w:eastAsia="Times New Roman" w:hAnsi="Times New Roman" w:cs="Times New Roman"/>
                <w:sz w:val="18"/>
                <w:szCs w:val="18"/>
                <w:lang w:val="ro-RO"/>
              </w:rPr>
              <w:t>orice bun imobil care nu este bun imobil locativ</w:t>
            </w:r>
            <w:bookmarkEnd w:id="1"/>
            <w:r w:rsidRPr="006F5136">
              <w:rPr>
                <w:rFonts w:ascii="Times New Roman" w:eastAsia="Times New Roman" w:hAnsi="Times New Roman" w:cs="Times New Roman"/>
                <w:sz w:val="18"/>
                <w:szCs w:val="18"/>
                <w:lang w:val="ro-RO"/>
              </w:rPr>
              <w:t>;</w:t>
            </w:r>
          </w:p>
        </w:tc>
        <w:tc>
          <w:tcPr>
            <w:tcW w:w="1661" w:type="pct"/>
          </w:tcPr>
          <w:p w14:paraId="16BC8FD3" w14:textId="77777777" w:rsidR="00061310" w:rsidRPr="006F5136" w:rsidRDefault="00061310" w:rsidP="00061310">
            <w:pPr>
              <w:spacing w:after="0" w:line="240" w:lineRule="auto"/>
              <w:jc w:val="both"/>
              <w:rPr>
                <w:rFonts w:ascii="Times New Roman" w:hAnsi="Times New Roman" w:cs="Times New Roman"/>
                <w:bCs/>
                <w:sz w:val="18"/>
                <w:szCs w:val="18"/>
                <w:lang w:val="ro-RO"/>
              </w:rPr>
            </w:pPr>
            <w:r w:rsidRPr="006F5136">
              <w:rPr>
                <w:rFonts w:ascii="Times New Roman" w:hAnsi="Times New Roman" w:cs="Times New Roman"/>
                <w:b/>
                <w:sz w:val="18"/>
                <w:szCs w:val="18"/>
                <w:lang w:val="ro-RO"/>
              </w:rPr>
              <w:t xml:space="preserve">bun imobil cu destinație comercială </w:t>
            </w:r>
            <w:r w:rsidRPr="006F5136">
              <w:rPr>
                <w:rFonts w:ascii="Times New Roman" w:hAnsi="Times New Roman" w:cs="Times New Roman"/>
                <w:bCs/>
                <w:sz w:val="18"/>
                <w:szCs w:val="18"/>
                <w:lang w:val="ro-RO"/>
              </w:rPr>
              <w:t>– orice bun imobil care nu este bun imobil locativ.</w:t>
            </w:r>
          </w:p>
          <w:p w14:paraId="1B351256" w14:textId="5AE63F82" w:rsidR="00061310" w:rsidRPr="006F5136" w:rsidRDefault="00061310" w:rsidP="00061310">
            <w:pPr>
              <w:spacing w:after="0" w:line="240" w:lineRule="auto"/>
              <w:jc w:val="both"/>
              <w:rPr>
                <w:rFonts w:ascii="Times New Roman" w:hAnsi="Times New Roman" w:cs="Times New Roman"/>
                <w:b/>
                <w:sz w:val="18"/>
                <w:szCs w:val="18"/>
                <w:lang w:val="ro-RO"/>
              </w:rPr>
            </w:pPr>
            <w:r w:rsidRPr="006F5136">
              <w:rPr>
                <w:rFonts w:ascii="Times New Roman" w:hAnsi="Times New Roman" w:cs="Times New Roman"/>
                <w:bCs/>
                <w:i/>
                <w:iCs/>
                <w:sz w:val="18"/>
                <w:szCs w:val="18"/>
                <w:lang w:val="ro-RO"/>
              </w:rPr>
              <w:t>Modificat prin Proiectul HCE al BNM privind modificarea Regulamentului nr.111/2018.</w:t>
            </w:r>
          </w:p>
        </w:tc>
        <w:tc>
          <w:tcPr>
            <w:tcW w:w="503" w:type="pct"/>
          </w:tcPr>
          <w:p w14:paraId="5E0D3B8A" w14:textId="36668A9F"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3CB21638" w14:textId="16E0D838" w:rsidR="00061310" w:rsidRPr="006F5136" w:rsidRDefault="00061310" w:rsidP="00061310">
            <w:pPr>
              <w:spacing w:after="0" w:line="240" w:lineRule="auto"/>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061310" w:rsidRPr="006F5136" w14:paraId="13728DC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B8AAD5B" w14:textId="77777777" w:rsidR="00061310" w:rsidRPr="006F5136" w:rsidRDefault="00061310" w:rsidP="00061310">
            <w:pPr>
              <w:pStyle w:val="CM4"/>
              <w:jc w:val="both"/>
              <w:rPr>
                <w:rFonts w:ascii="Times New Roman" w:hAnsi="Times New Roman"/>
                <w:b/>
                <w:sz w:val="18"/>
                <w:szCs w:val="18"/>
                <w:lang w:val="ro-RO"/>
              </w:rPr>
            </w:pPr>
            <w:r w:rsidRPr="006F5136">
              <w:rPr>
                <w:rFonts w:ascii="Times New Roman" w:hAnsi="Times New Roman"/>
                <w:b/>
                <w:sz w:val="18"/>
                <w:szCs w:val="18"/>
                <w:lang w:val="ro-RO"/>
              </w:rPr>
              <w:t>M17</w:t>
            </w:r>
          </w:p>
          <w:p w14:paraId="5068349F" w14:textId="470C6F9E" w:rsidR="00061310" w:rsidRPr="006F5136" w:rsidRDefault="00061310" w:rsidP="00061310">
            <w:pPr>
              <w:spacing w:after="0" w:line="240" w:lineRule="auto"/>
              <w:jc w:val="both"/>
              <w:rPr>
                <w:rFonts w:ascii="Times New Roman" w:hAnsi="Times New Roman" w:cs="Times New Roman"/>
                <w:sz w:val="18"/>
                <w:szCs w:val="18"/>
                <w:lang w:val="ro-RO"/>
              </w:rPr>
            </w:pPr>
            <w:r w:rsidRPr="006F5136">
              <w:rPr>
                <w:rFonts w:ascii="Times New Roman" w:eastAsia="Times New Roman" w:hAnsi="Times New Roman" w:cs="Times New Roman"/>
                <w:b/>
                <w:bCs/>
                <w:sz w:val="18"/>
                <w:szCs w:val="18"/>
                <w:lang w:val="ro-RO"/>
              </w:rPr>
              <w:t>75b.</w:t>
            </w:r>
            <w:r w:rsidRPr="006F5136">
              <w:rPr>
                <w:rFonts w:ascii="Times New Roman" w:eastAsia="Times New Roman" w:hAnsi="Times New Roman" w:cs="Times New Roman"/>
                <w:sz w:val="18"/>
                <w:szCs w:val="18"/>
                <w:lang w:val="ro-RO"/>
              </w:rPr>
              <w:tab/>
              <w:t>«</w:t>
            </w:r>
            <w:bookmarkStart w:id="2" w:name="_Hlk193376142"/>
            <w:r w:rsidRPr="006F5136">
              <w:rPr>
                <w:rFonts w:ascii="Times New Roman" w:eastAsia="Times New Roman" w:hAnsi="Times New Roman" w:cs="Times New Roman"/>
                <w:sz w:val="18"/>
                <w:szCs w:val="18"/>
                <w:lang w:val="ro-RO"/>
              </w:rPr>
              <w:t>expunere aferentă bunurilor imobile generatoare de venituri» sau «expunere IPRE» înseamnă o expunere garantată cu unul sau mai multe bunuri imobile locative sau bunuri imobile comerciale, în cazul căreia îndeplinirea obligațiilor din credite legate de expunere depinde în mod semnificativ de fluxurile de numerar generate de respectivele bunuri imobile cu care este garantată expunerea în cauză, și nu de capacitatea debitorului de a-și îndeplini din alte surse obligațiile din credite, sursa principală a unor astfel de fluxuri de numerar fiind plățile din leasing sau din chirii ori încasările din vânzarea bunului imobil locativ sau a bunului imobil comercial;</w:t>
            </w:r>
            <w:bookmarkEnd w:id="2"/>
          </w:p>
        </w:tc>
        <w:tc>
          <w:tcPr>
            <w:tcW w:w="1661" w:type="pct"/>
          </w:tcPr>
          <w:p w14:paraId="296A2A00" w14:textId="77777777" w:rsidR="00061310" w:rsidRPr="006F5136" w:rsidRDefault="00061310" w:rsidP="00061310">
            <w:pPr>
              <w:spacing w:after="0" w:line="240" w:lineRule="auto"/>
              <w:jc w:val="both"/>
              <w:rPr>
                <w:rFonts w:ascii="Times New Roman" w:hAnsi="Times New Roman" w:cs="Times New Roman"/>
                <w:bCs/>
                <w:sz w:val="18"/>
                <w:szCs w:val="18"/>
                <w:lang w:val="ro-RO"/>
              </w:rPr>
            </w:pPr>
            <w:r w:rsidRPr="006F5136">
              <w:rPr>
                <w:rFonts w:ascii="Times New Roman" w:hAnsi="Times New Roman" w:cs="Times New Roman"/>
                <w:b/>
                <w:sz w:val="18"/>
                <w:szCs w:val="18"/>
                <w:lang w:val="ro-RO"/>
              </w:rPr>
              <w:t xml:space="preserve">expunere aferentă bunurilor imobile generatoare de venituri (expunere IPRE) </w:t>
            </w:r>
            <w:r w:rsidRPr="006F5136">
              <w:rPr>
                <w:rFonts w:ascii="Times New Roman" w:hAnsi="Times New Roman" w:cs="Times New Roman"/>
                <w:bCs/>
                <w:sz w:val="18"/>
                <w:szCs w:val="18"/>
                <w:lang w:val="ro-RO"/>
              </w:rPr>
              <w:t>- o expunere garantată cu unul sau mai multe bunuri imobile locative sau bunuri imobile comerciale, în cazul căreia îndeplinirea obligațiilor din credite legate de expunere depinde în mod semnificativ de fluxurile de numerar generate de respectivele bunuri imobile cu care este garantată expunerea în cauză, și nu de capacitatea debitorului de a-și îndeplini din alte surse obligațiile din credite, sursa principală a unor astfel de fluxuri de numerar fiind plățile din leasing sau din chirii ori încasările din vânzarea bunului imobil;</w:t>
            </w:r>
          </w:p>
          <w:p w14:paraId="48B7A130" w14:textId="7FD157A3" w:rsidR="00061310" w:rsidRPr="006F5136" w:rsidRDefault="00061310" w:rsidP="00061310">
            <w:pPr>
              <w:spacing w:after="0" w:line="240" w:lineRule="auto"/>
              <w:jc w:val="both"/>
              <w:rPr>
                <w:rFonts w:ascii="Times New Roman" w:hAnsi="Times New Roman" w:cs="Times New Roman"/>
                <w:b/>
                <w:sz w:val="18"/>
                <w:szCs w:val="18"/>
                <w:lang w:val="ro-RO"/>
              </w:rPr>
            </w:pPr>
            <w:r w:rsidRPr="006F5136">
              <w:rPr>
                <w:rFonts w:ascii="Times New Roman" w:hAnsi="Times New Roman" w:cs="Times New Roman"/>
                <w:bCs/>
                <w:i/>
                <w:iCs/>
                <w:sz w:val="18"/>
                <w:szCs w:val="18"/>
                <w:lang w:val="ro-RO"/>
              </w:rPr>
              <w:t>Proiectul HCE al BNM privind modificarea Regulamentului nr.111/2018</w:t>
            </w:r>
          </w:p>
        </w:tc>
        <w:tc>
          <w:tcPr>
            <w:tcW w:w="503" w:type="pct"/>
          </w:tcPr>
          <w:p w14:paraId="47AF77B8" w14:textId="3523D037"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31909A0C" w14:textId="39F7A0ED" w:rsidR="00061310" w:rsidRPr="006F5136" w:rsidRDefault="00061310" w:rsidP="00061310">
            <w:pPr>
              <w:spacing w:after="0" w:line="240" w:lineRule="auto"/>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061310" w:rsidRPr="006F5136" w14:paraId="066971D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F80363A" w14:textId="77777777" w:rsidR="00061310" w:rsidRPr="006F5136" w:rsidRDefault="00061310" w:rsidP="00061310">
            <w:pPr>
              <w:pStyle w:val="CM4"/>
              <w:jc w:val="both"/>
              <w:rPr>
                <w:rFonts w:ascii="Times New Roman" w:hAnsi="Times New Roman"/>
                <w:b/>
                <w:sz w:val="18"/>
                <w:szCs w:val="18"/>
                <w:lang w:val="ro-RO"/>
              </w:rPr>
            </w:pPr>
            <w:r w:rsidRPr="006F5136">
              <w:rPr>
                <w:rFonts w:ascii="Times New Roman" w:hAnsi="Times New Roman"/>
                <w:b/>
                <w:sz w:val="18"/>
                <w:szCs w:val="18"/>
                <w:lang w:val="ro-RO"/>
              </w:rPr>
              <w:t>M17</w:t>
            </w:r>
          </w:p>
          <w:p w14:paraId="44D34EA3" w14:textId="17EE1D84" w:rsidR="00061310" w:rsidRPr="006F5136" w:rsidRDefault="00061310" w:rsidP="00061310">
            <w:pPr>
              <w:spacing w:after="0" w:line="240" w:lineRule="auto"/>
              <w:rPr>
                <w:rFonts w:ascii="Times New Roman" w:hAnsi="Times New Roman" w:cs="Times New Roman"/>
                <w:sz w:val="18"/>
                <w:szCs w:val="18"/>
                <w:lang w:val="ro-RO"/>
              </w:rPr>
            </w:pPr>
            <w:r w:rsidRPr="006F5136">
              <w:rPr>
                <w:rFonts w:ascii="Times New Roman" w:hAnsi="Times New Roman" w:cs="Times New Roman"/>
                <w:b/>
                <w:bCs/>
                <w:sz w:val="18"/>
                <w:szCs w:val="18"/>
                <w:lang w:val="ro-RO"/>
              </w:rPr>
              <w:t>75c.</w:t>
            </w:r>
            <w:r w:rsidRPr="006F5136">
              <w:rPr>
                <w:rFonts w:ascii="Times New Roman" w:hAnsi="Times New Roman" w:cs="Times New Roman"/>
                <w:b/>
                <w:bCs/>
                <w:sz w:val="18"/>
                <w:szCs w:val="18"/>
                <w:lang w:val="ro-RO"/>
              </w:rPr>
              <w:tab/>
            </w:r>
            <w:r w:rsidRPr="006F5136">
              <w:rPr>
                <w:rFonts w:ascii="Times New Roman" w:eastAsia="Times New Roman" w:hAnsi="Times New Roman" w:cs="Times New Roman"/>
                <w:sz w:val="18"/>
                <w:szCs w:val="18"/>
                <w:lang w:val="ro-RO"/>
              </w:rPr>
              <w:t>«</w:t>
            </w:r>
            <w:bookmarkStart w:id="3" w:name="_Hlk193375821"/>
            <w:r w:rsidRPr="006F5136">
              <w:rPr>
                <w:rFonts w:ascii="Times New Roman" w:eastAsia="Times New Roman" w:hAnsi="Times New Roman" w:cs="Times New Roman"/>
                <w:sz w:val="18"/>
                <w:szCs w:val="18"/>
                <w:lang w:val="ro-RO"/>
              </w:rPr>
              <w:t>expunere aferentă bunurilor imobile care nu generează venituri» sau «expunere non-IPRE» înseamnă orice expunere garantată cu unul sau mai multe bunuri imobile locative sau bunuri imobile comerciale care nu este o expunere IPRE;</w:t>
            </w:r>
            <w:bookmarkEnd w:id="3"/>
          </w:p>
        </w:tc>
        <w:tc>
          <w:tcPr>
            <w:tcW w:w="1661" w:type="pct"/>
          </w:tcPr>
          <w:p w14:paraId="59C0687E" w14:textId="77777777" w:rsidR="00061310" w:rsidRPr="006F5136" w:rsidRDefault="00061310" w:rsidP="00061310">
            <w:pPr>
              <w:spacing w:after="0" w:line="240" w:lineRule="auto"/>
              <w:jc w:val="both"/>
              <w:rPr>
                <w:rFonts w:ascii="Times New Roman" w:hAnsi="Times New Roman" w:cs="Times New Roman"/>
                <w:bCs/>
                <w:sz w:val="18"/>
                <w:szCs w:val="18"/>
                <w:lang w:val="ro-RO"/>
              </w:rPr>
            </w:pPr>
            <w:r w:rsidRPr="006F5136">
              <w:rPr>
                <w:rFonts w:ascii="Times New Roman" w:hAnsi="Times New Roman" w:cs="Times New Roman"/>
                <w:b/>
                <w:sz w:val="18"/>
                <w:szCs w:val="18"/>
                <w:lang w:val="ro-RO"/>
              </w:rPr>
              <w:t>expunere aferentă bunurilor imobile care nu generează venituri (expunere non-IPRE)</w:t>
            </w:r>
            <w:r w:rsidRPr="006F5136">
              <w:rPr>
                <w:rFonts w:ascii="Times New Roman" w:hAnsi="Times New Roman" w:cs="Times New Roman"/>
                <w:bCs/>
                <w:sz w:val="18"/>
                <w:szCs w:val="18"/>
                <w:lang w:val="ro-RO"/>
              </w:rPr>
              <w:t xml:space="preserve"> -  înseamnă orice expunere garantată cu unul sau mai multe bunuri imobile locative sau bunuri imobile comerciale care nu este o expunere IPRE;</w:t>
            </w:r>
          </w:p>
          <w:p w14:paraId="797CAAC3" w14:textId="45DC68B3" w:rsidR="00061310" w:rsidRPr="006F5136" w:rsidRDefault="00061310" w:rsidP="00061310">
            <w:pPr>
              <w:spacing w:after="0" w:line="240" w:lineRule="auto"/>
              <w:jc w:val="both"/>
              <w:rPr>
                <w:rFonts w:ascii="Times New Roman" w:hAnsi="Times New Roman" w:cs="Times New Roman"/>
                <w:b/>
                <w:sz w:val="18"/>
                <w:szCs w:val="18"/>
                <w:lang w:val="ro-RO"/>
              </w:rPr>
            </w:pPr>
            <w:r w:rsidRPr="006F5136">
              <w:rPr>
                <w:rFonts w:ascii="Times New Roman" w:hAnsi="Times New Roman" w:cs="Times New Roman"/>
                <w:bCs/>
                <w:i/>
                <w:iCs/>
                <w:sz w:val="18"/>
                <w:szCs w:val="18"/>
                <w:lang w:val="ro-RO"/>
              </w:rPr>
              <w:t>Proiectul HCE al BNM privind modificarea Regulamentului nr.111/2018</w:t>
            </w:r>
          </w:p>
        </w:tc>
        <w:tc>
          <w:tcPr>
            <w:tcW w:w="503" w:type="pct"/>
          </w:tcPr>
          <w:p w14:paraId="3EAFFC17" w14:textId="5D4E4DBF"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0066E4F0" w14:textId="20097214" w:rsidR="00061310" w:rsidRPr="006F5136" w:rsidRDefault="00061310" w:rsidP="00061310">
            <w:pPr>
              <w:spacing w:after="0" w:line="240" w:lineRule="auto"/>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BB2F88" w:rsidRPr="006F5136" w14:paraId="5566C6E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CAA1771" w14:textId="039D56D3" w:rsidR="00395381" w:rsidRPr="006F5136" w:rsidRDefault="00395381" w:rsidP="005E4694">
            <w:pPr>
              <w:pStyle w:val="CM4"/>
              <w:jc w:val="both"/>
              <w:rPr>
                <w:rFonts w:ascii="Times New Roman" w:hAnsi="Times New Roman"/>
                <w:b/>
                <w:sz w:val="18"/>
                <w:szCs w:val="18"/>
                <w:lang w:val="ro-RO"/>
              </w:rPr>
            </w:pPr>
            <w:r w:rsidRPr="006F5136">
              <w:rPr>
                <w:rFonts w:ascii="Times New Roman" w:hAnsi="Times New Roman"/>
                <w:b/>
                <w:sz w:val="18"/>
                <w:szCs w:val="18"/>
                <w:lang w:val="ro-RO"/>
              </w:rPr>
              <w:t>76</w:t>
            </w:r>
            <w:r w:rsidRPr="006F5136">
              <w:rPr>
                <w:rFonts w:ascii="Times New Roman" w:hAnsi="Times New Roman"/>
                <w:sz w:val="18"/>
                <w:szCs w:val="18"/>
                <w:lang w:val="ro-RO"/>
              </w:rPr>
              <w:t xml:space="preserve">. „valoare de piață”, în sensul bunurilor imobile, înseamnă cuantumul estimat care </w:t>
            </w:r>
            <w:r w:rsidR="00E14323" w:rsidRPr="006F5136">
              <w:rPr>
                <w:rFonts w:ascii="Times New Roman" w:hAnsi="Times New Roman"/>
                <w:sz w:val="18"/>
                <w:szCs w:val="18"/>
                <w:lang w:val="ro-RO"/>
              </w:rPr>
              <w:t>a</w:t>
            </w:r>
            <w:r w:rsidRPr="006F5136">
              <w:rPr>
                <w:rFonts w:ascii="Times New Roman" w:hAnsi="Times New Roman"/>
                <w:sz w:val="18"/>
                <w:szCs w:val="18"/>
                <w:lang w:val="ro-RO"/>
              </w:rPr>
              <w:t xml:space="preserve">r putea fi plătit în schimbul bunurilor la data evaluării între un cumpărător și un vânzător interesați în cadrul unei tranzacții încheiate în condiții de concurență </w:t>
            </w:r>
            <w:r w:rsidR="00E14323" w:rsidRPr="006F5136">
              <w:rPr>
                <w:rFonts w:ascii="Times New Roman" w:hAnsi="Times New Roman"/>
                <w:sz w:val="18"/>
                <w:szCs w:val="18"/>
                <w:lang w:val="ro-RO"/>
              </w:rPr>
              <w:t>deplină</w:t>
            </w:r>
            <w:r w:rsidRPr="006F5136">
              <w:rPr>
                <w:rFonts w:ascii="Times New Roman" w:hAnsi="Times New Roman"/>
                <w:sz w:val="18"/>
                <w:szCs w:val="18"/>
                <w:lang w:val="ro-RO"/>
              </w:rPr>
              <w:t>, în care fiecare parte acționează în deplină cunoștință de cauză, prudent și fără constrângeri;</w:t>
            </w:r>
          </w:p>
        </w:tc>
        <w:tc>
          <w:tcPr>
            <w:tcW w:w="1661" w:type="pct"/>
          </w:tcPr>
          <w:p w14:paraId="44520B8A" w14:textId="2F174D27" w:rsidR="00395381" w:rsidRPr="006F5136" w:rsidRDefault="001C7166" w:rsidP="005E4694">
            <w:pPr>
              <w:spacing w:after="0" w:line="240" w:lineRule="auto"/>
              <w:jc w:val="both"/>
              <w:rPr>
                <w:rFonts w:ascii="Times New Roman" w:hAnsi="Times New Roman" w:cs="Times New Roman"/>
                <w:b/>
                <w:sz w:val="18"/>
                <w:szCs w:val="18"/>
                <w:lang w:val="ro-RO"/>
              </w:rPr>
            </w:pPr>
            <w:r w:rsidRPr="006F5136">
              <w:rPr>
                <w:rFonts w:ascii="Times New Roman" w:hAnsi="Times New Roman" w:cs="Times New Roman"/>
                <w:b/>
                <w:sz w:val="18"/>
                <w:szCs w:val="18"/>
                <w:lang w:val="ro-RO"/>
              </w:rPr>
              <w:t xml:space="preserve">valoare de piaţă </w:t>
            </w:r>
            <w:r w:rsidRPr="006F5136">
              <w:rPr>
                <w:rFonts w:ascii="Times New Roman" w:hAnsi="Times New Roman" w:cs="Times New Roman"/>
                <w:bCs/>
                <w:sz w:val="18"/>
                <w:szCs w:val="18"/>
                <w:lang w:val="ro-RO"/>
              </w:rPr>
              <w:t>– în sensul bunurilor imobile, înseamnă suma estimată care ar putea fi plătită în schimbul bunurilor la data evaluării între un cumpărător şi un vânzător interesaţi în cadrul unei tranzacţii încheiate în condiţii obiective şi de concurenţă normală, în care fiecare parte acţionează în deplină cunoştinţă de cauză, prudent şi fără constrângeri.</w:t>
            </w:r>
          </w:p>
        </w:tc>
        <w:tc>
          <w:tcPr>
            <w:tcW w:w="503" w:type="pct"/>
          </w:tcPr>
          <w:p w14:paraId="1A917D89" w14:textId="77777777"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p w14:paraId="5A89A06C" w14:textId="77777777" w:rsidR="00395381" w:rsidRPr="006F5136" w:rsidRDefault="00395381" w:rsidP="005E4694">
            <w:pPr>
              <w:spacing w:after="0" w:line="240" w:lineRule="auto"/>
              <w:jc w:val="both"/>
              <w:rPr>
                <w:rFonts w:ascii="Times New Roman" w:hAnsi="Times New Roman" w:cs="Times New Roman"/>
                <w:sz w:val="18"/>
                <w:szCs w:val="18"/>
                <w:lang w:val="ro-RO"/>
              </w:rPr>
            </w:pPr>
          </w:p>
        </w:tc>
        <w:tc>
          <w:tcPr>
            <w:tcW w:w="912" w:type="pct"/>
          </w:tcPr>
          <w:p w14:paraId="5822ECEA" w14:textId="198772B4" w:rsidR="00395381" w:rsidRPr="006F5136" w:rsidRDefault="00395381"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Transpusă în p.3 din</w:t>
            </w:r>
            <w:r w:rsidRPr="006F5136">
              <w:rPr>
                <w:rFonts w:ascii="Times New Roman" w:hAnsi="Times New Roman" w:cs="Times New Roman"/>
                <w:b/>
                <w:sz w:val="18"/>
                <w:szCs w:val="18"/>
                <w:lang w:val="ro-RO"/>
              </w:rPr>
              <w:t xml:space="preserve"> Regulamentul cu privire la tratamentul riscului de piață potrivit abordării standardizate, </w:t>
            </w:r>
            <w:r w:rsidRPr="006F5136">
              <w:rPr>
                <w:rFonts w:ascii="Times New Roman" w:hAnsi="Times New Roman" w:cs="Times New Roman"/>
                <w:sz w:val="18"/>
                <w:szCs w:val="18"/>
                <w:lang w:val="ro-RO"/>
              </w:rPr>
              <w:t>aprobat prin HCE al BNM nr.111/2018, prin noțiunea „valoare de piață”</w:t>
            </w:r>
            <w:r w:rsidRPr="006F5136">
              <w:rPr>
                <w:rFonts w:ascii="Times New Roman" w:hAnsi="Times New Roman" w:cs="Times New Roman"/>
                <w:b/>
                <w:sz w:val="18"/>
                <w:szCs w:val="18"/>
                <w:lang w:val="ro-RO"/>
              </w:rPr>
              <w:t>.</w:t>
            </w:r>
          </w:p>
        </w:tc>
      </w:tr>
      <w:tr w:rsidR="00061310" w:rsidRPr="006F5136" w14:paraId="1BC47727"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4839C64" w14:textId="77777777" w:rsidR="00061310" w:rsidRPr="006F5136" w:rsidRDefault="00061310" w:rsidP="00061310">
            <w:pPr>
              <w:pStyle w:val="CM1"/>
              <w:jc w:val="both"/>
              <w:rPr>
                <w:rFonts w:ascii="Times New Roman" w:hAnsi="Times New Roman"/>
                <w:b/>
                <w:sz w:val="18"/>
                <w:szCs w:val="18"/>
                <w:lang w:val="ro-RO"/>
              </w:rPr>
            </w:pPr>
            <w:r w:rsidRPr="006F5136">
              <w:rPr>
                <w:rFonts w:ascii="Times New Roman" w:hAnsi="Times New Roman"/>
                <w:b/>
                <w:sz w:val="18"/>
                <w:szCs w:val="18"/>
                <w:lang w:val="ro-RO"/>
              </w:rPr>
              <w:t>M17</w:t>
            </w:r>
          </w:p>
          <w:p w14:paraId="5AA35888" w14:textId="213B668B" w:rsidR="00061310" w:rsidRPr="006F5136" w:rsidRDefault="00061310" w:rsidP="00061310">
            <w:pPr>
              <w:spacing w:after="0" w:line="240" w:lineRule="auto"/>
              <w:rPr>
                <w:rFonts w:ascii="Times New Roman" w:hAnsi="Times New Roman" w:cs="Times New Roman"/>
                <w:sz w:val="18"/>
                <w:szCs w:val="18"/>
                <w:lang w:val="ro-RO"/>
              </w:rPr>
            </w:pPr>
            <w:r w:rsidRPr="006F5136">
              <w:rPr>
                <w:rFonts w:ascii="Times New Roman" w:eastAsia="Calibri" w:hAnsi="Times New Roman" w:cs="Times New Roman"/>
                <w:sz w:val="18"/>
                <w:szCs w:val="18"/>
                <w:lang w:val="ro-RO"/>
              </w:rPr>
              <w:t>78a. „expuneri aferente achizițiilor de terenuri, dezvoltării și construcțiilor” sau „expuneri ADC” înseamnă expuneri față de societăți sau entități cu scop special care finanțează orice achiziție de terenuri în scopuri de dezvoltare și construcții sau care finanțează dezvoltarea și construirea oricăror bunuri imobile locative sau bunuri imobile comerciale;</w:t>
            </w:r>
          </w:p>
        </w:tc>
        <w:tc>
          <w:tcPr>
            <w:tcW w:w="1661" w:type="pct"/>
          </w:tcPr>
          <w:p w14:paraId="5AF5C9D5" w14:textId="77777777" w:rsidR="00061310" w:rsidRPr="006F5136" w:rsidRDefault="00061310" w:rsidP="00061310">
            <w:pPr>
              <w:spacing w:after="0" w:line="240" w:lineRule="auto"/>
              <w:jc w:val="both"/>
              <w:rPr>
                <w:rFonts w:ascii="Times New Roman" w:hAnsi="Times New Roman" w:cs="Times New Roman"/>
                <w:bCs/>
                <w:sz w:val="18"/>
                <w:szCs w:val="18"/>
                <w:lang w:val="ro-RO"/>
              </w:rPr>
            </w:pPr>
            <w:r w:rsidRPr="006F5136">
              <w:rPr>
                <w:rFonts w:ascii="Times New Roman" w:hAnsi="Times New Roman" w:cs="Times New Roman"/>
                <w:b/>
                <w:sz w:val="18"/>
                <w:szCs w:val="18"/>
                <w:lang w:val="ro-RO"/>
              </w:rPr>
              <w:t>expunere aferentă achizițiilor de terenuri, dezvoltării și construcțiilor (expunere ADC)</w:t>
            </w:r>
            <w:r w:rsidRPr="006F5136">
              <w:rPr>
                <w:rFonts w:ascii="Times New Roman" w:hAnsi="Times New Roman" w:cs="Times New Roman"/>
                <w:bCs/>
                <w:sz w:val="18"/>
                <w:szCs w:val="18"/>
                <w:lang w:val="ro-RO"/>
              </w:rPr>
              <w:t xml:space="preserve"> - expuneri față de societăți sau entități cu scop special care finanțează orice achiziție de terenuri în scopuri de dezvoltare și construcții sau care finanțează dezvoltarea și construirea oricăror bunuri imobile locative sau bunuri imobile comerciale;</w:t>
            </w:r>
          </w:p>
          <w:p w14:paraId="47884C1F" w14:textId="224CE5CB" w:rsidR="00061310" w:rsidRPr="006F5136" w:rsidRDefault="00061310" w:rsidP="00061310">
            <w:pPr>
              <w:spacing w:after="0" w:line="240" w:lineRule="auto"/>
              <w:jc w:val="both"/>
              <w:rPr>
                <w:rFonts w:ascii="Times New Roman" w:hAnsi="Times New Roman" w:cs="Times New Roman"/>
                <w:bCs/>
                <w:sz w:val="18"/>
                <w:szCs w:val="18"/>
                <w:lang w:val="ro-RO"/>
              </w:rPr>
            </w:pPr>
            <w:r w:rsidRPr="006F5136">
              <w:rPr>
                <w:rFonts w:ascii="Times New Roman" w:hAnsi="Times New Roman" w:cs="Times New Roman"/>
                <w:bCs/>
                <w:i/>
                <w:iCs/>
                <w:sz w:val="18"/>
                <w:szCs w:val="18"/>
                <w:lang w:val="ro-RO"/>
              </w:rPr>
              <w:t>Proiectul HCE al BNM privind modificarea Regulamentului nr.111/2018</w:t>
            </w:r>
          </w:p>
        </w:tc>
        <w:tc>
          <w:tcPr>
            <w:tcW w:w="503" w:type="pct"/>
          </w:tcPr>
          <w:p w14:paraId="52DD1E9F" w14:textId="7013A361" w:rsidR="00061310" w:rsidRPr="006F5136" w:rsidDel="002C32BA"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07ECA00B" w14:textId="3C6FB8B9" w:rsidR="00061310" w:rsidRPr="006F5136" w:rsidDel="002C32BA"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061310" w:rsidRPr="006F5136" w14:paraId="5182BA0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837436C" w14:textId="77777777" w:rsidR="00061310" w:rsidRPr="006F5136" w:rsidRDefault="00061310" w:rsidP="00061310">
            <w:pPr>
              <w:pStyle w:val="CM1"/>
              <w:jc w:val="both"/>
              <w:rPr>
                <w:rFonts w:ascii="Times New Roman" w:hAnsi="Times New Roman"/>
                <w:b/>
                <w:sz w:val="18"/>
                <w:szCs w:val="18"/>
                <w:lang w:val="ro-RO"/>
              </w:rPr>
            </w:pPr>
            <w:r w:rsidRPr="006F5136">
              <w:rPr>
                <w:rFonts w:ascii="Times New Roman" w:hAnsi="Times New Roman"/>
                <w:b/>
                <w:sz w:val="18"/>
                <w:szCs w:val="18"/>
                <w:lang w:val="ro-RO"/>
              </w:rPr>
              <w:t>M17</w:t>
            </w:r>
          </w:p>
          <w:p w14:paraId="60512BEC" w14:textId="3376D27B" w:rsidR="00061310" w:rsidRPr="006F5136" w:rsidRDefault="00061310" w:rsidP="00061310">
            <w:pPr>
              <w:spacing w:after="0" w:line="240" w:lineRule="auto"/>
              <w:rPr>
                <w:rFonts w:ascii="Times New Roman" w:hAnsi="Times New Roman" w:cs="Times New Roman"/>
                <w:sz w:val="18"/>
                <w:szCs w:val="18"/>
                <w:lang w:val="ro-RO"/>
              </w:rPr>
            </w:pPr>
            <w:r w:rsidRPr="006F5136">
              <w:rPr>
                <w:rFonts w:ascii="Times New Roman" w:eastAsia="Calibri" w:hAnsi="Times New Roman" w:cs="Times New Roman"/>
                <w:sz w:val="18"/>
                <w:szCs w:val="18"/>
                <w:lang w:val="ro-RO"/>
              </w:rPr>
              <w:t>78b. „expunere non-ADC” înseamnă orice expunere garantată cu unul sau mai multe bunuri imobile locative sau bunuri imobile comerciale care nu este o expunere ADC;</w:t>
            </w:r>
          </w:p>
        </w:tc>
        <w:tc>
          <w:tcPr>
            <w:tcW w:w="1661" w:type="pct"/>
          </w:tcPr>
          <w:p w14:paraId="05BA1ED2" w14:textId="77777777" w:rsidR="00061310" w:rsidRPr="006F5136" w:rsidRDefault="00061310" w:rsidP="00061310">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expunere non-ADC -</w:t>
            </w:r>
            <w:r w:rsidRPr="006F5136">
              <w:rPr>
                <w:rFonts w:ascii="Times New Roman" w:eastAsia="Times New Roman" w:hAnsi="Times New Roman" w:cs="Times New Roman"/>
                <w:sz w:val="18"/>
                <w:szCs w:val="18"/>
                <w:lang w:val="ro-RO" w:eastAsia="ro-MD"/>
              </w:rPr>
              <w:t xml:space="preserve"> o expunere garantată cu unul sau mai multe bunuri imobile locative sau bunuri imobile comerciale care nu este o expunere ADC;</w:t>
            </w:r>
          </w:p>
          <w:p w14:paraId="250EF047" w14:textId="28430B01" w:rsidR="00061310" w:rsidRPr="006F5136" w:rsidRDefault="00061310" w:rsidP="00061310">
            <w:pPr>
              <w:spacing w:after="0" w:line="240" w:lineRule="auto"/>
              <w:jc w:val="both"/>
              <w:rPr>
                <w:rFonts w:ascii="Times New Roman" w:hAnsi="Times New Roman" w:cs="Times New Roman"/>
                <w:b/>
                <w:sz w:val="18"/>
                <w:szCs w:val="18"/>
                <w:lang w:val="ro-RO"/>
              </w:rPr>
            </w:pPr>
            <w:r w:rsidRPr="006F5136">
              <w:rPr>
                <w:rFonts w:ascii="Times New Roman" w:hAnsi="Times New Roman" w:cs="Times New Roman"/>
                <w:bCs/>
                <w:i/>
                <w:iCs/>
                <w:sz w:val="18"/>
                <w:szCs w:val="18"/>
                <w:lang w:val="ro-RO"/>
              </w:rPr>
              <w:t>Proiectul HCE al BNM privind modificarea Regulamentului nr.111/2018</w:t>
            </w:r>
          </w:p>
        </w:tc>
        <w:tc>
          <w:tcPr>
            <w:tcW w:w="503" w:type="pct"/>
          </w:tcPr>
          <w:p w14:paraId="49248AB7" w14:textId="250E6E0C" w:rsidR="00061310" w:rsidRPr="006F5136" w:rsidDel="002C32BA"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19EA6DCB" w14:textId="35A077DC" w:rsidR="00061310" w:rsidRPr="006F5136" w:rsidDel="002C32BA"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061310" w:rsidRPr="006F5136" w14:paraId="1F9591D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94A1CEE" w14:textId="6BDDAB5F" w:rsidR="00061310" w:rsidRPr="006F5136" w:rsidRDefault="00061310" w:rsidP="00061310">
            <w:pPr>
              <w:pStyle w:val="CM4"/>
              <w:jc w:val="both"/>
              <w:rPr>
                <w:rFonts w:ascii="Times New Roman" w:hAnsi="Times New Roman"/>
                <w:b/>
                <w:sz w:val="18"/>
                <w:szCs w:val="18"/>
                <w:lang w:val="ro-RO"/>
              </w:rPr>
            </w:pPr>
            <w:r w:rsidRPr="006F5136">
              <w:rPr>
                <w:rFonts w:ascii="Times New Roman" w:hAnsi="Times New Roman"/>
                <w:bCs/>
                <w:sz w:val="18"/>
                <w:szCs w:val="18"/>
                <w:lang w:val="ro-RO"/>
              </w:rPr>
              <w:t>M17 – exclus subpct.79</w:t>
            </w:r>
          </w:p>
        </w:tc>
        <w:tc>
          <w:tcPr>
            <w:tcW w:w="1661" w:type="pct"/>
          </w:tcPr>
          <w:p w14:paraId="7B4486DC" w14:textId="22ED2CE9" w:rsidR="00061310" w:rsidRPr="006F5136" w:rsidRDefault="00061310" w:rsidP="00061310">
            <w:pPr>
              <w:spacing w:after="0" w:line="240" w:lineRule="auto"/>
              <w:jc w:val="both"/>
              <w:rPr>
                <w:rFonts w:ascii="Times New Roman" w:hAnsi="Times New Roman" w:cs="Times New Roman"/>
                <w:b/>
                <w:sz w:val="18"/>
                <w:szCs w:val="18"/>
                <w:lang w:val="ro-RO"/>
              </w:rPr>
            </w:pPr>
            <w:r w:rsidRPr="006F5136">
              <w:rPr>
                <w:rFonts w:ascii="Times New Roman" w:hAnsi="Times New Roman" w:cs="Times New Roman"/>
                <w:bCs/>
                <w:i/>
                <w:iCs/>
                <w:sz w:val="18"/>
                <w:szCs w:val="18"/>
                <w:lang w:val="ro-RO"/>
              </w:rPr>
              <w:t>Proiectul HCE al BNM privind modificarea Regulamentului nr.111/2018</w:t>
            </w:r>
          </w:p>
        </w:tc>
        <w:tc>
          <w:tcPr>
            <w:tcW w:w="503" w:type="pct"/>
          </w:tcPr>
          <w:p w14:paraId="294414DF" w14:textId="21E73AF3"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33E174D9" w14:textId="3ECD2E41"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BB2F88" w:rsidRPr="006F5136" w14:paraId="47F528A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809DEF8" w14:textId="77777777" w:rsidR="00395381" w:rsidRPr="006F5136" w:rsidRDefault="00395381" w:rsidP="005E4694">
            <w:pPr>
              <w:pStyle w:val="CM4"/>
              <w:jc w:val="both"/>
              <w:rPr>
                <w:rFonts w:ascii="Times New Roman" w:hAnsi="Times New Roman"/>
                <w:b/>
                <w:sz w:val="18"/>
                <w:szCs w:val="18"/>
                <w:lang w:val="ro-RO"/>
              </w:rPr>
            </w:pPr>
            <w:r w:rsidRPr="006F5136">
              <w:rPr>
                <w:rFonts w:ascii="Times New Roman" w:hAnsi="Times New Roman"/>
                <w:b/>
                <w:sz w:val="18"/>
                <w:szCs w:val="18"/>
                <w:lang w:val="ro-RO"/>
              </w:rPr>
              <w:t xml:space="preserve">80. </w:t>
            </w:r>
            <w:r w:rsidRPr="006F5136">
              <w:rPr>
                <w:rFonts w:ascii="Times New Roman" w:hAnsi="Times New Roman"/>
                <w:sz w:val="18"/>
                <w:szCs w:val="18"/>
                <w:lang w:val="ro-RO"/>
              </w:rPr>
              <w:t>„finanțarea comerțului”</w:t>
            </w:r>
            <w:r w:rsidRPr="006F5136">
              <w:rPr>
                <w:rFonts w:ascii="Times New Roman" w:hAnsi="Times New Roman"/>
                <w:b/>
                <w:sz w:val="18"/>
                <w:szCs w:val="18"/>
                <w:lang w:val="ro-RO"/>
              </w:rPr>
              <w:t xml:space="preserve"> </w:t>
            </w:r>
            <w:r w:rsidRPr="006F5136">
              <w:rPr>
                <w:rFonts w:ascii="Times New Roman" w:hAnsi="Times New Roman"/>
                <w:sz w:val="18"/>
                <w:szCs w:val="18"/>
                <w:lang w:val="ro-RO"/>
              </w:rPr>
              <w:t>înseamnă finanțarea, inclusiv garanțiile, asociate schimburilor de bunuri și servicii prin intermediul produselor financiare cu scadență fixă pe termen scurt (în general mai mică de un an) fără refinanțare automată;</w:t>
            </w:r>
          </w:p>
        </w:tc>
        <w:tc>
          <w:tcPr>
            <w:tcW w:w="1661" w:type="pct"/>
          </w:tcPr>
          <w:p w14:paraId="3DBBAA75" w14:textId="6712FA9A" w:rsidR="00395381" w:rsidRPr="006F5136" w:rsidRDefault="00E14323" w:rsidP="005E4694">
            <w:pPr>
              <w:spacing w:after="0" w:line="240" w:lineRule="auto"/>
              <w:jc w:val="both"/>
              <w:rPr>
                <w:rFonts w:ascii="Times New Roman" w:hAnsi="Times New Roman" w:cs="Times New Roman"/>
                <w:bCs/>
                <w:sz w:val="18"/>
                <w:szCs w:val="18"/>
                <w:lang w:val="ro-RO"/>
              </w:rPr>
            </w:pPr>
            <w:r w:rsidRPr="006F5136">
              <w:rPr>
                <w:rFonts w:ascii="Times New Roman" w:hAnsi="Times New Roman" w:cs="Times New Roman"/>
                <w:b/>
                <w:sz w:val="18"/>
                <w:szCs w:val="18"/>
                <w:lang w:val="ro-RO"/>
              </w:rPr>
              <w:t xml:space="preserve">finanţarea comerţului </w:t>
            </w:r>
            <w:r w:rsidRPr="006F5136">
              <w:rPr>
                <w:rFonts w:ascii="Times New Roman" w:hAnsi="Times New Roman" w:cs="Times New Roman"/>
                <w:bCs/>
                <w:sz w:val="18"/>
                <w:szCs w:val="18"/>
                <w:lang w:val="ro-RO"/>
              </w:rPr>
              <w:t>– finanţarea (inclusiv garanţiile) asociată schimburilor de bunuri şi servicii prin intermediul produselor financiare cu scadenţă fixă, în general, mai mică de un an fără refinanţare automată;</w:t>
            </w:r>
          </w:p>
        </w:tc>
        <w:tc>
          <w:tcPr>
            <w:tcW w:w="503" w:type="pct"/>
          </w:tcPr>
          <w:p w14:paraId="63872697" w14:textId="77777777"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p w14:paraId="52E051C3" w14:textId="77777777" w:rsidR="00395381" w:rsidRPr="006F5136" w:rsidRDefault="00395381" w:rsidP="005E4694">
            <w:pPr>
              <w:spacing w:after="0" w:line="240" w:lineRule="auto"/>
              <w:jc w:val="both"/>
              <w:rPr>
                <w:rFonts w:ascii="Times New Roman" w:hAnsi="Times New Roman" w:cs="Times New Roman"/>
                <w:sz w:val="18"/>
                <w:szCs w:val="18"/>
                <w:lang w:val="ro-RO"/>
              </w:rPr>
            </w:pPr>
          </w:p>
        </w:tc>
        <w:tc>
          <w:tcPr>
            <w:tcW w:w="912" w:type="pct"/>
          </w:tcPr>
          <w:p w14:paraId="02AD76B1" w14:textId="15FCDF42" w:rsidR="00395381" w:rsidRPr="006F5136" w:rsidRDefault="00395381" w:rsidP="005E4694">
            <w:pPr>
              <w:spacing w:after="0" w:line="240" w:lineRule="auto"/>
              <w:jc w:val="both"/>
              <w:rPr>
                <w:rFonts w:ascii="Times New Roman" w:hAnsi="Times New Roman" w:cs="Times New Roman"/>
                <w:bCs/>
                <w:sz w:val="18"/>
                <w:szCs w:val="18"/>
                <w:lang w:val="ro-RO"/>
              </w:rPr>
            </w:pPr>
            <w:r w:rsidRPr="006F5136">
              <w:rPr>
                <w:rFonts w:ascii="Times New Roman" w:hAnsi="Times New Roman" w:cs="Times New Roman"/>
                <w:bCs/>
                <w:sz w:val="18"/>
                <w:szCs w:val="18"/>
                <w:lang w:val="ro-RO"/>
              </w:rPr>
              <w:t xml:space="preserve">Regulamentul </w:t>
            </w:r>
            <w:r w:rsidR="00E14323" w:rsidRPr="006F5136">
              <w:rPr>
                <w:rFonts w:ascii="Times New Roman" w:hAnsi="Times New Roman" w:cs="Times New Roman"/>
                <w:bCs/>
                <w:sz w:val="18"/>
                <w:szCs w:val="18"/>
                <w:lang w:val="ro-RO"/>
              </w:rPr>
              <w:t xml:space="preserve">nr.111/2018 </w:t>
            </w:r>
            <w:r w:rsidRPr="006F5136">
              <w:rPr>
                <w:rFonts w:ascii="Times New Roman" w:hAnsi="Times New Roman" w:cs="Times New Roman"/>
                <w:bCs/>
                <w:sz w:val="18"/>
                <w:szCs w:val="18"/>
                <w:lang w:val="ro-RO"/>
              </w:rPr>
              <w:t>cu privire la tratamentul riscului de credit pentru bănci potrivit abordării standardizate</w:t>
            </w:r>
          </w:p>
        </w:tc>
      </w:tr>
      <w:tr w:rsidR="00BB2F88" w:rsidRPr="006F5136" w14:paraId="00A4744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32611D9" w14:textId="33BFDFA5" w:rsidR="00395381" w:rsidRPr="006F5136" w:rsidRDefault="00395381" w:rsidP="005E4694">
            <w:pPr>
              <w:pStyle w:val="CM4"/>
              <w:jc w:val="both"/>
              <w:rPr>
                <w:rFonts w:ascii="Times New Roman" w:hAnsi="Times New Roman"/>
                <w:b/>
                <w:sz w:val="18"/>
                <w:szCs w:val="18"/>
                <w:lang w:val="ro-RO"/>
              </w:rPr>
            </w:pPr>
            <w:r w:rsidRPr="006F5136">
              <w:rPr>
                <w:rFonts w:ascii="Times New Roman" w:hAnsi="Times New Roman"/>
                <w:b/>
                <w:sz w:val="18"/>
                <w:szCs w:val="18"/>
                <w:lang w:val="ro-RO"/>
              </w:rPr>
              <w:t xml:space="preserve">81. </w:t>
            </w:r>
            <w:r w:rsidRPr="006F5136">
              <w:rPr>
                <w:rFonts w:ascii="Times New Roman" w:hAnsi="Times New Roman"/>
                <w:sz w:val="18"/>
                <w:szCs w:val="18"/>
                <w:lang w:val="ro-RO"/>
              </w:rPr>
              <w:t>„credite de export sprijinite în mod oficial”</w:t>
            </w:r>
            <w:r w:rsidRPr="006F5136">
              <w:rPr>
                <w:rFonts w:ascii="Times New Roman" w:hAnsi="Times New Roman"/>
                <w:b/>
                <w:sz w:val="18"/>
                <w:szCs w:val="18"/>
                <w:lang w:val="ro-RO"/>
              </w:rPr>
              <w:t xml:space="preserve"> </w:t>
            </w:r>
            <w:r w:rsidRPr="006F5136">
              <w:rPr>
                <w:rFonts w:ascii="Times New Roman" w:hAnsi="Times New Roman"/>
                <w:sz w:val="18"/>
                <w:szCs w:val="18"/>
                <w:lang w:val="ro-RO"/>
              </w:rPr>
              <w:t>înseamnă împrumuturi sau credite pentru a finanța exportul de mărfuri și servicii pentru care o agenție oficială de creditare a exportului oferă garanții, asigurare sau finanțare directă;</w:t>
            </w:r>
          </w:p>
        </w:tc>
        <w:tc>
          <w:tcPr>
            <w:tcW w:w="1661" w:type="pct"/>
          </w:tcPr>
          <w:p w14:paraId="068770A0" w14:textId="638E22E4" w:rsidR="00395381" w:rsidRPr="006F5136" w:rsidRDefault="00380D27" w:rsidP="005E4694">
            <w:pPr>
              <w:spacing w:after="0" w:line="240" w:lineRule="auto"/>
              <w:jc w:val="both"/>
              <w:rPr>
                <w:rFonts w:ascii="Times New Roman" w:hAnsi="Times New Roman" w:cs="Times New Roman"/>
                <w:b/>
                <w:sz w:val="18"/>
                <w:szCs w:val="18"/>
                <w:lang w:val="ro-RO"/>
              </w:rPr>
            </w:pPr>
            <w:r w:rsidRPr="006F5136">
              <w:rPr>
                <w:rFonts w:ascii="Times New Roman" w:hAnsi="Times New Roman" w:cs="Times New Roman"/>
                <w:b/>
                <w:sz w:val="18"/>
                <w:szCs w:val="18"/>
                <w:lang w:val="ro-RO"/>
              </w:rPr>
              <w:t xml:space="preserve">credite de export sprijinite în mod oficial </w:t>
            </w:r>
            <w:r w:rsidRPr="006F5136">
              <w:rPr>
                <w:rFonts w:ascii="Times New Roman" w:hAnsi="Times New Roman" w:cs="Times New Roman"/>
                <w:bCs/>
                <w:sz w:val="18"/>
                <w:szCs w:val="18"/>
                <w:lang w:val="ro-RO"/>
              </w:rPr>
              <w:t>– credite pentru a finanţa exportul de mărfuri şi servicii pentru care o agenţie oficială de creditare a exportului oferă garanţii, asigurare sau finanţare directă;</w:t>
            </w:r>
          </w:p>
        </w:tc>
        <w:tc>
          <w:tcPr>
            <w:tcW w:w="503" w:type="pct"/>
          </w:tcPr>
          <w:p w14:paraId="14F865D9" w14:textId="77777777"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p w14:paraId="1867E065" w14:textId="77777777" w:rsidR="00395381" w:rsidRPr="006F5136" w:rsidRDefault="00395381" w:rsidP="005E4694">
            <w:pPr>
              <w:spacing w:after="0" w:line="240" w:lineRule="auto"/>
              <w:jc w:val="both"/>
              <w:rPr>
                <w:rFonts w:ascii="Times New Roman" w:hAnsi="Times New Roman" w:cs="Times New Roman"/>
                <w:sz w:val="18"/>
                <w:szCs w:val="18"/>
                <w:lang w:val="ro-RO"/>
              </w:rPr>
            </w:pPr>
          </w:p>
        </w:tc>
        <w:tc>
          <w:tcPr>
            <w:tcW w:w="912" w:type="pct"/>
          </w:tcPr>
          <w:p w14:paraId="64183CC2" w14:textId="0D758B6B" w:rsidR="00395381" w:rsidRPr="006F5136" w:rsidRDefault="00524B6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bCs/>
                <w:sz w:val="18"/>
                <w:szCs w:val="18"/>
                <w:lang w:val="ro-RO"/>
              </w:rPr>
              <w:t>Regulamentul nr.111/2018 cu privire la tratamentul riscului de credit pentru bănci potrivit abordării standardizate</w:t>
            </w:r>
          </w:p>
        </w:tc>
      </w:tr>
      <w:tr w:rsidR="00BB2F88" w:rsidRPr="006F5136" w14:paraId="07A3E3D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77139D1" w14:textId="78692059" w:rsidR="00395381" w:rsidRPr="006F5136" w:rsidRDefault="00395381" w:rsidP="005E4694">
            <w:pPr>
              <w:pStyle w:val="CM4"/>
              <w:jc w:val="both"/>
              <w:rPr>
                <w:rFonts w:ascii="Times New Roman" w:eastAsia="Arial Unicode MS" w:hAnsi="Times New Roman"/>
                <w:sz w:val="18"/>
                <w:szCs w:val="18"/>
                <w:lang w:val="ro-RO"/>
              </w:rPr>
            </w:pPr>
            <w:r w:rsidRPr="006F5136">
              <w:rPr>
                <w:rFonts w:ascii="Times New Roman" w:eastAsia="Arial Unicode MS" w:hAnsi="Times New Roman"/>
                <w:b/>
                <w:sz w:val="18"/>
                <w:szCs w:val="18"/>
                <w:lang w:val="ro-RO"/>
              </w:rPr>
              <w:t>98.</w:t>
            </w:r>
            <w:r w:rsidRPr="006F5136">
              <w:rPr>
                <w:rFonts w:ascii="Times New Roman" w:eastAsia="Arial Unicode MS" w:hAnsi="Times New Roman"/>
                <w:sz w:val="18"/>
                <w:szCs w:val="18"/>
                <w:lang w:val="ro-RO"/>
              </w:rPr>
              <w:t xml:space="preserve"> „instituție externă de evaluare a creditului” sau „ECAI” înseamnă o agenție de rating de credit care este înregistrată sau certificată în conformitate cu Regulamentul (CE) nr. 1060/2009 al Parlamentului European și al Consiliului din 16 septembrie 2009 privind agențiile de rating de credit ( 25 ) sau o bancă centrală care acordă ratinguri de credit exceptate de la aplicarea dispozițiilor Regulamentului (CE) nr. 1060/2009;</w:t>
            </w:r>
          </w:p>
        </w:tc>
        <w:tc>
          <w:tcPr>
            <w:tcW w:w="1661" w:type="pct"/>
          </w:tcPr>
          <w:p w14:paraId="309F7C95" w14:textId="77777777" w:rsidR="00313609" w:rsidRPr="006F5136" w:rsidRDefault="00313609"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b/>
                <w:bCs/>
                <w:sz w:val="18"/>
                <w:szCs w:val="18"/>
                <w:lang w:val="ro-RO"/>
              </w:rPr>
              <w:t>societate de evaluare externă a creditului (ECAI)</w:t>
            </w:r>
            <w:r w:rsidRPr="006F5136">
              <w:rPr>
                <w:rFonts w:ascii="Times New Roman" w:hAnsi="Times New Roman" w:cs="Times New Roman"/>
                <w:sz w:val="18"/>
                <w:szCs w:val="18"/>
                <w:lang w:val="ro-RO"/>
              </w:rPr>
              <w:t xml:space="preserve"> – </w:t>
            </w:r>
            <w:r w:rsidRPr="006F5136">
              <w:rPr>
                <w:rFonts w:ascii="Times New Roman" w:hAnsi="Times New Roman" w:cs="Times New Roman"/>
                <w:i/>
                <w:iCs/>
                <w:sz w:val="18"/>
                <w:szCs w:val="18"/>
                <w:lang w:val="ro-RO"/>
              </w:rPr>
              <w:t>external credit assessment institution</w:t>
            </w:r>
            <w:r w:rsidRPr="006F5136">
              <w:rPr>
                <w:rFonts w:ascii="Times New Roman" w:hAnsi="Times New Roman" w:cs="Times New Roman"/>
                <w:sz w:val="18"/>
                <w:szCs w:val="18"/>
                <w:lang w:val="ro-RO"/>
              </w:rPr>
              <w:t>:</w:t>
            </w:r>
          </w:p>
          <w:p w14:paraId="717B3791" w14:textId="77777777" w:rsidR="00313609" w:rsidRPr="006F5136" w:rsidRDefault="00313609"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 O persoană juridică a cărei activitate include acordarea, cu titlu profesional, de evaluări (ratinguri) de credit (agenţia de rating de credit) care este înregistrată sau certificată conform legislaţiei naţionale a statului străin respectiv sau</w:t>
            </w:r>
          </w:p>
          <w:p w14:paraId="7DC3F464" w14:textId="1F0FB4E8" w:rsidR="00395381" w:rsidRPr="006F5136" w:rsidRDefault="00313609"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2) O bancă centrală din statul străin care, în temeiul legislaţiei naţionale a statului respectiv, acordă ratinguri de credit.</w:t>
            </w:r>
          </w:p>
        </w:tc>
        <w:tc>
          <w:tcPr>
            <w:tcW w:w="503" w:type="pct"/>
          </w:tcPr>
          <w:p w14:paraId="6183AEFD" w14:textId="77777777"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243FD48E" w14:textId="57E1D377" w:rsidR="00395381" w:rsidRPr="006F5136" w:rsidRDefault="009D49F5"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bCs/>
                <w:sz w:val="18"/>
                <w:szCs w:val="18"/>
                <w:lang w:val="ro-RO"/>
              </w:rPr>
              <w:t>Regulamentul nr.111/2018 cu privire la tratamentul riscului de credit pentru bănci potrivit abordării standardizate</w:t>
            </w:r>
            <w:r w:rsidRPr="006F5136">
              <w:rPr>
                <w:rFonts w:ascii="Times New Roman" w:hAnsi="Times New Roman" w:cs="Times New Roman"/>
                <w:sz w:val="18"/>
                <w:szCs w:val="18"/>
                <w:lang w:val="ro-RO"/>
              </w:rPr>
              <w:t xml:space="preserve"> </w:t>
            </w:r>
          </w:p>
        </w:tc>
      </w:tr>
      <w:tr w:rsidR="00BB2F88" w:rsidRPr="006F5136" w14:paraId="4103CF0D"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5691357" w14:textId="77777777" w:rsidR="00395381" w:rsidRPr="006F5136" w:rsidRDefault="00395381" w:rsidP="005E4694">
            <w:pPr>
              <w:pStyle w:val="CM4"/>
              <w:jc w:val="both"/>
              <w:rPr>
                <w:rFonts w:ascii="Times New Roman" w:eastAsia="Arial Unicode MS" w:hAnsi="Times New Roman"/>
                <w:sz w:val="18"/>
                <w:szCs w:val="18"/>
                <w:lang w:val="ro-RO"/>
              </w:rPr>
            </w:pPr>
            <w:r w:rsidRPr="006F5136">
              <w:rPr>
                <w:rFonts w:ascii="Times New Roman" w:eastAsia="Arial Unicode MS" w:hAnsi="Times New Roman"/>
                <w:b/>
                <w:sz w:val="18"/>
                <w:szCs w:val="18"/>
                <w:lang w:val="ro-RO"/>
              </w:rPr>
              <w:t>99.</w:t>
            </w:r>
            <w:r w:rsidRPr="006F5136">
              <w:rPr>
                <w:rFonts w:ascii="Times New Roman" w:eastAsia="Arial Unicode MS" w:hAnsi="Times New Roman"/>
                <w:sz w:val="18"/>
                <w:szCs w:val="18"/>
                <w:lang w:val="ro-RO"/>
              </w:rPr>
              <w:t xml:space="preserve"> „ECAI desemnată” înseamnă o ECAI desemnată de către o instituție;</w:t>
            </w:r>
          </w:p>
        </w:tc>
        <w:tc>
          <w:tcPr>
            <w:tcW w:w="1661" w:type="pct"/>
          </w:tcPr>
          <w:p w14:paraId="1B17AEB9" w14:textId="1A865FB1" w:rsidR="00395381" w:rsidRPr="006F5136" w:rsidRDefault="00313609"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b/>
                <w:bCs/>
                <w:sz w:val="18"/>
                <w:szCs w:val="18"/>
                <w:lang w:val="ro-RO"/>
              </w:rPr>
              <w:t>ECAI desemnată</w:t>
            </w:r>
            <w:r w:rsidRPr="006F5136">
              <w:rPr>
                <w:rFonts w:ascii="Times New Roman" w:hAnsi="Times New Roman" w:cs="Times New Roman"/>
                <w:sz w:val="18"/>
                <w:szCs w:val="18"/>
                <w:lang w:val="ro-RO"/>
              </w:rPr>
              <w:t xml:space="preserve"> – o societate de evaluare externă a creditului desemnată de către o bancă;</w:t>
            </w:r>
          </w:p>
        </w:tc>
        <w:tc>
          <w:tcPr>
            <w:tcW w:w="503" w:type="pct"/>
          </w:tcPr>
          <w:p w14:paraId="7696B8EF" w14:textId="77777777"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0F419ED7" w14:textId="28648C4D" w:rsidR="00395381" w:rsidRPr="006F5136" w:rsidRDefault="009D49F5" w:rsidP="005E4694">
            <w:pPr>
              <w:spacing w:after="0" w:line="240" w:lineRule="auto"/>
              <w:jc w:val="both"/>
              <w:rPr>
                <w:rFonts w:ascii="Times New Roman" w:hAnsi="Times New Roman" w:cs="Times New Roman"/>
                <w:b/>
                <w:sz w:val="18"/>
                <w:szCs w:val="18"/>
                <w:lang w:val="ro-RO"/>
              </w:rPr>
            </w:pPr>
            <w:r w:rsidRPr="006F5136">
              <w:rPr>
                <w:rFonts w:ascii="Times New Roman" w:hAnsi="Times New Roman" w:cs="Times New Roman"/>
                <w:bCs/>
                <w:sz w:val="18"/>
                <w:szCs w:val="18"/>
                <w:lang w:val="ro-RO"/>
              </w:rPr>
              <w:t>Regulamentul nr.111/2018 cu privire la tratamentul riscului de credit pentru bănci potrivit abordării standardizate</w:t>
            </w:r>
          </w:p>
        </w:tc>
      </w:tr>
      <w:tr w:rsidR="00061310" w:rsidRPr="006F5136" w14:paraId="30B9E81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01D8832" w14:textId="77777777" w:rsidR="00061310" w:rsidRPr="006F5136" w:rsidRDefault="00061310" w:rsidP="00061310">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M17</w:t>
            </w:r>
          </w:p>
          <w:p w14:paraId="260FC4C2" w14:textId="4BAF2A22" w:rsidR="00061310" w:rsidRPr="006F5136" w:rsidRDefault="00061310" w:rsidP="00061310">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b/>
                <w:bCs/>
                <w:sz w:val="18"/>
                <w:szCs w:val="18"/>
                <w:lang w:val="ro-RO"/>
              </w:rPr>
              <w:t>152.</w:t>
            </w:r>
            <w:r w:rsidRPr="006F5136">
              <w:rPr>
                <w:rFonts w:ascii="Times New Roman" w:hAnsi="Times New Roman" w:cs="Times New Roman"/>
                <w:sz w:val="18"/>
                <w:szCs w:val="18"/>
                <w:lang w:val="ro-RO"/>
              </w:rPr>
              <w:t xml:space="preserve"> „expunere față de un tranzactor” înseamnă orice expunere reînnoibilă care are un istoric de rambursare de cel puțin 12 luni și care este una dintre următoarele:</w:t>
            </w:r>
          </w:p>
          <w:p w14:paraId="0D34EF1D" w14:textId="6E488A3C" w:rsidR="00061310" w:rsidRPr="006F5136" w:rsidRDefault="00061310" w:rsidP="00061310">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(a) o expunere în cazul căreia, în mod regulat și cel puțin o dată la 12 luni, soldul care trebuie rambursat la următoarea dată programată de rambursare este determinat ca fiind cuantumul tras la o dată de referință prestabilită, cu o dată de rambursare programată nu mai târziu de 12 luni, cu condiția ca soldul să fi fost rambursat integral la fiecare dată de rambursare programată din ultimele 12 luni;</w:t>
            </w:r>
          </w:p>
          <w:p w14:paraId="3F56D3D4" w14:textId="6FEBFF54" w:rsidR="00061310" w:rsidRPr="006F5136" w:rsidRDefault="00061310" w:rsidP="00061310">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(b) o facilitate de tip „descoperit de cont” din care nu s-au efectuat trageri în ultimele 12 luni;</w:t>
            </w:r>
          </w:p>
        </w:tc>
        <w:tc>
          <w:tcPr>
            <w:tcW w:w="1661" w:type="pct"/>
          </w:tcPr>
          <w:p w14:paraId="63802592" w14:textId="77777777" w:rsidR="00061310" w:rsidRPr="006F5136" w:rsidRDefault="00061310" w:rsidP="00061310">
            <w:pPr>
              <w:spacing w:after="0" w:line="240" w:lineRule="auto"/>
              <w:rPr>
                <w:rFonts w:ascii="Times New Roman" w:hAnsi="Times New Roman" w:cs="Times New Roman"/>
                <w:sz w:val="18"/>
                <w:szCs w:val="18"/>
                <w:lang w:val="ro-RO"/>
              </w:rPr>
            </w:pPr>
            <w:r w:rsidRPr="006F5136">
              <w:rPr>
                <w:rFonts w:ascii="Times New Roman" w:hAnsi="Times New Roman" w:cs="Times New Roman"/>
                <w:b/>
                <w:bCs/>
                <w:sz w:val="18"/>
                <w:szCs w:val="18"/>
                <w:lang w:val="ro-RO"/>
              </w:rPr>
              <w:t>expunere față de un tranzactor</w:t>
            </w:r>
            <w:r w:rsidRPr="006F5136">
              <w:rPr>
                <w:rFonts w:ascii="Times New Roman" w:hAnsi="Times New Roman" w:cs="Times New Roman"/>
                <w:sz w:val="18"/>
                <w:szCs w:val="18"/>
                <w:lang w:val="ro-RO"/>
              </w:rPr>
              <w:t xml:space="preserve"> - orice expunere reînnoibilă care are un istoric de rambursare de cel puțin 12 luni și care este una dintre următoarele:</w:t>
            </w:r>
          </w:p>
          <w:p w14:paraId="462E3A1D" w14:textId="77777777" w:rsidR="00061310" w:rsidRPr="006F5136" w:rsidRDefault="00061310" w:rsidP="00061310">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1) o expunere în cazul căreia, în mod regulat și cel puțin o dată la 12 luni, soldul care trebuie rambursat la următoarea dată programată de rambursare este determinat ca fiind cuantumul tras la o dată de referință prestabilită, cu o dată de rambursare programată nu mai târziu de 12 luni, cu condiția ca soldul să fi fost rambursat integral la fiecare dată de rambursare programată din ultimele 12 luni;</w:t>
            </w:r>
          </w:p>
          <w:p w14:paraId="70726598" w14:textId="77777777" w:rsidR="00061310" w:rsidRPr="006F5136" w:rsidRDefault="00061310" w:rsidP="00061310">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2) o facilitate de tip „descoperit de cont” din care nu s-au efectuat trageri în ultimele 12 luni;</w:t>
            </w:r>
          </w:p>
          <w:p w14:paraId="01094A34" w14:textId="1270687D" w:rsidR="00061310" w:rsidRPr="006F5136" w:rsidRDefault="00061310" w:rsidP="00061310">
            <w:pPr>
              <w:spacing w:after="0" w:line="240" w:lineRule="auto"/>
              <w:rPr>
                <w:rFonts w:ascii="Times New Roman" w:hAnsi="Times New Roman" w:cs="Times New Roman"/>
                <w:i/>
                <w:iCs/>
                <w:sz w:val="18"/>
                <w:szCs w:val="18"/>
                <w:lang w:val="ro-RO"/>
              </w:rPr>
            </w:pPr>
            <w:r w:rsidRPr="006F5136">
              <w:rPr>
                <w:rFonts w:ascii="Times New Roman" w:hAnsi="Times New Roman" w:cs="Times New Roman"/>
                <w:i/>
                <w:iCs/>
                <w:sz w:val="18"/>
                <w:szCs w:val="18"/>
                <w:lang w:val="ro-RO"/>
              </w:rPr>
              <w:t>Proiectul HCE al BNM privind modificarea Regulamentului nr.111/2018</w:t>
            </w:r>
          </w:p>
        </w:tc>
        <w:tc>
          <w:tcPr>
            <w:tcW w:w="503" w:type="pct"/>
          </w:tcPr>
          <w:p w14:paraId="5C706CBA" w14:textId="024F7F02"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6008127B" w14:textId="3EC824DA"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BB2F88" w:rsidRPr="006F5136" w14:paraId="05C43367"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04B7F36" w14:textId="42CF1428" w:rsidR="00395381" w:rsidRPr="006F5136" w:rsidRDefault="00395381" w:rsidP="005E4694">
            <w:pPr>
              <w:pStyle w:val="CM4"/>
              <w:jc w:val="both"/>
              <w:rPr>
                <w:rFonts w:ascii="Times New Roman" w:hAnsi="Times New Roman"/>
                <w:b/>
                <w:sz w:val="18"/>
                <w:szCs w:val="18"/>
                <w:lang w:val="ro-RO"/>
              </w:rPr>
            </w:pPr>
            <w:r w:rsidRPr="006F5136">
              <w:rPr>
                <w:rFonts w:ascii="Times New Roman" w:eastAsia="Calibri" w:hAnsi="Times New Roman"/>
                <w:sz w:val="18"/>
                <w:szCs w:val="18"/>
                <w:lang w:val="ro-RO"/>
              </w:rPr>
              <w:t>(3) Finanțarea comerțului, astfel cum este menționată la alineatul (1) punctul 80, este de obicei fără angajament ferm și necesită o documentație satisfăcătoare în sprijinul tranzacției pentru fiecare cerere de tragere, existând posibilitatea refuzului finanțării în caz de dubiu legat de bonitate sau de credibilitatea documentației care susține tranzacția În cazul finanțării comerțului, rambursarea expunerilor este în general independentă de debitor, iar fondurile provin în schimb din sumele primite de la importatori sau rezultă din vânzarea mărfurilor care fac obiectul tranzacției.</w:t>
            </w:r>
          </w:p>
        </w:tc>
        <w:tc>
          <w:tcPr>
            <w:tcW w:w="1661" w:type="pct"/>
          </w:tcPr>
          <w:p w14:paraId="3CE35A72" w14:textId="77777777" w:rsidR="002C7E0B" w:rsidRPr="006F5136" w:rsidRDefault="002C7E0B"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b/>
                <w:bCs/>
                <w:sz w:val="18"/>
                <w:szCs w:val="18"/>
                <w:lang w:val="ro-RO"/>
              </w:rPr>
              <w:t>finanţarea comerţului</w:t>
            </w:r>
            <w:r w:rsidRPr="006F5136">
              <w:rPr>
                <w:rFonts w:ascii="Times New Roman" w:hAnsi="Times New Roman" w:cs="Times New Roman"/>
                <w:sz w:val="18"/>
                <w:szCs w:val="18"/>
                <w:lang w:val="ro-RO"/>
              </w:rPr>
              <w:t xml:space="preserve"> – finanţarea (inclusiv garanţiile) asociată schimburilor de bunuri şi servicii prin intermediul produselor financiare cu scadenţă fixă, în general, mai mică de un an fără refinanţare automată;</w:t>
            </w:r>
          </w:p>
          <w:p w14:paraId="7B5C2E14" w14:textId="79119749" w:rsidR="00395381" w:rsidRPr="006F5136" w:rsidRDefault="002C7E0B"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Finanţarea comerţului, astfel cum este menţionată mai sus, este de obicei fără angajament ferm şi necesită ca documentaţia tranzacţiei să justifice fiecare cerere de tragere, existând posibilitatea refuzului finanţării în caz de dubiu legat de bonitate sau de credibilitatea documentaţiei care susţine tranzacţia. În cazul finanţării comerţului, rambursarea expunerilor respective este în general independentă de debitor, iar fondurile provin în schimb din sumele primite de la importatori sau rezultă din vânzarea mărfurilor care fac obiectul tranzacţiei;</w:t>
            </w:r>
          </w:p>
        </w:tc>
        <w:tc>
          <w:tcPr>
            <w:tcW w:w="503" w:type="pct"/>
          </w:tcPr>
          <w:p w14:paraId="1A60B1F3" w14:textId="77777777"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0A977459" w14:textId="5F2ADEDE" w:rsidR="00395381" w:rsidRPr="006F5136" w:rsidRDefault="00831FBD"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5A5D9A" w:rsidRPr="006F5136" w14:paraId="359CE51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0A89B2E" w14:textId="00844383" w:rsidR="00395381" w:rsidRPr="006F5136" w:rsidRDefault="00395381" w:rsidP="005E4694">
            <w:pPr>
              <w:spacing w:after="0" w:line="240" w:lineRule="auto"/>
              <w:jc w:val="both"/>
              <w:rPr>
                <w:rFonts w:ascii="Times New Roman" w:hAnsi="Times New Roman" w:cs="Times New Roman"/>
                <w:sz w:val="18"/>
                <w:szCs w:val="18"/>
                <w:lang w:val="ro-RO"/>
              </w:rPr>
            </w:pPr>
            <w:hyperlink r:id="rId12" w:tooltip="32019R0876: INSERTED" w:history="1">
              <w:r w:rsidRPr="006F5136">
                <w:rPr>
                  <w:rFonts w:ascii="Times New Roman" w:hAnsi="Times New Roman" w:cs="Times New Roman"/>
                  <w:sz w:val="18"/>
                  <w:szCs w:val="18"/>
                  <w:lang w:val="ro-RO"/>
                </w:rPr>
                <w:t>▼M8</w:t>
              </w:r>
            </w:hyperlink>
          </w:p>
          <w:p w14:paraId="7F4D9A31" w14:textId="6D1EA013"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(4)   ABE elaborează proiecte de standarde tehnice de reglementare care să precizeze circumstanțele în care sunt îndeplinite condițiile prevăzute la alineatul (1) punctul 39.</w:t>
            </w:r>
          </w:p>
          <w:p w14:paraId="5F214030" w14:textId="5DB19638"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ABE înaintează Comisiei aceste proiecte de standarde tehnice de reglementare până la 28 iunie 2020.</w:t>
            </w:r>
          </w:p>
          <w:p w14:paraId="63FAF016" w14:textId="451ABE1C"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Se deleagă Comisiei competența de a completa prezentul regulament prin adoptarea standardelor tehnice de reglementare menționate la primul paragraf în conformitate cu articolele 10-14 din Regulamentul (UE) nr. 1093/2010.</w:t>
            </w:r>
          </w:p>
        </w:tc>
        <w:tc>
          <w:tcPr>
            <w:tcW w:w="1661" w:type="pct"/>
          </w:tcPr>
          <w:p w14:paraId="2CD96BA3" w14:textId="77777777" w:rsidR="00395381" w:rsidRPr="006F5136" w:rsidRDefault="00395381" w:rsidP="005E4694">
            <w:pPr>
              <w:spacing w:after="0" w:line="240" w:lineRule="auto"/>
              <w:jc w:val="both"/>
              <w:rPr>
                <w:rFonts w:ascii="Times New Roman" w:hAnsi="Times New Roman" w:cs="Times New Roman"/>
                <w:sz w:val="18"/>
                <w:szCs w:val="18"/>
                <w:lang w:val="ro-RO"/>
              </w:rPr>
            </w:pPr>
          </w:p>
        </w:tc>
        <w:tc>
          <w:tcPr>
            <w:tcW w:w="503" w:type="pct"/>
          </w:tcPr>
          <w:p w14:paraId="2C03186B" w14:textId="2D675653" w:rsidR="00395381" w:rsidRPr="006F5136" w:rsidRDefault="0046148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Norme</w:t>
            </w:r>
            <w:r w:rsidR="00395381" w:rsidRPr="006F5136">
              <w:rPr>
                <w:rFonts w:ascii="Times New Roman" w:hAnsi="Times New Roman" w:cs="Times New Roman"/>
                <w:sz w:val="18"/>
                <w:szCs w:val="18"/>
                <w:lang w:val="ro-RO"/>
              </w:rPr>
              <w:t xml:space="preserve"> UE neaplicabile</w:t>
            </w:r>
          </w:p>
        </w:tc>
        <w:tc>
          <w:tcPr>
            <w:tcW w:w="912" w:type="pct"/>
          </w:tcPr>
          <w:p w14:paraId="0DCC904C" w14:textId="60765A35" w:rsidR="00395381" w:rsidRPr="006F5136" w:rsidRDefault="00253786"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Vizează</w:t>
            </w:r>
            <w:r w:rsidR="00395381" w:rsidRPr="006F5136">
              <w:rPr>
                <w:rFonts w:ascii="Times New Roman" w:hAnsi="Times New Roman" w:cs="Times New Roman"/>
                <w:sz w:val="18"/>
                <w:szCs w:val="18"/>
                <w:lang w:val="ro-RO"/>
              </w:rPr>
              <w:t xml:space="preserve"> competența ABE.</w:t>
            </w:r>
          </w:p>
        </w:tc>
      </w:tr>
      <w:tr w:rsidR="00061310" w:rsidRPr="006F5136" w14:paraId="276079B0"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D4776C0" w14:textId="77777777" w:rsidR="00061310" w:rsidRPr="006F5136" w:rsidRDefault="00061310" w:rsidP="00061310">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M17</w:t>
            </w:r>
          </w:p>
          <w:p w14:paraId="353D4466" w14:textId="4FBA26B5" w:rsidR="00061310" w:rsidRPr="006F5136" w:rsidRDefault="00061310" w:rsidP="00061310">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(5)   Până la 10 ianuarie 2026, ABE emite ghiduri în conformitate cu articolul 16 din Regulamentul (UE) nr. 1093/2010, în care precizează criteriile de identificare a activităților menționate la alineatul (1) primul paragraf punctul 18 de la prezentul articol.</w:t>
            </w:r>
          </w:p>
        </w:tc>
        <w:tc>
          <w:tcPr>
            <w:tcW w:w="1661" w:type="pct"/>
          </w:tcPr>
          <w:p w14:paraId="0A75CC68" w14:textId="77777777" w:rsidR="00061310" w:rsidRPr="006F5136" w:rsidRDefault="00061310" w:rsidP="00061310">
            <w:pPr>
              <w:spacing w:after="0" w:line="240" w:lineRule="auto"/>
              <w:jc w:val="both"/>
              <w:rPr>
                <w:rFonts w:ascii="Times New Roman" w:hAnsi="Times New Roman" w:cs="Times New Roman"/>
                <w:sz w:val="18"/>
                <w:szCs w:val="18"/>
                <w:lang w:val="ro-RO"/>
              </w:rPr>
            </w:pPr>
          </w:p>
        </w:tc>
        <w:tc>
          <w:tcPr>
            <w:tcW w:w="503" w:type="pct"/>
          </w:tcPr>
          <w:p w14:paraId="642F72F8" w14:textId="4524AA56" w:rsidR="00061310" w:rsidRPr="006F5136" w:rsidDel="00461483"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0B5A6EFC" w14:textId="2AA78201"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BB2F88" w:rsidRPr="006F5136" w14:paraId="050908A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2F4AC71" w14:textId="77777777" w:rsidR="00395381" w:rsidRPr="006F5136" w:rsidRDefault="00395381" w:rsidP="005E4694">
            <w:pPr>
              <w:pStyle w:val="CM4"/>
              <w:jc w:val="both"/>
              <w:rPr>
                <w:rFonts w:ascii="Times New Roman" w:hAnsi="Times New Roman"/>
                <w:sz w:val="18"/>
                <w:szCs w:val="18"/>
                <w:lang w:val="ro-RO"/>
              </w:rPr>
            </w:pPr>
            <w:r w:rsidRPr="006F5136">
              <w:rPr>
                <w:rFonts w:ascii="Times New Roman" w:hAnsi="Times New Roman"/>
                <w:i/>
                <w:sz w:val="18"/>
                <w:szCs w:val="18"/>
                <w:lang w:val="ro-RO"/>
              </w:rPr>
              <w:t>Articolul 5</w:t>
            </w:r>
            <w:r w:rsidRPr="006F5136">
              <w:rPr>
                <w:rFonts w:ascii="Times New Roman" w:hAnsi="Times New Roman"/>
                <w:b/>
                <w:sz w:val="18"/>
                <w:szCs w:val="18"/>
                <w:lang w:val="ro-RO"/>
              </w:rPr>
              <w:t xml:space="preserve"> Definiții specifice cerințelor de capital pentru riscul de credit</w:t>
            </w:r>
          </w:p>
        </w:tc>
        <w:tc>
          <w:tcPr>
            <w:tcW w:w="1661" w:type="pct"/>
          </w:tcPr>
          <w:p w14:paraId="0F884378" w14:textId="77777777" w:rsidR="00395381" w:rsidRPr="006F5136" w:rsidRDefault="00395381" w:rsidP="005E4694">
            <w:pPr>
              <w:spacing w:after="0" w:line="240" w:lineRule="auto"/>
              <w:rPr>
                <w:rFonts w:ascii="Times New Roman" w:hAnsi="Times New Roman" w:cs="Times New Roman"/>
                <w:sz w:val="18"/>
                <w:szCs w:val="18"/>
                <w:lang w:val="ro-RO"/>
              </w:rPr>
            </w:pPr>
          </w:p>
        </w:tc>
        <w:tc>
          <w:tcPr>
            <w:tcW w:w="503" w:type="pct"/>
          </w:tcPr>
          <w:p w14:paraId="799112F4" w14:textId="77777777" w:rsidR="00395381" w:rsidRPr="006F5136" w:rsidRDefault="00395381" w:rsidP="005E4694">
            <w:pPr>
              <w:spacing w:after="0" w:line="240" w:lineRule="auto"/>
              <w:jc w:val="both"/>
              <w:rPr>
                <w:rFonts w:ascii="Times New Roman" w:hAnsi="Times New Roman" w:cs="Times New Roman"/>
                <w:b/>
                <w:sz w:val="18"/>
                <w:szCs w:val="18"/>
                <w:lang w:val="ro-RO"/>
              </w:rPr>
            </w:pPr>
          </w:p>
        </w:tc>
        <w:tc>
          <w:tcPr>
            <w:tcW w:w="912" w:type="pct"/>
          </w:tcPr>
          <w:p w14:paraId="4D911BF7" w14:textId="314A29A9" w:rsidR="00395381" w:rsidRPr="006F5136" w:rsidRDefault="00395381" w:rsidP="005E4694">
            <w:pPr>
              <w:spacing w:after="0" w:line="240" w:lineRule="auto"/>
              <w:jc w:val="both"/>
              <w:rPr>
                <w:rFonts w:ascii="Times New Roman" w:hAnsi="Times New Roman" w:cs="Times New Roman"/>
                <w:sz w:val="18"/>
                <w:szCs w:val="18"/>
                <w:lang w:val="ro-RO"/>
              </w:rPr>
            </w:pPr>
          </w:p>
        </w:tc>
      </w:tr>
      <w:tr w:rsidR="00BB2F88" w:rsidRPr="006F5136" w14:paraId="65A2C28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69D5FFB" w14:textId="77777777" w:rsidR="00395381" w:rsidRPr="006F5136" w:rsidRDefault="00395381" w:rsidP="005E4694">
            <w:pPr>
              <w:pStyle w:val="CM4"/>
              <w:jc w:val="both"/>
              <w:rPr>
                <w:rFonts w:ascii="Times New Roman" w:hAnsi="Times New Roman"/>
                <w:sz w:val="18"/>
                <w:szCs w:val="18"/>
                <w:lang w:val="ro-RO"/>
              </w:rPr>
            </w:pPr>
            <w:r w:rsidRPr="006F5136">
              <w:rPr>
                <w:rFonts w:ascii="Times New Roman" w:hAnsi="Times New Roman"/>
                <w:sz w:val="18"/>
                <w:szCs w:val="18"/>
                <w:lang w:val="ro-RO"/>
              </w:rPr>
              <w:t>În sensul părții a treia titlul II, se aplică următoarele definiții:</w:t>
            </w:r>
          </w:p>
          <w:p w14:paraId="1E78094F" w14:textId="77777777" w:rsidR="00395381" w:rsidRPr="006F5136" w:rsidRDefault="00395381" w:rsidP="005E4694">
            <w:pPr>
              <w:pStyle w:val="CM4"/>
              <w:jc w:val="both"/>
              <w:rPr>
                <w:rFonts w:ascii="Times New Roman" w:hAnsi="Times New Roman"/>
                <w:sz w:val="18"/>
                <w:szCs w:val="18"/>
                <w:lang w:val="ro-RO"/>
              </w:rPr>
            </w:pPr>
            <w:r w:rsidRPr="006F5136">
              <w:rPr>
                <w:rFonts w:ascii="Times New Roman" w:hAnsi="Times New Roman"/>
                <w:sz w:val="18"/>
                <w:szCs w:val="18"/>
                <w:lang w:val="ro-RO"/>
              </w:rPr>
              <w:t>1. „expunere” însemnă un activ sau un element extrabilanțier;</w:t>
            </w:r>
          </w:p>
        </w:tc>
        <w:tc>
          <w:tcPr>
            <w:tcW w:w="1661" w:type="pct"/>
          </w:tcPr>
          <w:p w14:paraId="7E09EF77" w14:textId="4002A2CD" w:rsidR="00395381" w:rsidRPr="006F5136" w:rsidRDefault="00FD5BE2"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b/>
                <w:bCs/>
                <w:sz w:val="18"/>
                <w:szCs w:val="18"/>
                <w:lang w:val="ro-RO"/>
              </w:rPr>
              <w:t>expunere</w:t>
            </w:r>
            <w:r w:rsidRPr="006F5136">
              <w:rPr>
                <w:rFonts w:ascii="Times New Roman" w:hAnsi="Times New Roman" w:cs="Times New Roman"/>
                <w:sz w:val="18"/>
                <w:szCs w:val="18"/>
                <w:lang w:val="ro-RO"/>
              </w:rPr>
              <w:t xml:space="preserve"> – un activ sau un element extrabilanţier;</w:t>
            </w:r>
          </w:p>
        </w:tc>
        <w:tc>
          <w:tcPr>
            <w:tcW w:w="503" w:type="pct"/>
          </w:tcPr>
          <w:p w14:paraId="5E34AB47" w14:textId="77777777"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259BB729" w14:textId="74D48746" w:rsidR="00395381" w:rsidRPr="006F5136" w:rsidRDefault="00516299" w:rsidP="005E4694">
            <w:pPr>
              <w:spacing w:after="0" w:line="240" w:lineRule="auto"/>
              <w:rPr>
                <w:rFonts w:ascii="Times New Roman" w:hAnsi="Times New Roman" w:cs="Times New Roman"/>
                <w:b/>
                <w:sz w:val="18"/>
                <w:szCs w:val="18"/>
                <w:lang w:val="ro-RO"/>
              </w:rPr>
            </w:pPr>
            <w:r w:rsidRPr="006F5136">
              <w:rPr>
                <w:rFonts w:ascii="Times New Roman" w:hAnsi="Times New Roman" w:cs="Times New Roman"/>
                <w:sz w:val="18"/>
                <w:szCs w:val="18"/>
                <w:lang w:val="ro-RO"/>
              </w:rPr>
              <w:t>Regulamentul nr.111/2018</w:t>
            </w:r>
          </w:p>
        </w:tc>
      </w:tr>
      <w:tr w:rsidR="00BB2F88" w:rsidRPr="006F5136" w14:paraId="5EE2373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00E2D95" w14:textId="77777777" w:rsidR="00395381" w:rsidRPr="006F5136" w:rsidRDefault="00395381" w:rsidP="005E4694">
            <w:pPr>
              <w:pStyle w:val="CM4"/>
              <w:jc w:val="both"/>
              <w:rPr>
                <w:rFonts w:ascii="Times New Roman" w:hAnsi="Times New Roman"/>
                <w:sz w:val="18"/>
                <w:szCs w:val="18"/>
                <w:lang w:val="ro-RO"/>
              </w:rPr>
            </w:pPr>
            <w:r w:rsidRPr="006F5136">
              <w:rPr>
                <w:rFonts w:ascii="Times New Roman" w:hAnsi="Times New Roman"/>
                <w:sz w:val="18"/>
                <w:szCs w:val="18"/>
                <w:lang w:val="ro-RO"/>
              </w:rPr>
              <w:t>2. „pierdere” înseamnă pierderea economică, inclusiv efectele actualizărilor importante și costurile semnificative directe și indirecte asociate recuperării sumelor de încasat în baza unui instrument;</w:t>
            </w:r>
          </w:p>
        </w:tc>
        <w:tc>
          <w:tcPr>
            <w:tcW w:w="1661" w:type="pct"/>
          </w:tcPr>
          <w:p w14:paraId="2AF773DD" w14:textId="77777777" w:rsidR="00395381" w:rsidRPr="006F5136" w:rsidRDefault="00395381" w:rsidP="005E4694">
            <w:pPr>
              <w:spacing w:after="0" w:line="240" w:lineRule="auto"/>
              <w:rPr>
                <w:rFonts w:ascii="Times New Roman" w:hAnsi="Times New Roman" w:cs="Times New Roman"/>
                <w:sz w:val="18"/>
                <w:szCs w:val="18"/>
                <w:lang w:val="ro-RO"/>
              </w:rPr>
            </w:pPr>
          </w:p>
        </w:tc>
        <w:tc>
          <w:tcPr>
            <w:tcW w:w="503" w:type="pct"/>
          </w:tcPr>
          <w:p w14:paraId="7224AABE" w14:textId="540A1AF2" w:rsidR="00395381" w:rsidRPr="006F5136" w:rsidRDefault="0034412D"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Norme UE netranspuse</w:t>
            </w:r>
          </w:p>
        </w:tc>
        <w:tc>
          <w:tcPr>
            <w:tcW w:w="912" w:type="pct"/>
          </w:tcPr>
          <w:p w14:paraId="03B7237A" w14:textId="002BAFF9"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 xml:space="preserve">Va fi transpusă în cadrul </w:t>
            </w:r>
            <w:r w:rsidRPr="006F5136">
              <w:rPr>
                <w:rFonts w:ascii="Times New Roman" w:hAnsi="Times New Roman" w:cs="Times New Roman"/>
                <w:b/>
                <w:sz w:val="18"/>
                <w:szCs w:val="18"/>
                <w:lang w:val="ro-RO"/>
              </w:rPr>
              <w:t>Regulamentului cu privire la tratamentul riscului de credit pentru bănci potrivit abordării bazate pe modele interne de rating</w:t>
            </w:r>
            <w:r w:rsidR="00516299" w:rsidRPr="006F5136">
              <w:rPr>
                <w:rFonts w:ascii="Times New Roman" w:hAnsi="Times New Roman" w:cs="Times New Roman"/>
                <w:b/>
                <w:sz w:val="18"/>
                <w:szCs w:val="18"/>
                <w:lang w:val="ro-RO"/>
              </w:rPr>
              <w:t xml:space="preserve"> (IRB)</w:t>
            </w:r>
            <w:r w:rsidRPr="006F5136">
              <w:rPr>
                <w:rFonts w:ascii="Times New Roman" w:hAnsi="Times New Roman" w:cs="Times New Roman"/>
                <w:b/>
                <w:sz w:val="18"/>
                <w:szCs w:val="18"/>
                <w:lang w:val="ro-RO"/>
              </w:rPr>
              <w:t xml:space="preserve">. </w:t>
            </w:r>
          </w:p>
        </w:tc>
      </w:tr>
      <w:tr w:rsidR="00BB2F88" w:rsidRPr="006F5136" w14:paraId="2D9505A2"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8929B65" w14:textId="77777777" w:rsidR="009D4601" w:rsidRPr="006F5136" w:rsidRDefault="009D4601" w:rsidP="005E4694">
            <w:pPr>
              <w:pStyle w:val="CM4"/>
              <w:jc w:val="both"/>
              <w:rPr>
                <w:rFonts w:ascii="Times New Roman" w:hAnsi="Times New Roman"/>
                <w:sz w:val="18"/>
                <w:szCs w:val="18"/>
                <w:lang w:val="ro-RO"/>
              </w:rPr>
            </w:pPr>
            <w:r w:rsidRPr="006F5136">
              <w:rPr>
                <w:rFonts w:ascii="Times New Roman" w:hAnsi="Times New Roman"/>
                <w:sz w:val="18"/>
                <w:szCs w:val="18"/>
                <w:lang w:val="ro-RO"/>
              </w:rPr>
              <w:t>M17</w:t>
            </w:r>
          </w:p>
          <w:p w14:paraId="209DA283" w14:textId="4C1B8C80" w:rsidR="009D4601" w:rsidRPr="006F5136" w:rsidRDefault="00395381" w:rsidP="005E4694">
            <w:pPr>
              <w:pStyle w:val="CM4"/>
              <w:jc w:val="both"/>
              <w:rPr>
                <w:rFonts w:ascii="Times New Roman" w:hAnsi="Times New Roman"/>
                <w:sz w:val="18"/>
                <w:szCs w:val="18"/>
                <w:lang w:val="ro-RO"/>
              </w:rPr>
            </w:pPr>
            <w:r w:rsidRPr="006F5136">
              <w:rPr>
                <w:rFonts w:ascii="Times New Roman" w:hAnsi="Times New Roman"/>
                <w:sz w:val="18"/>
                <w:szCs w:val="18"/>
                <w:lang w:val="ro-RO"/>
              </w:rPr>
              <w:t xml:space="preserve">3. „pierdere așteptată” sau „EL” înseamnă raportul </w:t>
            </w:r>
            <w:r w:rsidR="009D4601" w:rsidRPr="006F5136">
              <w:rPr>
                <w:rFonts w:ascii="Times New Roman" w:hAnsi="Times New Roman"/>
                <w:sz w:val="18"/>
                <w:szCs w:val="18"/>
                <w:lang w:val="ro-RO"/>
              </w:rPr>
              <w:t>legat de o singură facilitate, dintre, pe de o parte, cuantumul pierderii estimate aferente unei expuneri rezultate din oricare dintre următoarele:</w:t>
            </w:r>
          </w:p>
          <w:p w14:paraId="155F26A6" w14:textId="51DE842B" w:rsidR="009D4601" w:rsidRPr="006F5136" w:rsidRDefault="009D4601" w:rsidP="005E4694">
            <w:pPr>
              <w:pStyle w:val="CM4"/>
              <w:jc w:val="both"/>
              <w:rPr>
                <w:rFonts w:ascii="Times New Roman" w:hAnsi="Times New Roman"/>
                <w:sz w:val="18"/>
                <w:szCs w:val="18"/>
                <w:lang w:val="ro-RO"/>
              </w:rPr>
            </w:pPr>
            <w:r w:rsidRPr="006F5136">
              <w:rPr>
                <w:rFonts w:ascii="Times New Roman" w:hAnsi="Times New Roman"/>
                <w:sz w:val="18"/>
                <w:szCs w:val="18"/>
                <w:lang w:val="ro-RO"/>
              </w:rPr>
              <w:t>(a) o potențială intrare în stare de nerambursare a unui debitor pe parcursul unui an și, pe de altă parte, cuantumul expus la risc în momentul intrării în stare de nerambursare;</w:t>
            </w:r>
          </w:p>
          <w:p w14:paraId="276DEF7C" w14:textId="62D835FF" w:rsidR="00395381" w:rsidRPr="006F5136" w:rsidRDefault="009D4601" w:rsidP="005E4694">
            <w:pPr>
              <w:pStyle w:val="CM4"/>
              <w:jc w:val="both"/>
              <w:rPr>
                <w:rFonts w:ascii="Times New Roman" w:hAnsi="Times New Roman"/>
                <w:sz w:val="18"/>
                <w:szCs w:val="18"/>
                <w:lang w:val="ro-RO"/>
              </w:rPr>
            </w:pPr>
            <w:r w:rsidRPr="006F5136">
              <w:rPr>
                <w:rFonts w:ascii="Times New Roman" w:hAnsi="Times New Roman"/>
                <w:sz w:val="18"/>
                <w:szCs w:val="18"/>
                <w:lang w:val="ro-RO"/>
              </w:rPr>
              <w:t>(b) un potențial eveniment de diminuare a valorii creanței pe parcursul unui an și, pe de altă parte, cuantumul expus la risc la data producerii evenimentului de diminuare a valorii creanței;</w:t>
            </w:r>
          </w:p>
        </w:tc>
        <w:tc>
          <w:tcPr>
            <w:tcW w:w="1661" w:type="pct"/>
          </w:tcPr>
          <w:p w14:paraId="3F893719" w14:textId="77777777" w:rsidR="00395381" w:rsidRPr="006F5136" w:rsidRDefault="00395381" w:rsidP="005E4694">
            <w:pPr>
              <w:spacing w:after="0" w:line="240" w:lineRule="auto"/>
              <w:rPr>
                <w:rFonts w:ascii="Times New Roman" w:hAnsi="Times New Roman" w:cs="Times New Roman"/>
                <w:sz w:val="18"/>
                <w:szCs w:val="18"/>
                <w:lang w:val="ro-RO"/>
              </w:rPr>
            </w:pPr>
          </w:p>
        </w:tc>
        <w:tc>
          <w:tcPr>
            <w:tcW w:w="503" w:type="pct"/>
          </w:tcPr>
          <w:p w14:paraId="0E1385C3" w14:textId="2706A961" w:rsidR="00395381" w:rsidRPr="006F5136" w:rsidRDefault="0034412D"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Norme UE netranspuse</w:t>
            </w:r>
          </w:p>
        </w:tc>
        <w:tc>
          <w:tcPr>
            <w:tcW w:w="912" w:type="pct"/>
          </w:tcPr>
          <w:p w14:paraId="1DFF4EDA" w14:textId="19AABC13"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 xml:space="preserve">Va fi transpusă în </w:t>
            </w:r>
            <w:r w:rsidRPr="006F5136">
              <w:rPr>
                <w:rFonts w:ascii="Times New Roman" w:hAnsi="Times New Roman" w:cs="Times New Roman"/>
                <w:b/>
                <w:sz w:val="18"/>
                <w:szCs w:val="18"/>
                <w:lang w:val="ro-RO"/>
              </w:rPr>
              <w:t>Regulamentul cu privire la tratamentul riscului de credit pentru bănci potrivit</w:t>
            </w:r>
            <w:r w:rsidR="00516299" w:rsidRPr="006F5136">
              <w:rPr>
                <w:rFonts w:ascii="Times New Roman" w:hAnsi="Times New Roman" w:cs="Times New Roman"/>
                <w:b/>
                <w:sz w:val="18"/>
                <w:szCs w:val="18"/>
                <w:lang w:val="ro-RO"/>
              </w:rPr>
              <w:t xml:space="preserve"> abordării </w:t>
            </w:r>
            <w:r w:rsidRPr="006F5136">
              <w:rPr>
                <w:rFonts w:ascii="Times New Roman" w:hAnsi="Times New Roman" w:cs="Times New Roman"/>
                <w:b/>
                <w:sz w:val="18"/>
                <w:szCs w:val="18"/>
                <w:lang w:val="ro-RO"/>
              </w:rPr>
              <w:t xml:space="preserve"> </w:t>
            </w:r>
            <w:r w:rsidR="00516299" w:rsidRPr="006F5136">
              <w:rPr>
                <w:rFonts w:ascii="Times New Roman" w:hAnsi="Times New Roman" w:cs="Times New Roman"/>
                <w:b/>
                <w:sz w:val="18"/>
                <w:szCs w:val="18"/>
                <w:lang w:val="ro-RO"/>
              </w:rPr>
              <w:t>IRB</w:t>
            </w:r>
            <w:r w:rsidRPr="006F5136">
              <w:rPr>
                <w:rFonts w:ascii="Times New Roman" w:hAnsi="Times New Roman" w:cs="Times New Roman"/>
                <w:b/>
                <w:sz w:val="18"/>
                <w:szCs w:val="18"/>
                <w:lang w:val="ro-RO"/>
              </w:rPr>
              <w:t xml:space="preserve">. </w:t>
            </w:r>
          </w:p>
        </w:tc>
      </w:tr>
      <w:tr w:rsidR="00061310" w:rsidRPr="006F5136" w14:paraId="2777E8F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E4EB579" w14:textId="77777777" w:rsidR="00061310" w:rsidRPr="006F5136" w:rsidRDefault="00061310" w:rsidP="00061310">
            <w:pPr>
              <w:pStyle w:val="CM4"/>
              <w:jc w:val="both"/>
              <w:rPr>
                <w:rFonts w:ascii="Times New Roman" w:hAnsi="Times New Roman"/>
                <w:sz w:val="18"/>
                <w:szCs w:val="18"/>
                <w:lang w:val="ro-RO"/>
              </w:rPr>
            </w:pPr>
            <w:r w:rsidRPr="006F5136">
              <w:rPr>
                <w:rFonts w:ascii="Times New Roman" w:hAnsi="Times New Roman"/>
                <w:sz w:val="18"/>
                <w:szCs w:val="18"/>
                <w:lang w:val="ro-RO"/>
              </w:rPr>
              <w:t>M17</w:t>
            </w:r>
          </w:p>
          <w:p w14:paraId="5F1FE8EB" w14:textId="720C40D7" w:rsidR="00061310" w:rsidRPr="006F5136" w:rsidRDefault="00061310" w:rsidP="00061310">
            <w:pPr>
              <w:spacing w:after="0" w:line="240" w:lineRule="auto"/>
              <w:jc w:val="both"/>
              <w:rPr>
                <w:rFonts w:ascii="Times New Roman" w:hAnsi="Times New Roman" w:cs="Times New Roman"/>
                <w:sz w:val="18"/>
                <w:szCs w:val="18"/>
                <w:lang w:val="ro-RO"/>
              </w:rPr>
            </w:pPr>
            <w:r w:rsidRPr="006F5136">
              <w:rPr>
                <w:rFonts w:ascii="Times New Roman" w:eastAsia="Times New Roman" w:hAnsi="Times New Roman" w:cs="Times New Roman"/>
                <w:sz w:val="18"/>
                <w:szCs w:val="18"/>
                <w:lang w:val="ro-RO"/>
              </w:rPr>
              <w:t>4. „obligație din credite” înseamnă orice obligație care decurge dintr-un contract de credit, inclusiv principalul, dobânda acumulată și comisioanele, datorată de un debitor;</w:t>
            </w:r>
          </w:p>
        </w:tc>
        <w:tc>
          <w:tcPr>
            <w:tcW w:w="1661" w:type="pct"/>
          </w:tcPr>
          <w:p w14:paraId="66377096" w14:textId="77777777" w:rsidR="00061310" w:rsidRPr="006F5136" w:rsidRDefault="00061310" w:rsidP="00061310">
            <w:pPr>
              <w:spacing w:after="0" w:line="240" w:lineRule="auto"/>
              <w:rPr>
                <w:rFonts w:ascii="Times New Roman" w:hAnsi="Times New Roman" w:cs="Times New Roman"/>
                <w:sz w:val="18"/>
                <w:szCs w:val="18"/>
                <w:lang w:val="ro-RO"/>
              </w:rPr>
            </w:pPr>
          </w:p>
        </w:tc>
        <w:tc>
          <w:tcPr>
            <w:tcW w:w="503" w:type="pct"/>
          </w:tcPr>
          <w:p w14:paraId="77E715F0" w14:textId="11C26313" w:rsidR="00061310" w:rsidRPr="006F5136" w:rsidRDefault="00061310" w:rsidP="00061310">
            <w:pPr>
              <w:spacing w:after="0" w:line="240" w:lineRule="auto"/>
              <w:rPr>
                <w:rFonts w:ascii="Times New Roman" w:hAnsi="Times New Roman" w:cs="Times New Roman"/>
                <w:sz w:val="18"/>
                <w:szCs w:val="18"/>
                <w:lang w:val="ro-RO"/>
              </w:rPr>
            </w:pPr>
            <w:r w:rsidRPr="00090034">
              <w:rPr>
                <w:rFonts w:ascii="Times New Roman" w:hAnsi="Times New Roman" w:cs="Times New Roman"/>
                <w:sz w:val="18"/>
                <w:szCs w:val="18"/>
                <w:lang w:val="ro-RO"/>
              </w:rPr>
              <w:t>Norme UE netranspuse</w:t>
            </w:r>
          </w:p>
        </w:tc>
        <w:tc>
          <w:tcPr>
            <w:tcW w:w="912" w:type="pct"/>
          </w:tcPr>
          <w:p w14:paraId="77418428" w14:textId="7BF47579" w:rsidR="00061310" w:rsidRPr="006F5136" w:rsidRDefault="00061310" w:rsidP="00061310">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 xml:space="preserve">Va fi transpusă în cadrul </w:t>
            </w:r>
            <w:r w:rsidRPr="006F5136">
              <w:rPr>
                <w:rFonts w:ascii="Times New Roman" w:hAnsi="Times New Roman" w:cs="Times New Roman"/>
                <w:b/>
                <w:sz w:val="18"/>
                <w:szCs w:val="18"/>
                <w:lang w:val="ro-RO"/>
              </w:rPr>
              <w:t>Regulamentului cu privire la tratamentul riscului de credit pentru bănci potrivit abordării IRB.</w:t>
            </w:r>
          </w:p>
        </w:tc>
      </w:tr>
      <w:tr w:rsidR="00061310" w:rsidRPr="006F5136" w14:paraId="39C1E21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BFDA71A" w14:textId="77777777" w:rsidR="00061310" w:rsidRPr="006F5136" w:rsidRDefault="00061310" w:rsidP="00061310">
            <w:pPr>
              <w:pStyle w:val="CM4"/>
              <w:jc w:val="both"/>
              <w:rPr>
                <w:rFonts w:ascii="Times New Roman" w:hAnsi="Times New Roman"/>
                <w:sz w:val="18"/>
                <w:szCs w:val="18"/>
                <w:lang w:val="ro-RO"/>
              </w:rPr>
            </w:pPr>
            <w:r w:rsidRPr="006F5136">
              <w:rPr>
                <w:rFonts w:ascii="Times New Roman" w:hAnsi="Times New Roman"/>
                <w:sz w:val="18"/>
                <w:szCs w:val="18"/>
                <w:lang w:val="ro-RO"/>
              </w:rPr>
              <w:t>M17</w:t>
            </w:r>
          </w:p>
          <w:p w14:paraId="314CBFF9" w14:textId="48E4AEA6"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eastAsia="Times New Roman" w:hAnsi="Times New Roman" w:cs="Times New Roman"/>
                <w:sz w:val="18"/>
                <w:szCs w:val="18"/>
                <w:lang w:val="ro-RO"/>
              </w:rPr>
              <w:t>5. „expunere din credite” înseamnă orice element bilanțier sau extrabilanțier care are sau poate avea ca rezultat o obligație din credite;</w:t>
            </w:r>
          </w:p>
        </w:tc>
        <w:tc>
          <w:tcPr>
            <w:tcW w:w="1661" w:type="pct"/>
          </w:tcPr>
          <w:p w14:paraId="686D88E0" w14:textId="77777777" w:rsidR="00061310" w:rsidRPr="006F5136" w:rsidRDefault="00061310" w:rsidP="00061310">
            <w:pPr>
              <w:spacing w:after="0" w:line="240" w:lineRule="auto"/>
              <w:jc w:val="both"/>
              <w:rPr>
                <w:rFonts w:ascii="Times New Roman" w:eastAsia="Times New Roman" w:hAnsi="Times New Roman" w:cs="Times New Roman"/>
                <w:sz w:val="18"/>
                <w:szCs w:val="18"/>
                <w:lang w:val="ro-RO"/>
              </w:rPr>
            </w:pPr>
          </w:p>
        </w:tc>
        <w:tc>
          <w:tcPr>
            <w:tcW w:w="503" w:type="pct"/>
          </w:tcPr>
          <w:p w14:paraId="4D28D5E9" w14:textId="695F82A0"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090034">
              <w:rPr>
                <w:rFonts w:ascii="Times New Roman" w:hAnsi="Times New Roman" w:cs="Times New Roman"/>
                <w:sz w:val="18"/>
                <w:szCs w:val="18"/>
                <w:lang w:val="ro-RO"/>
              </w:rPr>
              <w:t>Norme UE netranspuse</w:t>
            </w:r>
          </w:p>
        </w:tc>
        <w:tc>
          <w:tcPr>
            <w:tcW w:w="912" w:type="pct"/>
          </w:tcPr>
          <w:p w14:paraId="32A331FF" w14:textId="2F5B4208"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hAnsi="Times New Roman" w:cs="Times New Roman"/>
                <w:sz w:val="18"/>
                <w:szCs w:val="18"/>
                <w:lang w:val="ro-RO"/>
              </w:rPr>
              <w:t xml:space="preserve">Va fi transpusă în cadrul </w:t>
            </w:r>
            <w:r w:rsidRPr="006F5136">
              <w:rPr>
                <w:rFonts w:ascii="Times New Roman" w:hAnsi="Times New Roman" w:cs="Times New Roman"/>
                <w:b/>
                <w:sz w:val="18"/>
                <w:szCs w:val="18"/>
                <w:lang w:val="ro-RO"/>
              </w:rPr>
              <w:t>Regulamentului cu privire la tratamentul riscului de credit pentru bănci potrivit abordării IRB.</w:t>
            </w:r>
          </w:p>
        </w:tc>
      </w:tr>
      <w:tr w:rsidR="00061310" w:rsidRPr="006F5136" w14:paraId="50EED2F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1C7F8E9" w14:textId="77777777" w:rsidR="00061310" w:rsidRPr="006F5136" w:rsidRDefault="00061310" w:rsidP="00061310">
            <w:pPr>
              <w:pStyle w:val="CM4"/>
              <w:jc w:val="both"/>
              <w:rPr>
                <w:rFonts w:ascii="Times New Roman" w:hAnsi="Times New Roman"/>
                <w:sz w:val="18"/>
                <w:szCs w:val="18"/>
                <w:lang w:val="ro-RO"/>
              </w:rPr>
            </w:pPr>
            <w:r w:rsidRPr="006F5136">
              <w:rPr>
                <w:rFonts w:ascii="Times New Roman" w:hAnsi="Times New Roman"/>
                <w:sz w:val="18"/>
                <w:szCs w:val="18"/>
                <w:lang w:val="ro-RO"/>
              </w:rPr>
              <w:t>M17</w:t>
            </w:r>
          </w:p>
          <w:p w14:paraId="3DF34709" w14:textId="0EC2C169"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eastAsia="Times New Roman" w:hAnsi="Times New Roman" w:cs="Times New Roman"/>
                <w:sz w:val="18"/>
                <w:szCs w:val="18"/>
                <w:lang w:val="ro-RO"/>
              </w:rPr>
              <w:t>6. „facilitate” sau „facilitate de credit” înseamnă o expunere din credite care decurge dintr-un contract sau dintr-un set de contracte încheiate între un debitor și o instituție;</w:t>
            </w:r>
          </w:p>
        </w:tc>
        <w:tc>
          <w:tcPr>
            <w:tcW w:w="1661" w:type="pct"/>
          </w:tcPr>
          <w:p w14:paraId="38F90A3F" w14:textId="77777777" w:rsidR="00061310" w:rsidRPr="006F5136" w:rsidRDefault="00061310" w:rsidP="00061310">
            <w:pPr>
              <w:spacing w:after="0" w:line="240" w:lineRule="auto"/>
              <w:jc w:val="both"/>
              <w:rPr>
                <w:rFonts w:ascii="Times New Roman" w:eastAsia="Times New Roman" w:hAnsi="Times New Roman" w:cs="Times New Roman"/>
                <w:sz w:val="18"/>
                <w:szCs w:val="18"/>
                <w:lang w:val="ro-RO"/>
              </w:rPr>
            </w:pPr>
          </w:p>
        </w:tc>
        <w:tc>
          <w:tcPr>
            <w:tcW w:w="503" w:type="pct"/>
          </w:tcPr>
          <w:p w14:paraId="450AF4E5" w14:textId="10233335"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090034">
              <w:rPr>
                <w:rFonts w:ascii="Times New Roman" w:hAnsi="Times New Roman" w:cs="Times New Roman"/>
                <w:sz w:val="18"/>
                <w:szCs w:val="18"/>
                <w:lang w:val="ro-RO"/>
              </w:rPr>
              <w:t>Norme UE netranspuse</w:t>
            </w:r>
          </w:p>
        </w:tc>
        <w:tc>
          <w:tcPr>
            <w:tcW w:w="912" w:type="pct"/>
          </w:tcPr>
          <w:p w14:paraId="5061BF25" w14:textId="5B00ED1E"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hAnsi="Times New Roman" w:cs="Times New Roman"/>
                <w:sz w:val="18"/>
                <w:szCs w:val="18"/>
                <w:lang w:val="ro-RO"/>
              </w:rPr>
              <w:t xml:space="preserve">Va fi transpusă în cadrul </w:t>
            </w:r>
            <w:r w:rsidRPr="006F5136">
              <w:rPr>
                <w:rFonts w:ascii="Times New Roman" w:hAnsi="Times New Roman" w:cs="Times New Roman"/>
                <w:b/>
                <w:sz w:val="18"/>
                <w:szCs w:val="18"/>
                <w:lang w:val="ro-RO"/>
              </w:rPr>
              <w:t>Regulamentului cu privire la tratamentul riscului de credit pentru bănci potrivit abordării IRB.</w:t>
            </w:r>
          </w:p>
        </w:tc>
      </w:tr>
      <w:tr w:rsidR="00061310" w:rsidRPr="006F5136" w14:paraId="65B154F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5B243D6" w14:textId="77777777" w:rsidR="00061310" w:rsidRPr="006F5136" w:rsidRDefault="00061310" w:rsidP="00061310">
            <w:pPr>
              <w:pStyle w:val="CM4"/>
              <w:jc w:val="both"/>
              <w:rPr>
                <w:rFonts w:ascii="Times New Roman" w:hAnsi="Times New Roman"/>
                <w:sz w:val="18"/>
                <w:szCs w:val="18"/>
                <w:lang w:val="ro-RO"/>
              </w:rPr>
            </w:pPr>
            <w:r w:rsidRPr="006F5136">
              <w:rPr>
                <w:rFonts w:ascii="Times New Roman" w:hAnsi="Times New Roman"/>
                <w:sz w:val="18"/>
                <w:szCs w:val="18"/>
                <w:lang w:val="ro-RO"/>
              </w:rPr>
              <w:t>M17</w:t>
            </w:r>
          </w:p>
          <w:p w14:paraId="3F324E50" w14:textId="2B3A9562"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eastAsia="Times New Roman" w:hAnsi="Times New Roman" w:cs="Times New Roman"/>
                <w:sz w:val="18"/>
                <w:szCs w:val="18"/>
                <w:lang w:val="ro-RO"/>
              </w:rPr>
              <w:t>7. „marjă de prudență” înseamnă o majorare încorporată în estimările parametrilor de risc pentru a ține seama de gama preconizată de erori de estimare care pot decurge din deficiențele identificate în ceea ce privește datele, metodele, modelele, modificările standardelor de subscriere, ale apetitului de risc și ale politicilor de colectare și recuperare și orice altă sursă de incertitudine suplimentară, precum și din eroarea de estimare generală;</w:t>
            </w:r>
          </w:p>
        </w:tc>
        <w:tc>
          <w:tcPr>
            <w:tcW w:w="1661" w:type="pct"/>
          </w:tcPr>
          <w:p w14:paraId="07F3390B" w14:textId="77777777" w:rsidR="00061310" w:rsidRPr="006F5136" w:rsidRDefault="00061310" w:rsidP="00061310">
            <w:pPr>
              <w:spacing w:after="0" w:line="240" w:lineRule="auto"/>
              <w:jc w:val="both"/>
              <w:rPr>
                <w:rFonts w:ascii="Times New Roman" w:eastAsia="Times New Roman" w:hAnsi="Times New Roman" w:cs="Times New Roman"/>
                <w:sz w:val="18"/>
                <w:szCs w:val="18"/>
                <w:lang w:val="ro-RO"/>
              </w:rPr>
            </w:pPr>
          </w:p>
        </w:tc>
        <w:tc>
          <w:tcPr>
            <w:tcW w:w="503" w:type="pct"/>
          </w:tcPr>
          <w:p w14:paraId="18E016A4" w14:textId="31702E21"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090034">
              <w:rPr>
                <w:rFonts w:ascii="Times New Roman" w:hAnsi="Times New Roman" w:cs="Times New Roman"/>
                <w:sz w:val="18"/>
                <w:szCs w:val="18"/>
                <w:lang w:val="ro-RO"/>
              </w:rPr>
              <w:t>Norme UE netranspuse</w:t>
            </w:r>
          </w:p>
        </w:tc>
        <w:tc>
          <w:tcPr>
            <w:tcW w:w="912" w:type="pct"/>
          </w:tcPr>
          <w:p w14:paraId="67D15B88" w14:textId="4D958B4A"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hAnsi="Times New Roman" w:cs="Times New Roman"/>
                <w:sz w:val="18"/>
                <w:szCs w:val="18"/>
                <w:lang w:val="ro-RO"/>
              </w:rPr>
              <w:t xml:space="preserve">Va fi transpusă în cadrul </w:t>
            </w:r>
            <w:r w:rsidRPr="006F5136">
              <w:rPr>
                <w:rFonts w:ascii="Times New Roman" w:hAnsi="Times New Roman" w:cs="Times New Roman"/>
                <w:b/>
                <w:sz w:val="18"/>
                <w:szCs w:val="18"/>
                <w:lang w:val="ro-RO"/>
              </w:rPr>
              <w:t>Regulamentului cu privire la tratamentul riscului de credit pentru bănci potrivit abordării IRB.</w:t>
            </w:r>
          </w:p>
        </w:tc>
      </w:tr>
      <w:tr w:rsidR="00061310" w:rsidRPr="006F5136" w14:paraId="57A0EEB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8ED593C" w14:textId="77777777" w:rsidR="00061310" w:rsidRPr="006F5136" w:rsidRDefault="00061310" w:rsidP="00061310">
            <w:pPr>
              <w:pStyle w:val="CM4"/>
              <w:jc w:val="both"/>
              <w:rPr>
                <w:rFonts w:ascii="Times New Roman" w:hAnsi="Times New Roman"/>
                <w:sz w:val="18"/>
                <w:szCs w:val="18"/>
                <w:lang w:val="ro-RO"/>
              </w:rPr>
            </w:pPr>
            <w:r w:rsidRPr="006F5136">
              <w:rPr>
                <w:rFonts w:ascii="Times New Roman" w:hAnsi="Times New Roman"/>
                <w:sz w:val="18"/>
                <w:szCs w:val="18"/>
                <w:lang w:val="ro-RO"/>
              </w:rPr>
              <w:t>M17</w:t>
            </w:r>
          </w:p>
          <w:p w14:paraId="2F8D4D56" w14:textId="3E025569"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eastAsia="Times New Roman" w:hAnsi="Times New Roman" w:cs="Times New Roman"/>
                <w:sz w:val="18"/>
                <w:szCs w:val="18"/>
                <w:lang w:val="ro-RO"/>
              </w:rPr>
              <w:t>8. „ajustare adecvată” înseamnă impactul asupra estimărilor parametrilor de risc care decurge din aplicarea metodologiilor în cadrul estimării parametrilor de risc pentru a corecta deficiențele identificate în ceea ce privește datele și în ceea ce privește metodele de estimare și pentru a ține seama de modificările standardelor de subscriere, ale apetitului de risc și ale politicilor de colectare și recuperare și de orice altă sursă de incertitudine, în măsura posibilului, în vederea evitării denaturărilor în cadrul estimărilor parametrilor de risc;</w:t>
            </w:r>
          </w:p>
        </w:tc>
        <w:tc>
          <w:tcPr>
            <w:tcW w:w="1661" w:type="pct"/>
          </w:tcPr>
          <w:p w14:paraId="5ADCA31F" w14:textId="77777777" w:rsidR="00061310" w:rsidRPr="006F5136" w:rsidRDefault="00061310" w:rsidP="00061310">
            <w:pPr>
              <w:spacing w:after="0" w:line="240" w:lineRule="auto"/>
              <w:jc w:val="both"/>
              <w:rPr>
                <w:rFonts w:ascii="Times New Roman" w:eastAsia="Times New Roman" w:hAnsi="Times New Roman" w:cs="Times New Roman"/>
                <w:sz w:val="18"/>
                <w:szCs w:val="18"/>
                <w:lang w:val="ro-RO"/>
              </w:rPr>
            </w:pPr>
          </w:p>
        </w:tc>
        <w:tc>
          <w:tcPr>
            <w:tcW w:w="503" w:type="pct"/>
          </w:tcPr>
          <w:p w14:paraId="5D6AD605" w14:textId="37A67278"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090034">
              <w:rPr>
                <w:rFonts w:ascii="Times New Roman" w:hAnsi="Times New Roman" w:cs="Times New Roman"/>
                <w:sz w:val="18"/>
                <w:szCs w:val="18"/>
                <w:lang w:val="ro-RO"/>
              </w:rPr>
              <w:t>Norme UE netranspuse</w:t>
            </w:r>
          </w:p>
        </w:tc>
        <w:tc>
          <w:tcPr>
            <w:tcW w:w="912" w:type="pct"/>
          </w:tcPr>
          <w:p w14:paraId="66A15E06" w14:textId="7D0D653A"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hAnsi="Times New Roman" w:cs="Times New Roman"/>
                <w:sz w:val="18"/>
                <w:szCs w:val="18"/>
                <w:lang w:val="ro-RO"/>
              </w:rPr>
              <w:t xml:space="preserve">Va fi transpusă în cadrul </w:t>
            </w:r>
            <w:r w:rsidRPr="006F5136">
              <w:rPr>
                <w:rFonts w:ascii="Times New Roman" w:hAnsi="Times New Roman" w:cs="Times New Roman"/>
                <w:b/>
                <w:sz w:val="18"/>
                <w:szCs w:val="18"/>
                <w:lang w:val="ro-RO"/>
              </w:rPr>
              <w:t>Regulamentului cu privire la tratamentul riscului de credit pentru bănci potrivit abordării IRB.</w:t>
            </w:r>
          </w:p>
        </w:tc>
      </w:tr>
      <w:tr w:rsidR="00061310" w:rsidRPr="006F5136" w14:paraId="5DE3C9BE"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6900FAB" w14:textId="77777777" w:rsidR="00061310" w:rsidRPr="006F5136" w:rsidRDefault="00061310" w:rsidP="00061310">
            <w:pPr>
              <w:pStyle w:val="CM4"/>
              <w:jc w:val="both"/>
              <w:rPr>
                <w:rFonts w:ascii="Times New Roman" w:hAnsi="Times New Roman"/>
                <w:sz w:val="18"/>
                <w:szCs w:val="18"/>
                <w:lang w:val="ro-RO"/>
              </w:rPr>
            </w:pPr>
            <w:r w:rsidRPr="006F5136">
              <w:rPr>
                <w:rFonts w:ascii="Times New Roman" w:hAnsi="Times New Roman"/>
                <w:sz w:val="18"/>
                <w:szCs w:val="18"/>
                <w:lang w:val="ro-RO"/>
              </w:rPr>
              <w:t>M17</w:t>
            </w:r>
          </w:p>
          <w:p w14:paraId="45B3E49E" w14:textId="4FF85D3D"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eastAsia="Times New Roman" w:hAnsi="Times New Roman" w:cs="Times New Roman"/>
                <w:sz w:val="18"/>
                <w:szCs w:val="18"/>
                <w:lang w:val="ro-RO"/>
              </w:rPr>
              <w:t>9. „întreprindere mică și mijlocie” sau „IMM” înseamnă o societate sau o întreprindere care, conform celor mai recente conturi consolidate, are o cifră de afaceri anuală care nu depășește 50 000 000  EUR;</w:t>
            </w:r>
          </w:p>
        </w:tc>
        <w:tc>
          <w:tcPr>
            <w:tcW w:w="1661" w:type="pct"/>
          </w:tcPr>
          <w:p w14:paraId="21565492" w14:textId="77777777" w:rsidR="00061310" w:rsidRPr="006F5136" w:rsidRDefault="00061310" w:rsidP="00061310">
            <w:pPr>
              <w:spacing w:after="0" w:line="240" w:lineRule="auto"/>
              <w:jc w:val="both"/>
              <w:rPr>
                <w:rFonts w:ascii="Times New Roman" w:eastAsia="Times New Roman" w:hAnsi="Times New Roman" w:cs="Times New Roman"/>
                <w:sz w:val="18"/>
                <w:szCs w:val="18"/>
                <w:lang w:val="ro-RO"/>
              </w:rPr>
            </w:pPr>
          </w:p>
        </w:tc>
        <w:tc>
          <w:tcPr>
            <w:tcW w:w="503" w:type="pct"/>
          </w:tcPr>
          <w:p w14:paraId="07F73059" w14:textId="07822E34"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090034">
              <w:rPr>
                <w:rFonts w:ascii="Times New Roman" w:hAnsi="Times New Roman" w:cs="Times New Roman"/>
                <w:sz w:val="18"/>
                <w:szCs w:val="18"/>
                <w:lang w:val="ro-RO"/>
              </w:rPr>
              <w:t>Norme UE netranspuse</w:t>
            </w:r>
          </w:p>
        </w:tc>
        <w:tc>
          <w:tcPr>
            <w:tcW w:w="912" w:type="pct"/>
          </w:tcPr>
          <w:p w14:paraId="31066880" w14:textId="05F16FFD"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hAnsi="Times New Roman" w:cs="Times New Roman"/>
                <w:sz w:val="18"/>
                <w:szCs w:val="18"/>
                <w:lang w:val="ro-RO"/>
              </w:rPr>
              <w:t xml:space="preserve">Va fi transpusă în cadrul </w:t>
            </w:r>
            <w:r w:rsidRPr="006F5136">
              <w:rPr>
                <w:rFonts w:ascii="Times New Roman" w:hAnsi="Times New Roman" w:cs="Times New Roman"/>
                <w:b/>
                <w:sz w:val="18"/>
                <w:szCs w:val="18"/>
                <w:lang w:val="ro-RO"/>
              </w:rPr>
              <w:t>Regulamentului cu privire la tratamentul riscului de credit pentru bănci potrivit abordării IRB.</w:t>
            </w:r>
          </w:p>
        </w:tc>
      </w:tr>
      <w:tr w:rsidR="00061310" w:rsidRPr="006F5136" w14:paraId="28DEAA3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2A8A3A7" w14:textId="77777777" w:rsidR="00061310" w:rsidRPr="006F5136" w:rsidRDefault="00061310" w:rsidP="00061310">
            <w:pPr>
              <w:pStyle w:val="CM4"/>
              <w:jc w:val="both"/>
              <w:rPr>
                <w:rFonts w:ascii="Times New Roman" w:hAnsi="Times New Roman"/>
                <w:sz w:val="18"/>
                <w:szCs w:val="18"/>
                <w:lang w:val="ro-RO"/>
              </w:rPr>
            </w:pPr>
            <w:r w:rsidRPr="006F5136">
              <w:rPr>
                <w:rFonts w:ascii="Times New Roman" w:hAnsi="Times New Roman"/>
                <w:sz w:val="18"/>
                <w:szCs w:val="18"/>
                <w:lang w:val="ro-RO"/>
              </w:rPr>
              <w:t>M17</w:t>
            </w:r>
          </w:p>
          <w:p w14:paraId="2F79276E" w14:textId="48F9102F"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eastAsia="Times New Roman" w:hAnsi="Times New Roman" w:cs="Times New Roman"/>
                <w:b/>
                <w:bCs/>
                <w:sz w:val="18"/>
                <w:szCs w:val="18"/>
                <w:lang w:val="ro-RO"/>
              </w:rPr>
              <w:t>10.</w:t>
            </w:r>
            <w:r w:rsidRPr="006F5136">
              <w:rPr>
                <w:rFonts w:ascii="Times New Roman" w:eastAsia="Times New Roman" w:hAnsi="Times New Roman" w:cs="Times New Roman"/>
                <w:sz w:val="18"/>
                <w:szCs w:val="18"/>
                <w:lang w:val="ro-RO"/>
              </w:rPr>
              <w:t xml:space="preserve"> „angajament” înseamnă orice acord contractual, pe care o instituție îl oferă unui client și care este acceptat de clientul respectiv, de a acorda credite, de a achiziționa active sau de a emite substitute de credit; de asemenea, orice astfel de acord care poate fi revocat necondiționat de către instituție în orice moment, fără notificarea prealabilă a unui debitor, sau orice acord care poate fi revocat de către instituție în cazul în care un debitor nu îndeplinește condițiile prevăzute în documentația facilității, inclusiv condițiile care trebuie îndeplinite de debitor înainte de orice tragere inițială sau ulterioară în temeiul acordului, cu excepția cazului în care acordurile contractuale îndeplinesc toate condițiile următoare:</w:t>
            </w:r>
          </w:p>
          <w:p w14:paraId="5E7ED845" w14:textId="1A1560EB"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eastAsia="Times New Roman" w:hAnsi="Times New Roman" w:cs="Times New Roman"/>
                <w:sz w:val="18"/>
                <w:szCs w:val="18"/>
                <w:lang w:val="ro-RO"/>
              </w:rPr>
              <w:t>(a) acordurile contractuale în cazul cărora instituția nu primește niciun onorariu sau comision pentru a stabili sau a menține respectivele acorduri contractuale;</w:t>
            </w:r>
          </w:p>
          <w:p w14:paraId="2E596D2D" w14:textId="045EC114"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eastAsia="Times New Roman" w:hAnsi="Times New Roman" w:cs="Times New Roman"/>
                <w:sz w:val="18"/>
                <w:szCs w:val="18"/>
                <w:lang w:val="ro-RO"/>
              </w:rPr>
              <w:t>(b) acordurile contractuale în cazul cărora clientul are obligația de a prezenta instituției o cerere pentru tragerea inițială și pentru fiecare tragere ulterioară în temeiul acordurilor contractuale respective;</w:t>
            </w:r>
          </w:p>
          <w:p w14:paraId="233D9939" w14:textId="35B01888"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eastAsia="Times New Roman" w:hAnsi="Times New Roman" w:cs="Times New Roman"/>
                <w:sz w:val="18"/>
                <w:szCs w:val="18"/>
                <w:lang w:val="ro-RO"/>
              </w:rPr>
              <w:t>(c) acordurile contractuale în cazul cărora instituția are autoritate deplină, indiferent de îndeplinirea de către client a condițiilor prevăzute în documentația acordului contractual, asupra executării fiecărei trageri;</w:t>
            </w:r>
          </w:p>
          <w:p w14:paraId="2A59E704" w14:textId="2898E685"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eastAsia="Times New Roman" w:hAnsi="Times New Roman" w:cs="Times New Roman"/>
                <w:sz w:val="18"/>
                <w:szCs w:val="18"/>
                <w:lang w:val="ro-RO"/>
              </w:rPr>
              <w:t>(d) acordurile contractuale permit instituției să evalueze bonitatea clientului imediat înainte de a decide cu privire la executarea fiecărei trageri, iar instituția a pus în aplicare și aplică proceduri interne care asigură realizarea unei astfel de evaluări înainte de efectuarea fiecărei trageri;</w:t>
            </w:r>
          </w:p>
          <w:p w14:paraId="6260BE42" w14:textId="24F56487"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eastAsia="Times New Roman" w:hAnsi="Times New Roman" w:cs="Times New Roman"/>
                <w:sz w:val="18"/>
                <w:szCs w:val="18"/>
                <w:lang w:val="ro-RO"/>
              </w:rPr>
              <w:t>(e) acordurile contractuale care sunt oferite unei entități corporative, inclusiv unui IMM, care este monitorizată îndeaproape în permanență;</w:t>
            </w:r>
          </w:p>
        </w:tc>
        <w:tc>
          <w:tcPr>
            <w:tcW w:w="1661" w:type="pct"/>
          </w:tcPr>
          <w:p w14:paraId="614C1EE9" w14:textId="77777777" w:rsidR="00061310" w:rsidRPr="006F5136" w:rsidRDefault="00061310" w:rsidP="00061310">
            <w:pPr>
              <w:spacing w:after="0" w:line="240" w:lineRule="auto"/>
              <w:contextualSpacing/>
              <w:jc w:val="both"/>
              <w:rPr>
                <w:rFonts w:ascii="Times New Roman" w:eastAsia="Times New Roman" w:hAnsi="Times New Roman" w:cs="Times New Roman"/>
                <w:sz w:val="18"/>
                <w:szCs w:val="18"/>
                <w:lang w:val="ro-RO"/>
              </w:rPr>
            </w:pPr>
            <w:r w:rsidRPr="006F5136">
              <w:rPr>
                <w:rFonts w:ascii="Times New Roman" w:eastAsia="Times New Roman" w:hAnsi="Times New Roman" w:cs="Times New Roman"/>
                <w:sz w:val="18"/>
                <w:szCs w:val="18"/>
                <w:lang w:val="ro-RO"/>
              </w:rPr>
              <w:t>Pct.3</w:t>
            </w:r>
          </w:p>
          <w:p w14:paraId="4A458E2B" w14:textId="03FECEB1" w:rsidR="00061310" w:rsidRPr="006F5136" w:rsidRDefault="00061310" w:rsidP="00061310">
            <w:pPr>
              <w:spacing w:after="0" w:line="240" w:lineRule="auto"/>
              <w:contextualSpacing/>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i/>
                <w:iCs/>
                <w:sz w:val="18"/>
                <w:szCs w:val="18"/>
                <w:lang w:val="ro-RO" w:eastAsia="ro-MD"/>
              </w:rPr>
              <w:t>angajament</w:t>
            </w:r>
            <w:r w:rsidRPr="006F5136">
              <w:rPr>
                <w:rFonts w:ascii="Times New Roman" w:eastAsia="Times New Roman" w:hAnsi="Times New Roman" w:cs="Times New Roman"/>
                <w:sz w:val="18"/>
                <w:szCs w:val="18"/>
                <w:lang w:val="ro-RO" w:eastAsia="ro-MD"/>
              </w:rPr>
              <w:t xml:space="preserve"> - înseamnă orice acord contractual, pe care o bancă îl oferă unui client și care este acceptat de clientul respectiv, de a acorda credite, de a achiziționa active sau de a emite substitute de credit; de asemenea, orice astfel de acord care poate fi revocat necondiționat de către bancă în orice moment, fără notificarea prealabilă a unui debitor, sau orice acord care poate fi revocat de către bancă în cazul în care un debitor nu îndeplinește condițiile prevăzute în documentația facilității, inclusiv condițiile care trebuie îndeplinite de debitor înainte de orice tragere inițială sau ulterioară în temeiul acordului, cu excepția cazului în care acordurile contractuale îndeplinesc toate condițiile următoare:</w:t>
            </w:r>
          </w:p>
          <w:p w14:paraId="62011F3A" w14:textId="31C0BDFE" w:rsidR="00061310" w:rsidRPr="006F5136" w:rsidRDefault="00061310" w:rsidP="00061310">
            <w:pPr>
              <w:spacing w:after="0" w:line="240" w:lineRule="auto"/>
              <w:contextualSpacing/>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acordurile contractuale în cazul cărora banca nu primește niciun onorariu sau comision pentru a stabili sau a menține respectivele acorduri contractuale;</w:t>
            </w:r>
          </w:p>
          <w:p w14:paraId="6017DE2B" w14:textId="77777777" w:rsidR="00061310" w:rsidRPr="006F5136" w:rsidRDefault="00061310" w:rsidP="00061310">
            <w:pPr>
              <w:spacing w:after="0" w:line="240" w:lineRule="auto"/>
              <w:contextualSpacing/>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acordurile contractuale în cazul cărora clientul are obligația de a prezenta băncii o cerere pentru tragerea inițială și pentru fiecare tragere ulterioară în temeiul acordurilor contractuale respective;</w:t>
            </w:r>
          </w:p>
          <w:p w14:paraId="0EB2F942" w14:textId="77777777" w:rsidR="00061310" w:rsidRPr="006F5136" w:rsidRDefault="00061310" w:rsidP="00061310">
            <w:pPr>
              <w:spacing w:after="0" w:line="240" w:lineRule="auto"/>
              <w:contextualSpacing/>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acordurile contractuale în cazul cărora banca are autoritate deplină, indiferent de îndeplinirea de către client a condițiilor prevăzute în documentația acordului contractual, asupra executării fiecărei trageri;</w:t>
            </w:r>
          </w:p>
          <w:p w14:paraId="03110018" w14:textId="77777777" w:rsidR="00061310" w:rsidRPr="006F5136" w:rsidRDefault="00061310" w:rsidP="00061310">
            <w:pPr>
              <w:spacing w:after="0" w:line="240" w:lineRule="auto"/>
              <w:contextualSpacing/>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4) acordurile contractuale permit băncii să evalueze bonitatea clientului imediat înainte de a decide cu privire la executarea fiecărei trageri, iar banca a pus în aplicare și aplică proceduri interne care asigură realizarea unei astfel de evaluări înainte de efectuarea fiecărei trageri;</w:t>
            </w:r>
          </w:p>
          <w:p w14:paraId="0E3B690A" w14:textId="77777777" w:rsidR="00061310" w:rsidRPr="006F5136" w:rsidRDefault="00061310" w:rsidP="00061310">
            <w:pPr>
              <w:spacing w:after="0" w:line="240" w:lineRule="auto"/>
              <w:contextualSpacing/>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5) acordurile contractuale care sunt oferite unei entități corporative, inclusiv unui IMM, care este monitorizată îndeaproape în permanență;</w:t>
            </w:r>
          </w:p>
          <w:p w14:paraId="346FDCC5" w14:textId="78FBDE72" w:rsidR="00061310" w:rsidRPr="006F5136" w:rsidRDefault="00061310" w:rsidP="00061310">
            <w:pPr>
              <w:spacing w:after="0" w:line="240" w:lineRule="auto"/>
              <w:contextualSpacing/>
              <w:jc w:val="both"/>
              <w:rPr>
                <w:rFonts w:ascii="Times New Roman" w:eastAsia="Times New Roman" w:hAnsi="Times New Roman" w:cs="Times New Roman"/>
                <w:i/>
                <w:iCs/>
                <w:sz w:val="18"/>
                <w:szCs w:val="18"/>
                <w:lang w:val="ro-RO" w:eastAsia="ro-MD"/>
              </w:rPr>
            </w:pPr>
            <w:r w:rsidRPr="006F5136">
              <w:rPr>
                <w:rFonts w:ascii="Times New Roman" w:eastAsia="Times New Roman" w:hAnsi="Times New Roman" w:cs="Times New Roman"/>
                <w:i/>
                <w:iCs/>
                <w:sz w:val="18"/>
                <w:szCs w:val="18"/>
                <w:lang w:val="ro-RO" w:eastAsia="ro-MD"/>
              </w:rPr>
              <w:t>Proiectul de modificare a Regulamentului nr.111/2018</w:t>
            </w:r>
          </w:p>
        </w:tc>
        <w:tc>
          <w:tcPr>
            <w:tcW w:w="503" w:type="pct"/>
          </w:tcPr>
          <w:p w14:paraId="42752F88" w14:textId="72F43F9D"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24AD5690" w14:textId="1F396991"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061310" w:rsidRPr="006F5136" w14:paraId="3CE5D42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5DA9D37" w14:textId="77777777" w:rsidR="00061310" w:rsidRPr="006F5136" w:rsidRDefault="00061310" w:rsidP="00061310">
            <w:pPr>
              <w:pStyle w:val="CM4"/>
              <w:jc w:val="both"/>
              <w:rPr>
                <w:rFonts w:ascii="Times New Roman" w:hAnsi="Times New Roman"/>
                <w:sz w:val="18"/>
                <w:szCs w:val="18"/>
                <w:lang w:val="ro-RO"/>
              </w:rPr>
            </w:pPr>
            <w:r w:rsidRPr="006F5136">
              <w:rPr>
                <w:rFonts w:ascii="Times New Roman" w:hAnsi="Times New Roman"/>
                <w:sz w:val="18"/>
                <w:szCs w:val="18"/>
                <w:lang w:val="ro-RO"/>
              </w:rPr>
              <w:t>M17</w:t>
            </w:r>
          </w:p>
          <w:p w14:paraId="4F7C6EB4" w14:textId="5F9F6F57"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eastAsia="Times New Roman" w:hAnsi="Times New Roman" w:cs="Times New Roman"/>
                <w:b/>
                <w:bCs/>
                <w:sz w:val="18"/>
                <w:szCs w:val="18"/>
                <w:lang w:val="ro-RO"/>
              </w:rPr>
              <w:t>11.</w:t>
            </w:r>
            <w:r w:rsidRPr="006F5136">
              <w:rPr>
                <w:rFonts w:ascii="Times New Roman" w:eastAsia="Times New Roman" w:hAnsi="Times New Roman" w:cs="Times New Roman"/>
                <w:sz w:val="18"/>
                <w:szCs w:val="18"/>
                <w:lang w:val="ro-RO"/>
              </w:rPr>
              <w:t xml:space="preserve"> „angajament revocabil necondiționat” înseamnă orice angajament ale cărui condiții permit instituției să anuleze angajamentul, în măsura maximă permisă în temeiul legislației privind protecția consumatorilor și al actelor juridice conexe, după caz, în orice moment, fără notificarea prealabilă a debitorului sau care prevăd efectiv anularea automată ca urmare a unei deteriorări a bonității debitorului.</w:t>
            </w:r>
          </w:p>
        </w:tc>
        <w:tc>
          <w:tcPr>
            <w:tcW w:w="1661" w:type="pct"/>
          </w:tcPr>
          <w:p w14:paraId="0F5B826F" w14:textId="77777777"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eastAsia="Times New Roman" w:hAnsi="Times New Roman" w:cs="Times New Roman"/>
                <w:b/>
                <w:bCs/>
                <w:sz w:val="18"/>
                <w:szCs w:val="18"/>
                <w:lang w:val="ro-RO"/>
              </w:rPr>
              <w:t>angajament revocabil necondiționat</w:t>
            </w:r>
            <w:r w:rsidRPr="006F5136">
              <w:rPr>
                <w:rFonts w:ascii="Times New Roman" w:eastAsia="Times New Roman" w:hAnsi="Times New Roman" w:cs="Times New Roman"/>
                <w:sz w:val="18"/>
                <w:szCs w:val="18"/>
                <w:lang w:val="ro-RO"/>
              </w:rPr>
              <w:t xml:space="preserve"> - orice angajament ale cărui condiții permit băncii să anuleze angajamentul, în măsura maximă permisă în temeiul legislației privind protecția consumatorilor și al actelor juridice conexe, după caz, în orice moment, fără notificarea prealabilă a debitorului sau care prevăd efectiv anularea automată ca urmare a unei deteriorări a bonității debitorului;</w:t>
            </w:r>
          </w:p>
          <w:p w14:paraId="73AFD01F" w14:textId="44A7A84D"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6F5136">
              <w:rPr>
                <w:rFonts w:ascii="Times New Roman" w:eastAsia="Times New Roman" w:hAnsi="Times New Roman" w:cs="Times New Roman"/>
                <w:i/>
                <w:iCs/>
                <w:sz w:val="18"/>
                <w:szCs w:val="18"/>
                <w:lang w:val="ro-RO" w:eastAsia="ro-MD"/>
              </w:rPr>
              <w:t>Proiectul de modificare a Regulamentului nr.111/2018</w:t>
            </w:r>
          </w:p>
        </w:tc>
        <w:tc>
          <w:tcPr>
            <w:tcW w:w="503" w:type="pct"/>
          </w:tcPr>
          <w:p w14:paraId="3AD02235" w14:textId="0229BC80"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5DBD294A" w14:textId="16313566" w:rsidR="00061310" w:rsidRPr="006F5136" w:rsidRDefault="00061310" w:rsidP="00061310">
            <w:pPr>
              <w:spacing w:after="0" w:line="240" w:lineRule="auto"/>
              <w:jc w:val="both"/>
              <w:rPr>
                <w:rFonts w:ascii="Times New Roman" w:eastAsia="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BB2F88" w:rsidRPr="006F5136" w14:paraId="69525480"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C7FDF22" w14:textId="77777777" w:rsidR="00395381" w:rsidRPr="006F5136" w:rsidRDefault="00395381" w:rsidP="005E4694">
            <w:pPr>
              <w:autoSpaceDE w:val="0"/>
              <w:autoSpaceDN w:val="0"/>
              <w:adjustRightInd w:val="0"/>
              <w:spacing w:after="0" w:line="240" w:lineRule="auto"/>
              <w:jc w:val="center"/>
              <w:rPr>
                <w:rFonts w:ascii="Times New Roman" w:eastAsia="Calibri" w:hAnsi="Times New Roman" w:cs="Times New Roman"/>
                <w:sz w:val="18"/>
                <w:szCs w:val="18"/>
                <w:lang w:val="ro-RO"/>
              </w:rPr>
            </w:pPr>
            <w:r w:rsidRPr="006F5136">
              <w:rPr>
                <w:rFonts w:ascii="Times New Roman" w:eastAsia="Calibri" w:hAnsi="Times New Roman" w:cs="Times New Roman"/>
                <w:sz w:val="18"/>
                <w:szCs w:val="18"/>
                <w:lang w:val="ro-RO"/>
              </w:rPr>
              <w:t>TITLUL II</w:t>
            </w:r>
          </w:p>
          <w:p w14:paraId="611D64B8" w14:textId="60A001C7" w:rsidR="00395381" w:rsidRPr="006F5136" w:rsidRDefault="00395381" w:rsidP="005E4694">
            <w:pPr>
              <w:spacing w:after="0" w:line="240" w:lineRule="auto"/>
              <w:jc w:val="both"/>
              <w:rPr>
                <w:rFonts w:ascii="Times New Roman" w:eastAsia="Arial Unicode MS" w:hAnsi="Times New Roman" w:cs="Times New Roman"/>
                <w:sz w:val="18"/>
                <w:szCs w:val="18"/>
                <w:lang w:val="ro-RO"/>
              </w:rPr>
            </w:pPr>
            <w:r w:rsidRPr="006F5136">
              <w:rPr>
                <w:rFonts w:ascii="Times New Roman" w:eastAsia="Calibri" w:hAnsi="Times New Roman" w:cs="Times New Roman"/>
                <w:b/>
                <w:bCs/>
                <w:sz w:val="18"/>
                <w:szCs w:val="18"/>
                <w:lang w:val="ro-RO"/>
              </w:rPr>
              <w:t>CERINȚE DE CAPITAL PENTRU RISCUL DE CREDIT</w:t>
            </w:r>
          </w:p>
        </w:tc>
        <w:tc>
          <w:tcPr>
            <w:tcW w:w="1661" w:type="pct"/>
            <w:shd w:val="clear" w:color="auto" w:fill="auto"/>
          </w:tcPr>
          <w:p w14:paraId="3FADD450" w14:textId="77777777" w:rsidR="00395381" w:rsidRPr="006F5136" w:rsidRDefault="00395381" w:rsidP="005E4694">
            <w:pPr>
              <w:spacing w:after="0" w:line="240" w:lineRule="auto"/>
              <w:jc w:val="both"/>
              <w:rPr>
                <w:rFonts w:ascii="Times New Roman" w:eastAsia="Arial Unicode MS" w:hAnsi="Times New Roman" w:cs="Times New Roman"/>
                <w:sz w:val="18"/>
                <w:szCs w:val="18"/>
                <w:lang w:val="ro-RO"/>
              </w:rPr>
            </w:pPr>
          </w:p>
        </w:tc>
        <w:tc>
          <w:tcPr>
            <w:tcW w:w="503" w:type="pct"/>
          </w:tcPr>
          <w:p w14:paraId="0AB6E95E" w14:textId="77777777" w:rsidR="00395381" w:rsidRPr="006F5136" w:rsidRDefault="00395381" w:rsidP="005E4694">
            <w:pPr>
              <w:spacing w:after="0" w:line="240" w:lineRule="auto"/>
              <w:ind w:right="-113"/>
              <w:jc w:val="both"/>
              <w:rPr>
                <w:rFonts w:ascii="Times New Roman" w:hAnsi="Times New Roman" w:cs="Times New Roman"/>
                <w:sz w:val="18"/>
                <w:szCs w:val="18"/>
                <w:lang w:val="ro-RO"/>
              </w:rPr>
            </w:pPr>
          </w:p>
        </w:tc>
        <w:tc>
          <w:tcPr>
            <w:tcW w:w="912" w:type="pct"/>
          </w:tcPr>
          <w:p w14:paraId="262368A2" w14:textId="53D68E15" w:rsidR="00395381" w:rsidRPr="006F5136" w:rsidRDefault="00395381" w:rsidP="005E4694">
            <w:pPr>
              <w:spacing w:after="0" w:line="240" w:lineRule="auto"/>
              <w:jc w:val="both"/>
              <w:rPr>
                <w:rFonts w:ascii="Times New Roman" w:hAnsi="Times New Roman" w:cs="Times New Roman"/>
                <w:sz w:val="18"/>
                <w:szCs w:val="18"/>
                <w:lang w:val="ro-RO"/>
              </w:rPr>
            </w:pPr>
          </w:p>
        </w:tc>
      </w:tr>
      <w:tr w:rsidR="00061310" w:rsidRPr="006F5136" w14:paraId="2DC149D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F9353FF" w14:textId="3FB53FA3" w:rsidR="00061310" w:rsidRPr="006F5136" w:rsidRDefault="00061310" w:rsidP="00061310">
            <w:pPr>
              <w:autoSpaceDE w:val="0"/>
              <w:autoSpaceDN w:val="0"/>
              <w:adjustRightInd w:val="0"/>
              <w:spacing w:after="0" w:line="240" w:lineRule="auto"/>
              <w:jc w:val="center"/>
              <w:rPr>
                <w:rFonts w:ascii="Times New Roman" w:eastAsia="Calibri" w:hAnsi="Times New Roman" w:cs="Times New Roman"/>
                <w:sz w:val="18"/>
                <w:szCs w:val="18"/>
                <w:lang w:val="ro-RO"/>
              </w:rPr>
            </w:pPr>
            <w:r w:rsidRPr="006F5136">
              <w:rPr>
                <w:rFonts w:ascii="Times New Roman" w:eastAsia="Calibri" w:hAnsi="Times New Roman" w:cs="Times New Roman"/>
                <w:iCs/>
                <w:sz w:val="18"/>
                <w:szCs w:val="18"/>
                <w:lang w:val="ro-RO"/>
              </w:rPr>
              <w:t xml:space="preserve">CAPITOLUL 1 </w:t>
            </w:r>
            <w:r w:rsidRPr="006F5136">
              <w:rPr>
                <w:rFonts w:ascii="Times New Roman" w:eastAsia="Calibri" w:hAnsi="Times New Roman" w:cs="Times New Roman"/>
                <w:b/>
                <w:bCs/>
                <w:iCs/>
                <w:sz w:val="18"/>
                <w:szCs w:val="18"/>
                <w:lang w:val="ro-RO"/>
              </w:rPr>
              <w:t>Principii generale</w:t>
            </w:r>
          </w:p>
        </w:tc>
        <w:tc>
          <w:tcPr>
            <w:tcW w:w="1661" w:type="pct"/>
            <w:shd w:val="clear" w:color="auto" w:fill="auto"/>
          </w:tcPr>
          <w:p w14:paraId="220A0C18" w14:textId="77777777" w:rsidR="00061310" w:rsidRPr="006F5136" w:rsidRDefault="00061310" w:rsidP="00061310">
            <w:pPr>
              <w:spacing w:after="0" w:line="240" w:lineRule="auto"/>
              <w:jc w:val="both"/>
              <w:rPr>
                <w:rFonts w:ascii="Times New Roman" w:eastAsia="Arial Unicode MS" w:hAnsi="Times New Roman" w:cs="Times New Roman"/>
                <w:sz w:val="18"/>
                <w:szCs w:val="18"/>
                <w:lang w:val="ro-RO"/>
              </w:rPr>
            </w:pPr>
          </w:p>
        </w:tc>
        <w:tc>
          <w:tcPr>
            <w:tcW w:w="503" w:type="pct"/>
          </w:tcPr>
          <w:p w14:paraId="767EBFDE" w14:textId="22E99554" w:rsidR="00061310" w:rsidRPr="006F5136" w:rsidRDefault="00061310" w:rsidP="00061310">
            <w:pPr>
              <w:spacing w:after="0" w:line="240" w:lineRule="auto"/>
              <w:ind w:right="-113"/>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7793AEF7" w14:textId="407C22F3"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BB2F88" w:rsidRPr="006F5136" w14:paraId="65B368F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61151E1" w14:textId="77777777" w:rsidR="00395381" w:rsidRPr="006F5136" w:rsidRDefault="00395381" w:rsidP="005E4694">
            <w:pPr>
              <w:spacing w:after="0" w:line="240" w:lineRule="auto"/>
              <w:jc w:val="both"/>
              <w:rPr>
                <w:rFonts w:ascii="Times New Roman" w:eastAsia="Arial Unicode MS" w:hAnsi="Times New Roman" w:cs="Times New Roman"/>
                <w:b/>
                <w:iCs/>
                <w:sz w:val="18"/>
                <w:szCs w:val="18"/>
                <w:lang w:val="ro-RO"/>
              </w:rPr>
            </w:pPr>
            <w:r w:rsidRPr="006F5136">
              <w:rPr>
                <w:rFonts w:ascii="Times New Roman" w:eastAsia="Arial Unicode MS" w:hAnsi="Times New Roman" w:cs="Times New Roman"/>
                <w:i/>
                <w:iCs/>
                <w:sz w:val="18"/>
                <w:szCs w:val="18"/>
                <w:lang w:val="ro-RO"/>
              </w:rPr>
              <w:t>Articolul 107</w:t>
            </w:r>
            <w:r w:rsidRPr="006F5136">
              <w:rPr>
                <w:rFonts w:ascii="Times New Roman" w:eastAsia="Arial Unicode MS" w:hAnsi="Times New Roman" w:cs="Times New Roman"/>
                <w:iCs/>
                <w:sz w:val="18"/>
                <w:szCs w:val="18"/>
                <w:lang w:val="ro-RO"/>
              </w:rPr>
              <w:t xml:space="preserve"> </w:t>
            </w:r>
            <w:r w:rsidRPr="006F5136">
              <w:rPr>
                <w:rFonts w:ascii="Times New Roman" w:eastAsia="Arial Unicode MS" w:hAnsi="Times New Roman" w:cs="Times New Roman"/>
                <w:b/>
                <w:iCs/>
                <w:sz w:val="18"/>
                <w:szCs w:val="18"/>
                <w:lang w:val="ro-RO"/>
              </w:rPr>
              <w:t>Abordări ale riscului de credit</w:t>
            </w:r>
          </w:p>
          <w:p w14:paraId="1AB21CE0" w14:textId="77777777" w:rsidR="008A6C2A" w:rsidRPr="006F5136" w:rsidRDefault="008A6C2A" w:rsidP="005E4694">
            <w:pPr>
              <w:spacing w:after="0" w:line="240" w:lineRule="auto"/>
              <w:jc w:val="both"/>
              <w:rPr>
                <w:rFonts w:ascii="Times New Roman" w:eastAsia="Arial Unicode MS" w:hAnsi="Times New Roman" w:cs="Times New Roman"/>
                <w:iCs/>
                <w:sz w:val="18"/>
                <w:szCs w:val="18"/>
                <w:lang w:val="ro-RO"/>
              </w:rPr>
            </w:pPr>
            <w:r w:rsidRPr="006F5136">
              <w:rPr>
                <w:rFonts w:ascii="Times New Roman" w:eastAsia="Arial Unicode MS" w:hAnsi="Times New Roman" w:cs="Times New Roman"/>
                <w:iCs/>
                <w:sz w:val="18"/>
                <w:szCs w:val="18"/>
                <w:lang w:val="ro-RO"/>
              </w:rPr>
              <w:t>▼M17</w:t>
            </w:r>
          </w:p>
          <w:p w14:paraId="55D8A1F3" w14:textId="5D42BD40" w:rsidR="00395381" w:rsidRPr="006F5136" w:rsidRDefault="008A6C2A" w:rsidP="005E4694">
            <w:pPr>
              <w:spacing w:after="0" w:line="240" w:lineRule="auto"/>
              <w:jc w:val="both"/>
              <w:rPr>
                <w:rFonts w:ascii="Times New Roman" w:eastAsia="Arial Unicode MS" w:hAnsi="Times New Roman" w:cs="Times New Roman"/>
                <w:iCs/>
                <w:sz w:val="18"/>
                <w:szCs w:val="18"/>
                <w:lang w:val="ro-RO"/>
              </w:rPr>
            </w:pPr>
            <w:r w:rsidRPr="006F5136">
              <w:rPr>
                <w:rFonts w:ascii="Times New Roman" w:eastAsia="Arial Unicode MS" w:hAnsi="Times New Roman" w:cs="Times New Roman"/>
                <w:iCs/>
                <w:sz w:val="18"/>
                <w:szCs w:val="18"/>
                <w:lang w:val="ro-RO"/>
              </w:rPr>
              <w:t>(1) Pentru calcularea cuantumurilor ponderate la risc ale expunerilor în sensul articolului 92 alineatul (4) literele (a) și (g), instituțiile aplică fie abordarea standardizată prevăzută în capitolul 2, fie, în cazul în care autoritățile competente o permit în conformitate cu articolul 143, abordarea bazată pe modele interne de rating prevăzută în capitolul 3.</w:t>
            </w:r>
          </w:p>
        </w:tc>
        <w:tc>
          <w:tcPr>
            <w:tcW w:w="1661" w:type="pct"/>
            <w:shd w:val="clear" w:color="auto" w:fill="auto"/>
          </w:tcPr>
          <w:p w14:paraId="41FC8252" w14:textId="77777777" w:rsidR="00395381" w:rsidRPr="006F5136" w:rsidRDefault="00395381" w:rsidP="005E4694">
            <w:pPr>
              <w:spacing w:after="0" w:line="240" w:lineRule="auto"/>
              <w:jc w:val="both"/>
              <w:rPr>
                <w:rFonts w:ascii="Times New Roman" w:eastAsia="Arial Unicode MS" w:hAnsi="Times New Roman" w:cs="Times New Roman"/>
                <w:sz w:val="18"/>
                <w:szCs w:val="18"/>
                <w:lang w:val="ro-RO"/>
              </w:rPr>
            </w:pPr>
            <w:r w:rsidRPr="006F5136">
              <w:rPr>
                <w:rFonts w:ascii="Times New Roman" w:eastAsia="Arial Unicode MS" w:hAnsi="Times New Roman" w:cs="Times New Roman"/>
                <w:sz w:val="18"/>
                <w:szCs w:val="18"/>
                <w:lang w:val="ro-RO"/>
              </w:rPr>
              <w:t>2. Prezentul regulament stabilește metodologia și condițiile pe care băncile trebuie să le aplice, pe baza abordării standardizate, pentru determinarea valorilor ponderate la risc ale expunerilor în scopul calculării cerințelor de fonduri proprii ale băncilor în conformitate cu actul normativ al Băncii Naționale a Moldovei aferent fondurilor proprii ale băncilor și cerințelor de capital.</w:t>
            </w:r>
          </w:p>
        </w:tc>
        <w:tc>
          <w:tcPr>
            <w:tcW w:w="503" w:type="pct"/>
          </w:tcPr>
          <w:p w14:paraId="0F204FFF" w14:textId="77777777" w:rsidR="00395381" w:rsidRPr="006F5136" w:rsidRDefault="00395381" w:rsidP="005E4694">
            <w:pPr>
              <w:spacing w:after="0" w:line="240" w:lineRule="auto"/>
              <w:ind w:right="-36"/>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Parțial compatibil</w:t>
            </w:r>
          </w:p>
        </w:tc>
        <w:tc>
          <w:tcPr>
            <w:tcW w:w="912" w:type="pct"/>
          </w:tcPr>
          <w:p w14:paraId="31E423FB" w14:textId="14D756CD" w:rsidR="008A6C2A" w:rsidRPr="006F5136" w:rsidRDefault="008A6C2A" w:rsidP="005E4694">
            <w:pPr>
              <w:spacing w:after="0" w:line="240" w:lineRule="auto"/>
              <w:ind w:right="-36"/>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p w14:paraId="65A992B2" w14:textId="152E7250" w:rsidR="00395381" w:rsidRPr="006F5136" w:rsidRDefault="00395381" w:rsidP="005E4694">
            <w:pPr>
              <w:spacing w:after="0" w:line="240" w:lineRule="auto"/>
              <w:ind w:right="-36"/>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Este transpusă doar partea care se referă la obiectul regulamentului  - tratmentul pe bază strandardizată.</w:t>
            </w:r>
          </w:p>
        </w:tc>
      </w:tr>
      <w:tr w:rsidR="00BB2F88" w:rsidRPr="006F5136" w14:paraId="5151F9D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28869A7" w14:textId="5508BE2E" w:rsidR="008A6C2A" w:rsidRPr="006F5136" w:rsidRDefault="008A6C2A" w:rsidP="005E4694">
            <w:pPr>
              <w:spacing w:after="0" w:line="240" w:lineRule="auto"/>
              <w:jc w:val="both"/>
              <w:rPr>
                <w:rFonts w:ascii="Times New Roman" w:eastAsia="Arial Unicode MS" w:hAnsi="Times New Roman" w:cs="Times New Roman"/>
                <w:iCs/>
                <w:sz w:val="18"/>
                <w:szCs w:val="18"/>
                <w:lang w:val="ro-RO"/>
              </w:rPr>
            </w:pPr>
            <w:r w:rsidRPr="006F5136">
              <w:rPr>
                <w:rFonts w:ascii="Times New Roman" w:eastAsia="Arial Unicode MS" w:hAnsi="Times New Roman" w:cs="Times New Roman"/>
                <w:iCs/>
                <w:sz w:val="18"/>
                <w:szCs w:val="18"/>
                <w:lang w:val="ro-RO"/>
              </w:rPr>
              <w:t xml:space="preserve">(2) </w:t>
            </w:r>
            <w:bookmarkStart w:id="4" w:name="_Hlk210997254"/>
            <w:r w:rsidRPr="006F5136">
              <w:rPr>
                <w:rFonts w:ascii="Times New Roman" w:eastAsia="Arial Unicode MS" w:hAnsi="Times New Roman" w:cs="Times New Roman"/>
                <w:iCs/>
                <w:sz w:val="18"/>
                <w:szCs w:val="18"/>
                <w:lang w:val="ro-RO"/>
              </w:rPr>
              <w:t>În cazul expunerilor din tranzacții și al contribuțiilor la fonduri de garantare pentru o contraparte centrală (CPC), instituțiile aplică tratamentul menționat în capitolul 6 secțiunea 9 pentru a calcula cuantumurile ponderate la risc ale expunerilor în sensul articolului 92 alineatul (4) literele (a) și (g). În cazul tuturor celorlalte tipuri de expuneri față de o CPC, instituțiile tratează respectivele expuneri după cum urmează:</w:t>
            </w:r>
          </w:p>
          <w:p w14:paraId="73939D6F" w14:textId="588E2B56" w:rsidR="008A6C2A" w:rsidRPr="006F5136" w:rsidRDefault="008A6C2A" w:rsidP="005E4694">
            <w:pPr>
              <w:spacing w:after="0" w:line="240" w:lineRule="auto"/>
              <w:jc w:val="both"/>
              <w:rPr>
                <w:rFonts w:ascii="Times New Roman" w:eastAsia="Arial Unicode MS" w:hAnsi="Times New Roman" w:cs="Times New Roman"/>
                <w:iCs/>
                <w:sz w:val="18"/>
                <w:szCs w:val="18"/>
                <w:lang w:val="ro-RO"/>
              </w:rPr>
            </w:pPr>
            <w:r w:rsidRPr="006F5136">
              <w:rPr>
                <w:rFonts w:ascii="Times New Roman" w:eastAsia="Arial Unicode MS" w:hAnsi="Times New Roman" w:cs="Times New Roman"/>
                <w:iCs/>
                <w:sz w:val="18"/>
                <w:szCs w:val="18"/>
                <w:lang w:val="ro-RO"/>
              </w:rPr>
              <w:t>(a) ca expuneri față de o instituție, pentru alte tipuri de expuneri față de o CPC calificată;</w:t>
            </w:r>
          </w:p>
          <w:p w14:paraId="61EB45C3" w14:textId="61216512" w:rsidR="00395381" w:rsidRPr="006F5136" w:rsidRDefault="008A6C2A" w:rsidP="005E4694">
            <w:pPr>
              <w:spacing w:after="0" w:line="240" w:lineRule="auto"/>
              <w:jc w:val="both"/>
              <w:rPr>
                <w:rFonts w:ascii="Times New Roman" w:eastAsia="Arial Unicode MS" w:hAnsi="Times New Roman" w:cs="Times New Roman"/>
                <w:iCs/>
                <w:sz w:val="18"/>
                <w:szCs w:val="18"/>
                <w:lang w:val="ro-RO"/>
              </w:rPr>
            </w:pPr>
            <w:r w:rsidRPr="006F5136">
              <w:rPr>
                <w:rFonts w:ascii="Times New Roman" w:eastAsia="Arial Unicode MS" w:hAnsi="Times New Roman" w:cs="Times New Roman"/>
                <w:iCs/>
                <w:sz w:val="18"/>
                <w:szCs w:val="18"/>
                <w:lang w:val="ro-RO"/>
              </w:rPr>
              <w:t>(b) ca expuneri față de o societate, pentru alte tipuri de expuneri față de o CPC necalificată.</w:t>
            </w:r>
            <w:bookmarkEnd w:id="4"/>
          </w:p>
        </w:tc>
        <w:tc>
          <w:tcPr>
            <w:tcW w:w="1661" w:type="pct"/>
            <w:shd w:val="clear" w:color="auto" w:fill="auto"/>
          </w:tcPr>
          <w:p w14:paraId="13BC4A09" w14:textId="64A30F51" w:rsidR="00312462" w:rsidRPr="00312462" w:rsidRDefault="00395381" w:rsidP="00312462">
            <w:pPr>
              <w:spacing w:after="0" w:line="240" w:lineRule="auto"/>
              <w:jc w:val="both"/>
              <w:rPr>
                <w:rFonts w:ascii="Times New Roman" w:eastAsia="Arial Unicode MS" w:hAnsi="Times New Roman" w:cs="Times New Roman"/>
                <w:sz w:val="18"/>
                <w:szCs w:val="18"/>
                <w:lang w:val="ro-RO"/>
              </w:rPr>
            </w:pPr>
            <w:r w:rsidRPr="006F5136">
              <w:rPr>
                <w:rFonts w:ascii="Times New Roman" w:eastAsia="Arial Unicode MS" w:hAnsi="Times New Roman" w:cs="Times New Roman"/>
                <w:sz w:val="18"/>
                <w:szCs w:val="18"/>
                <w:lang w:val="ro-RO"/>
              </w:rPr>
              <w:t xml:space="preserve">18. </w:t>
            </w:r>
            <w:r w:rsidR="00312462" w:rsidRPr="00312462">
              <w:rPr>
                <w:rFonts w:ascii="Times New Roman" w:eastAsia="Arial Unicode MS" w:hAnsi="Times New Roman" w:cs="Times New Roman"/>
                <w:sz w:val="18"/>
                <w:szCs w:val="18"/>
                <w:lang w:val="ro-RO"/>
              </w:rPr>
              <w:t xml:space="preserve">În cazul expunerilor din tranzacții și al contribuțiilor la fonduri de garantare pentru o contraparte centrală (CPC), băncile aplică tratamentul aferent cerințelor de fonduri proprii pentru expunerile față de o CPC menționat în </w:t>
            </w:r>
            <w:r w:rsidR="008C796B">
              <w:rPr>
                <w:rFonts w:ascii="Times New Roman" w:eastAsia="Arial Unicode MS" w:hAnsi="Times New Roman" w:cs="Times New Roman"/>
                <w:sz w:val="18"/>
                <w:szCs w:val="18"/>
                <w:lang w:val="ro-RO"/>
              </w:rPr>
              <w:t>actele normative ale Băncii Naționale a Moldovei aferente</w:t>
            </w:r>
            <w:r w:rsidR="00312462" w:rsidRPr="00312462">
              <w:rPr>
                <w:rFonts w:ascii="Times New Roman" w:eastAsia="Arial Unicode MS" w:hAnsi="Times New Roman" w:cs="Times New Roman"/>
                <w:sz w:val="18"/>
                <w:szCs w:val="18"/>
                <w:lang w:val="ro-RO"/>
              </w:rPr>
              <w:t xml:space="preserve"> tratamentul</w:t>
            </w:r>
            <w:r w:rsidR="008C796B">
              <w:rPr>
                <w:rFonts w:ascii="Times New Roman" w:eastAsia="Arial Unicode MS" w:hAnsi="Times New Roman" w:cs="Times New Roman"/>
                <w:sz w:val="18"/>
                <w:szCs w:val="18"/>
                <w:lang w:val="ro-RO"/>
              </w:rPr>
              <w:t>ui</w:t>
            </w:r>
            <w:r w:rsidR="00312462" w:rsidRPr="00312462">
              <w:rPr>
                <w:rFonts w:ascii="Times New Roman" w:eastAsia="Arial Unicode MS" w:hAnsi="Times New Roman" w:cs="Times New Roman"/>
                <w:sz w:val="18"/>
                <w:szCs w:val="18"/>
                <w:lang w:val="ro-RO"/>
              </w:rPr>
              <w:t xml:space="preserve"> riscului de credit al contrapărţii pentru bănci. În cazul tuturor celorlalte tipuri de expuneri față de o CPC, băncile tratează respectivele expuneri după cum urmează:</w:t>
            </w:r>
          </w:p>
          <w:p w14:paraId="3970F0FE" w14:textId="77777777" w:rsidR="00312462" w:rsidRPr="00312462" w:rsidRDefault="00312462" w:rsidP="00312462">
            <w:pPr>
              <w:spacing w:after="0" w:line="240" w:lineRule="auto"/>
              <w:jc w:val="both"/>
              <w:rPr>
                <w:rFonts w:ascii="Times New Roman" w:eastAsia="Arial Unicode MS" w:hAnsi="Times New Roman" w:cs="Times New Roman"/>
                <w:sz w:val="18"/>
                <w:szCs w:val="18"/>
                <w:lang w:val="ro-RO"/>
              </w:rPr>
            </w:pPr>
            <w:r w:rsidRPr="00312462">
              <w:rPr>
                <w:rFonts w:ascii="Times New Roman" w:eastAsia="Arial Unicode MS" w:hAnsi="Times New Roman" w:cs="Times New Roman"/>
                <w:sz w:val="18"/>
                <w:szCs w:val="18"/>
                <w:lang w:val="ro-RO"/>
              </w:rPr>
              <w:t>1) ca expuneri față de o bancă, pentru alte tipuri de expuneri față de o CPC calificată;</w:t>
            </w:r>
          </w:p>
          <w:p w14:paraId="4E45836A" w14:textId="2C36F7C5" w:rsidR="00312462" w:rsidRDefault="00312462" w:rsidP="00312462">
            <w:pPr>
              <w:spacing w:after="0" w:line="240" w:lineRule="auto"/>
              <w:jc w:val="both"/>
              <w:rPr>
                <w:rFonts w:ascii="Times New Roman" w:eastAsia="Arial Unicode MS" w:hAnsi="Times New Roman" w:cs="Times New Roman"/>
                <w:sz w:val="18"/>
                <w:szCs w:val="18"/>
                <w:lang w:val="ro-RO"/>
              </w:rPr>
            </w:pPr>
            <w:r w:rsidRPr="00312462">
              <w:rPr>
                <w:rFonts w:ascii="Times New Roman" w:eastAsia="Arial Unicode MS" w:hAnsi="Times New Roman" w:cs="Times New Roman"/>
                <w:sz w:val="18"/>
                <w:szCs w:val="18"/>
                <w:lang w:val="ro-RO"/>
              </w:rPr>
              <w:t>2) ca expuneri față de o societate, pentru alte tipuri de expuneri față de o CPC necalificată.</w:t>
            </w:r>
          </w:p>
          <w:p w14:paraId="6CB390CC" w14:textId="77777777" w:rsidR="00235233" w:rsidRDefault="00312462" w:rsidP="005E4694">
            <w:pPr>
              <w:spacing w:after="0" w:line="240" w:lineRule="auto"/>
              <w:jc w:val="both"/>
              <w:rPr>
                <w:rFonts w:ascii="Times New Roman" w:eastAsia="Times New Roman" w:hAnsi="Times New Roman" w:cs="Times New Roman"/>
                <w:i/>
                <w:iCs/>
                <w:sz w:val="18"/>
                <w:szCs w:val="18"/>
                <w:lang w:val="ro-RO" w:eastAsia="ro-MD"/>
              </w:rPr>
            </w:pPr>
            <w:r w:rsidRPr="006F5136">
              <w:rPr>
                <w:rFonts w:ascii="Times New Roman" w:eastAsia="Times New Roman" w:hAnsi="Times New Roman" w:cs="Times New Roman"/>
                <w:i/>
                <w:iCs/>
                <w:sz w:val="18"/>
                <w:szCs w:val="18"/>
                <w:lang w:val="ro-RO" w:eastAsia="ro-MD"/>
              </w:rPr>
              <w:t>Proiectul de modificare a Regulamentului nr.111/2018</w:t>
            </w:r>
          </w:p>
          <w:p w14:paraId="4AADEEE1" w14:textId="337F0D88" w:rsidR="00001C5E" w:rsidRPr="006F5136" w:rsidRDefault="00001C5E" w:rsidP="005E4694">
            <w:pPr>
              <w:spacing w:after="0" w:line="240" w:lineRule="auto"/>
              <w:jc w:val="both"/>
              <w:rPr>
                <w:rFonts w:ascii="Times New Roman" w:eastAsia="Arial Unicode MS" w:hAnsi="Times New Roman" w:cs="Times New Roman"/>
                <w:sz w:val="18"/>
                <w:szCs w:val="18"/>
                <w:lang w:val="ro-RO"/>
              </w:rPr>
            </w:pPr>
          </w:p>
        </w:tc>
        <w:tc>
          <w:tcPr>
            <w:tcW w:w="503" w:type="pct"/>
          </w:tcPr>
          <w:p w14:paraId="0DB1F872" w14:textId="77777777" w:rsidR="00395381" w:rsidRPr="006F5136" w:rsidRDefault="00395381" w:rsidP="005E4694">
            <w:pPr>
              <w:spacing w:after="0" w:line="240" w:lineRule="auto"/>
              <w:ind w:right="-113"/>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Parțial compatibil</w:t>
            </w:r>
          </w:p>
        </w:tc>
        <w:tc>
          <w:tcPr>
            <w:tcW w:w="912" w:type="pct"/>
          </w:tcPr>
          <w:p w14:paraId="6FCB0588" w14:textId="66CE0D2E" w:rsidR="008A6C2A" w:rsidRPr="006F5136" w:rsidRDefault="008A6C2A"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p w14:paraId="7F94E48F" w14:textId="2EDC67D0" w:rsidR="00395381" w:rsidRPr="006F5136" w:rsidRDefault="00312462" w:rsidP="005E4694">
            <w:pPr>
              <w:spacing w:after="0"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 xml:space="preserve">Urmează a se transpune total prin prevederile IRB. </w:t>
            </w:r>
          </w:p>
        </w:tc>
      </w:tr>
      <w:tr w:rsidR="00BB2F88" w:rsidRPr="006F5136" w14:paraId="5BBE98B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9770F81" w14:textId="35032811" w:rsidR="00395381" w:rsidRPr="006F5136" w:rsidRDefault="00395381" w:rsidP="005E4694">
            <w:pPr>
              <w:spacing w:after="0" w:line="240" w:lineRule="auto"/>
              <w:jc w:val="both"/>
              <w:rPr>
                <w:rFonts w:ascii="Times New Roman" w:eastAsia="Arial Unicode MS" w:hAnsi="Times New Roman" w:cs="Times New Roman"/>
                <w:b/>
                <w:bCs/>
                <w:iCs/>
                <w:sz w:val="18"/>
                <w:szCs w:val="18"/>
                <w:lang w:val="ro-RO"/>
              </w:rPr>
            </w:pPr>
            <w:r w:rsidRPr="006F5136">
              <w:rPr>
                <w:rFonts w:ascii="Times New Roman" w:eastAsia="Arial Unicode MS" w:hAnsi="Times New Roman" w:cs="Times New Roman"/>
                <w:b/>
                <w:bCs/>
                <w:iCs/>
                <w:sz w:val="18"/>
                <w:szCs w:val="18"/>
                <w:lang w:val="ro-RO"/>
              </w:rPr>
              <w:t>M8</w:t>
            </w:r>
          </w:p>
          <w:p w14:paraId="3423DD73" w14:textId="4B371BA5" w:rsidR="00395381" w:rsidRPr="006F5136" w:rsidRDefault="008A6C2A" w:rsidP="005E4694">
            <w:pPr>
              <w:spacing w:after="0" w:line="240" w:lineRule="auto"/>
              <w:jc w:val="both"/>
              <w:rPr>
                <w:rFonts w:ascii="Times New Roman" w:eastAsia="Arial Unicode MS" w:hAnsi="Times New Roman" w:cs="Times New Roman"/>
                <w:iCs/>
                <w:sz w:val="18"/>
                <w:szCs w:val="18"/>
                <w:lang w:val="ro-RO"/>
              </w:rPr>
            </w:pPr>
            <w:r w:rsidRPr="006F5136">
              <w:rPr>
                <w:rFonts w:ascii="Times New Roman" w:eastAsia="Arial Unicode MS" w:hAnsi="Times New Roman" w:cs="Times New Roman"/>
                <w:iCs/>
                <w:sz w:val="18"/>
                <w:szCs w:val="18"/>
                <w:lang w:val="ro-RO"/>
              </w:rPr>
              <w:t>(3) În sensul prezentului regulament, expunerile față de firme de investiții din țări terțe, instituții de credit din țări terțe și burse din țări terțe, precum și expunerile față de instituții financiare din țări terțe care sunt autorizate și supravegheate de autorități din țări terțe și care fac obiectul unor cerințe prudențiale comparabile cu cele aplicate instituțiilor în ceea ce privește soliditatea se tratează ca expuneri față de o instituție numai dacă țara terță aplică entității respective cerințe prudențiale și de supraveghere care sunt cel puțin echivalente cu cele aplicate în Uniune.</w:t>
            </w:r>
          </w:p>
        </w:tc>
        <w:tc>
          <w:tcPr>
            <w:tcW w:w="1661" w:type="pct"/>
            <w:shd w:val="clear" w:color="auto" w:fill="auto"/>
          </w:tcPr>
          <w:p w14:paraId="38902FEF" w14:textId="3D3E1A1A" w:rsidR="00395381" w:rsidRPr="006F5136" w:rsidRDefault="008A6C2A" w:rsidP="005E4694">
            <w:pPr>
              <w:spacing w:after="0" w:line="240" w:lineRule="auto"/>
              <w:jc w:val="both"/>
              <w:rPr>
                <w:rFonts w:ascii="Times New Roman" w:eastAsia="Arial Unicode MS" w:hAnsi="Times New Roman" w:cs="Times New Roman"/>
                <w:sz w:val="18"/>
                <w:szCs w:val="18"/>
                <w:lang w:val="ro-RO"/>
              </w:rPr>
            </w:pPr>
            <w:r w:rsidRPr="006F5136">
              <w:rPr>
                <w:rFonts w:ascii="Times New Roman" w:eastAsia="Arial Unicode MS" w:hAnsi="Times New Roman" w:cs="Times New Roman"/>
                <w:sz w:val="18"/>
                <w:szCs w:val="18"/>
                <w:lang w:val="ro-RO"/>
              </w:rPr>
              <w:t>51. Expunerile față de băncile și societățile de investiții din statele străine se tratează ca expuneri față de o bancă numai dacă statul respectiv aplică dispoziții de supraveghere și reglementare prudențială entității respective care sunt cel puțin echivalente cu cele aplicate în Republica Moldova în privința băncilor, conform anexei nr.5.</w:t>
            </w:r>
          </w:p>
        </w:tc>
        <w:tc>
          <w:tcPr>
            <w:tcW w:w="503" w:type="pct"/>
          </w:tcPr>
          <w:p w14:paraId="0E8BBE1E" w14:textId="77777777" w:rsidR="00395381" w:rsidRPr="006F5136" w:rsidRDefault="00395381" w:rsidP="005E4694">
            <w:pPr>
              <w:spacing w:after="0" w:line="240" w:lineRule="auto"/>
              <w:ind w:right="-113"/>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220933A8" w14:textId="40E92668" w:rsidR="00395381" w:rsidRPr="006F5136" w:rsidRDefault="008A6C2A"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BB2F88" w:rsidRPr="006F5136" w14:paraId="6AED08F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217204C" w14:textId="1C4D80D1" w:rsidR="00395381" w:rsidRPr="006F5136" w:rsidRDefault="00395381" w:rsidP="005E4694">
            <w:pPr>
              <w:spacing w:after="0" w:line="240" w:lineRule="auto"/>
              <w:jc w:val="both"/>
              <w:rPr>
                <w:rFonts w:ascii="Times New Roman" w:eastAsia="Arial Unicode MS" w:hAnsi="Times New Roman" w:cs="Times New Roman"/>
                <w:b/>
                <w:bCs/>
                <w:iCs/>
                <w:sz w:val="18"/>
                <w:szCs w:val="18"/>
                <w:lang w:val="ro-RO"/>
              </w:rPr>
            </w:pPr>
            <w:r w:rsidRPr="006F5136">
              <w:rPr>
                <w:rFonts w:ascii="Times New Roman" w:eastAsia="Arial Unicode MS" w:hAnsi="Times New Roman" w:cs="Times New Roman"/>
                <w:b/>
                <w:bCs/>
                <w:iCs/>
                <w:sz w:val="18"/>
                <w:szCs w:val="18"/>
                <w:lang w:val="ro-RO"/>
              </w:rPr>
              <w:t>C2</w:t>
            </w:r>
          </w:p>
          <w:p w14:paraId="7C4C3FE3" w14:textId="5524DBF5" w:rsidR="00395381" w:rsidRPr="006F5136" w:rsidRDefault="00395381" w:rsidP="005E4694">
            <w:pPr>
              <w:spacing w:after="0" w:line="240" w:lineRule="auto"/>
              <w:jc w:val="both"/>
              <w:rPr>
                <w:rFonts w:ascii="Times New Roman" w:eastAsia="Arial Unicode MS" w:hAnsi="Times New Roman" w:cs="Times New Roman"/>
                <w:iCs/>
                <w:sz w:val="18"/>
                <w:szCs w:val="18"/>
                <w:lang w:val="ro-RO"/>
              </w:rPr>
            </w:pPr>
            <w:r w:rsidRPr="006F5136">
              <w:rPr>
                <w:rFonts w:ascii="Times New Roman" w:eastAsia="Arial Unicode MS" w:hAnsi="Times New Roman" w:cs="Times New Roman"/>
                <w:iCs/>
                <w:sz w:val="18"/>
                <w:szCs w:val="18"/>
                <w:lang w:val="ro-RO"/>
              </w:rPr>
              <w:t>(4)  În sensul alineatului (3), Comisia poate adopta, prin intermediul actelor de punere în aplicare și sub rezerva procedurii de examinare prevăzute la articolul 464 alineatul (2), o decizie prin care să stabilească dacă o țară terță aplică cerințe de supraveghere prudențială și de reglementare cel puțin echivalente cu cele aplicate în Uniune. În absența unei astfel de decizii, până la 1 ianuarie 2015, instituțiile pot continua să considere expunerile față de entitățile menționate la alineatul (3) drept expuneri față de instituții doar dacă autoritățile competente relevante au confirmat țara terță respectivă ca fiind eligibilă pentru tratamentul respectiv înainte de 1 ianuarie 2014.</w:t>
            </w:r>
          </w:p>
        </w:tc>
        <w:tc>
          <w:tcPr>
            <w:tcW w:w="1661" w:type="pct"/>
            <w:shd w:val="clear" w:color="auto" w:fill="auto"/>
          </w:tcPr>
          <w:p w14:paraId="57EBAB9C" w14:textId="77777777" w:rsidR="00395381" w:rsidRPr="006F5136" w:rsidRDefault="00395381" w:rsidP="005E4694">
            <w:pPr>
              <w:spacing w:after="0" w:line="240" w:lineRule="auto"/>
              <w:jc w:val="both"/>
              <w:rPr>
                <w:rFonts w:ascii="Times New Roman" w:eastAsia="Arial Unicode MS" w:hAnsi="Times New Roman" w:cs="Times New Roman"/>
                <w:sz w:val="18"/>
                <w:szCs w:val="18"/>
                <w:lang w:val="ro-RO"/>
              </w:rPr>
            </w:pPr>
          </w:p>
        </w:tc>
        <w:tc>
          <w:tcPr>
            <w:tcW w:w="503" w:type="pct"/>
          </w:tcPr>
          <w:p w14:paraId="07236979" w14:textId="15639798" w:rsidR="00395381" w:rsidRPr="006F5136" w:rsidRDefault="00461483" w:rsidP="00172A25">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Norme UE neaplicabile</w:t>
            </w:r>
          </w:p>
        </w:tc>
        <w:tc>
          <w:tcPr>
            <w:tcW w:w="912" w:type="pct"/>
          </w:tcPr>
          <w:p w14:paraId="74920CB6" w14:textId="77472EC0"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Nu se transpune – prevederea se referă la acțiunile autorităților UE</w:t>
            </w:r>
          </w:p>
        </w:tc>
      </w:tr>
      <w:tr w:rsidR="00BB2F88" w:rsidRPr="006F5136" w14:paraId="02AEE79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5"/>
        </w:trPr>
        <w:tc>
          <w:tcPr>
            <w:tcW w:w="1924" w:type="pct"/>
          </w:tcPr>
          <w:p w14:paraId="7F89CFE5"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 xml:space="preserve">CAPITOLUL 2. </w:t>
            </w:r>
            <w:r w:rsidRPr="006F5136">
              <w:rPr>
                <w:b/>
                <w:i w:val="0"/>
                <w:sz w:val="18"/>
                <w:szCs w:val="18"/>
                <w:lang w:val="ro-RO"/>
              </w:rPr>
              <w:t>Abordarea standardizată</w:t>
            </w:r>
          </w:p>
        </w:tc>
        <w:tc>
          <w:tcPr>
            <w:tcW w:w="1661" w:type="pct"/>
            <w:shd w:val="clear" w:color="auto" w:fill="auto"/>
          </w:tcPr>
          <w:p w14:paraId="55920ED5" w14:textId="77777777" w:rsidR="00395381" w:rsidRPr="006F5136" w:rsidRDefault="00395381" w:rsidP="005E4694">
            <w:pPr>
              <w:spacing w:after="0" w:line="240" w:lineRule="auto"/>
              <w:jc w:val="both"/>
              <w:rPr>
                <w:rFonts w:ascii="Times New Roman" w:hAnsi="Times New Roman" w:cs="Times New Roman"/>
                <w:sz w:val="18"/>
                <w:szCs w:val="18"/>
                <w:lang w:val="ro-RO"/>
              </w:rPr>
            </w:pPr>
          </w:p>
        </w:tc>
        <w:tc>
          <w:tcPr>
            <w:tcW w:w="503" w:type="pct"/>
          </w:tcPr>
          <w:p w14:paraId="5F4FD765" w14:textId="77777777" w:rsidR="00395381" w:rsidRPr="006F5136" w:rsidRDefault="00395381" w:rsidP="005E4694">
            <w:pPr>
              <w:spacing w:after="0" w:line="240" w:lineRule="auto"/>
              <w:ind w:right="-113"/>
              <w:jc w:val="both"/>
              <w:rPr>
                <w:rFonts w:ascii="Times New Roman" w:hAnsi="Times New Roman" w:cs="Times New Roman"/>
                <w:sz w:val="18"/>
                <w:szCs w:val="18"/>
                <w:lang w:val="ro-RO"/>
              </w:rPr>
            </w:pPr>
          </w:p>
        </w:tc>
        <w:tc>
          <w:tcPr>
            <w:tcW w:w="912" w:type="pct"/>
          </w:tcPr>
          <w:p w14:paraId="15072B9D" w14:textId="4C686FB6"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b/>
                <w:sz w:val="18"/>
                <w:szCs w:val="18"/>
                <w:lang w:val="ro-RO"/>
              </w:rPr>
              <w:t>Regulamentul nr.111/2018</w:t>
            </w:r>
          </w:p>
        </w:tc>
      </w:tr>
      <w:tr w:rsidR="00BB2F88" w:rsidRPr="006F5136" w14:paraId="5D2CA9D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3"/>
        </w:trPr>
        <w:tc>
          <w:tcPr>
            <w:tcW w:w="1924" w:type="pct"/>
          </w:tcPr>
          <w:p w14:paraId="2F35F7EE" w14:textId="77777777" w:rsidR="00107A87" w:rsidRPr="006F5136" w:rsidRDefault="00107A87" w:rsidP="00107A87">
            <w:pPr>
              <w:pStyle w:val="ti-art"/>
              <w:spacing w:before="0" w:after="0"/>
              <w:jc w:val="both"/>
              <w:rPr>
                <w:i w:val="0"/>
                <w:sz w:val="18"/>
                <w:szCs w:val="18"/>
                <w:lang w:val="ro-RO"/>
              </w:rPr>
            </w:pPr>
            <w:r w:rsidRPr="006F5136">
              <w:rPr>
                <w:i w:val="0"/>
                <w:sz w:val="18"/>
                <w:szCs w:val="18"/>
                <w:lang w:val="ro-RO"/>
              </w:rPr>
              <w:t xml:space="preserve">Secțiunea 1. </w:t>
            </w:r>
          </w:p>
          <w:p w14:paraId="35C68784" w14:textId="4475206E" w:rsidR="00107A87" w:rsidRDefault="00107A87" w:rsidP="00107A87">
            <w:pPr>
              <w:pStyle w:val="ti-art"/>
              <w:spacing w:before="0" w:after="0"/>
              <w:jc w:val="both"/>
              <w:rPr>
                <w:sz w:val="18"/>
                <w:szCs w:val="18"/>
                <w:lang w:val="ro-RO"/>
              </w:rPr>
            </w:pPr>
            <w:r w:rsidRPr="006F5136">
              <w:rPr>
                <w:b/>
                <w:i w:val="0"/>
                <w:sz w:val="18"/>
                <w:szCs w:val="18"/>
                <w:lang w:val="ro-RO"/>
              </w:rPr>
              <w:t>Principii generale</w:t>
            </w:r>
          </w:p>
          <w:p w14:paraId="6194776A" w14:textId="6DD8EB44" w:rsidR="00395381" w:rsidRPr="006F5136" w:rsidRDefault="00395381" w:rsidP="005E4694">
            <w:pPr>
              <w:pStyle w:val="ti-art"/>
              <w:spacing w:before="0" w:after="0"/>
              <w:jc w:val="both"/>
              <w:rPr>
                <w:i w:val="0"/>
                <w:sz w:val="18"/>
                <w:szCs w:val="18"/>
                <w:lang w:val="ro-RO"/>
              </w:rPr>
            </w:pPr>
            <w:r w:rsidRPr="006F5136">
              <w:rPr>
                <w:sz w:val="18"/>
                <w:szCs w:val="18"/>
                <w:lang w:val="ro-RO"/>
              </w:rPr>
              <w:t>Articolul 111</w:t>
            </w:r>
            <w:r w:rsidRPr="006F5136">
              <w:rPr>
                <w:i w:val="0"/>
                <w:sz w:val="18"/>
                <w:szCs w:val="18"/>
                <w:lang w:val="ro-RO"/>
              </w:rPr>
              <w:t xml:space="preserve"> </w:t>
            </w:r>
            <w:r w:rsidRPr="006F5136">
              <w:rPr>
                <w:b/>
                <w:i w:val="0"/>
                <w:sz w:val="18"/>
                <w:szCs w:val="18"/>
                <w:lang w:val="ro-RO"/>
              </w:rPr>
              <w:t>Valoarea expunerii</w:t>
            </w:r>
          </w:p>
          <w:p w14:paraId="17B5FA0C" w14:textId="6D50DA68" w:rsidR="00395381" w:rsidRPr="006F5136" w:rsidRDefault="003D5EE0" w:rsidP="005E4694">
            <w:pPr>
              <w:pStyle w:val="ti-art"/>
              <w:spacing w:before="0" w:after="0"/>
              <w:jc w:val="both"/>
              <w:rPr>
                <w:i w:val="0"/>
                <w:sz w:val="18"/>
                <w:szCs w:val="18"/>
                <w:lang w:val="ro-RO"/>
              </w:rPr>
            </w:pPr>
            <w:r w:rsidRPr="006F5136">
              <w:rPr>
                <w:i w:val="0"/>
                <w:sz w:val="18"/>
                <w:szCs w:val="18"/>
                <w:lang w:val="ro-RO"/>
              </w:rPr>
              <w:t>(1)   Valoarea expunerii unui element de activ este valoarea sa contabilă rămasă după ce au fost aplicate ajustările specifice pentru riscul de credit în conformitate cu articolul 110, ajustările de valoare suplimentare în conformitate cu articolul 34 legate de activitatea instituției din afara portofoliului de tranzacționare, cuantumurile deduse în conformitate cu articolul 36 alineatul (1) litera (m) și alte reduceri ale fondurilor proprii aferente elementului de activ.</w:t>
            </w:r>
          </w:p>
        </w:tc>
        <w:tc>
          <w:tcPr>
            <w:tcW w:w="1661" w:type="pct"/>
            <w:shd w:val="clear" w:color="auto" w:fill="auto"/>
          </w:tcPr>
          <w:p w14:paraId="1CB0EC37" w14:textId="77777777" w:rsidR="00395381" w:rsidRPr="006F5136" w:rsidRDefault="003D5EE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5. Valoarea expunerii unui element de activ este valoarea sa contabilă rămasă după ce au fost aplicate ajustări specifice pentru riscul de credit în conformitate cu actul normativ al Băncii Naționale a Moldovei aferent calculului de către bănci al ajustărilor specifice și al ajustărilor generale pentru riscul de credit, ajustări de valoare suplimentare legate de activitatea băncii din afara portofoliului de tranzacționare, precum și diminuată cu alte reduceri ale fondurilor proprii aferente elementului de activ în conformitate cu Regulamentul nr.109/2018.</w:t>
            </w:r>
          </w:p>
          <w:p w14:paraId="159E5AD2" w14:textId="34E3864A" w:rsidR="003D5EE0" w:rsidRPr="006F5136" w:rsidRDefault="003D5EE0" w:rsidP="005E4694">
            <w:pPr>
              <w:spacing w:after="0" w:line="240" w:lineRule="auto"/>
              <w:jc w:val="both"/>
              <w:rPr>
                <w:rFonts w:ascii="Times New Roman" w:hAnsi="Times New Roman" w:cs="Times New Roman"/>
                <w:i/>
                <w:iCs/>
                <w:sz w:val="18"/>
                <w:szCs w:val="18"/>
                <w:lang w:val="ro-RO"/>
              </w:rPr>
            </w:pPr>
            <w:r w:rsidRPr="006F5136">
              <w:rPr>
                <w:rFonts w:ascii="Times New Roman" w:hAnsi="Times New Roman" w:cs="Times New Roman"/>
                <w:i/>
                <w:iCs/>
                <w:sz w:val="18"/>
                <w:szCs w:val="18"/>
                <w:lang w:val="ro-RO"/>
              </w:rPr>
              <w:t>Completat prin Proiectul HCE al BNM privind modificarea Regulamentului nr.111/2018.</w:t>
            </w:r>
          </w:p>
        </w:tc>
        <w:tc>
          <w:tcPr>
            <w:tcW w:w="503" w:type="pct"/>
          </w:tcPr>
          <w:p w14:paraId="770EDFA3" w14:textId="77777777" w:rsidR="00395381" w:rsidRPr="006F5136" w:rsidRDefault="00395381" w:rsidP="005E4694">
            <w:pPr>
              <w:spacing w:after="0" w:line="240" w:lineRule="auto"/>
              <w:ind w:right="-113"/>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0A656A5" w14:textId="7DD30D87" w:rsidR="00395381" w:rsidRPr="006F5136" w:rsidRDefault="00B14E0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BB2F88" w:rsidRPr="006F5136" w14:paraId="4583A5C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2F18B9E" w14:textId="47C5C9C4" w:rsidR="00395381" w:rsidRPr="006F5136" w:rsidRDefault="00A140C4" w:rsidP="005E4694">
            <w:pPr>
              <w:pStyle w:val="ti-art"/>
              <w:spacing w:before="0" w:after="0"/>
              <w:jc w:val="both"/>
              <w:rPr>
                <w:i w:val="0"/>
                <w:sz w:val="18"/>
                <w:szCs w:val="18"/>
                <w:lang w:val="ro-RO"/>
              </w:rPr>
            </w:pPr>
            <w:r w:rsidRPr="006F5136">
              <w:rPr>
                <w:i w:val="0"/>
                <w:sz w:val="18"/>
                <w:szCs w:val="18"/>
                <w:lang w:val="ro-RO"/>
              </w:rPr>
              <w:t xml:space="preserve">(2) </w:t>
            </w:r>
            <w:r w:rsidR="00395381" w:rsidRPr="006F5136">
              <w:rPr>
                <w:i w:val="0"/>
                <w:sz w:val="18"/>
                <w:szCs w:val="18"/>
                <w:lang w:val="ro-RO"/>
              </w:rPr>
              <w:t>Valoarea expunerii unui element extrabilanțier enumerat în anexa I este următorul procentaj din valoarea sa nominală, după scăderea ajustărilor specifice pentru riscul de credit</w:t>
            </w:r>
            <w:r w:rsidR="00395381" w:rsidRPr="006F5136">
              <w:rPr>
                <w:sz w:val="18"/>
                <w:szCs w:val="18"/>
                <w:lang w:val="ro-RO"/>
              </w:rPr>
              <w:t xml:space="preserve"> </w:t>
            </w:r>
            <w:r w:rsidR="00395381" w:rsidRPr="006F5136">
              <w:rPr>
                <w:i w:val="0"/>
                <w:sz w:val="18"/>
                <w:szCs w:val="18"/>
                <w:lang w:val="ro-RO"/>
              </w:rPr>
              <w:t>și a cuantumurilor deduse în conformitate cu articolul 36 alineatul (1) litera (m):</w:t>
            </w:r>
          </w:p>
          <w:p w14:paraId="1F840521" w14:textId="6D8BC0BC" w:rsidR="00395381" w:rsidRPr="006F5136" w:rsidRDefault="00395381" w:rsidP="005E4694">
            <w:pPr>
              <w:pStyle w:val="ti-art"/>
              <w:spacing w:before="0" w:after="0"/>
              <w:jc w:val="both"/>
              <w:rPr>
                <w:i w:val="0"/>
                <w:sz w:val="18"/>
                <w:szCs w:val="18"/>
                <w:lang w:val="ro-RO"/>
              </w:rPr>
            </w:pPr>
            <w:r w:rsidRPr="006F5136">
              <w:rPr>
                <w:i w:val="0"/>
                <w:sz w:val="18"/>
                <w:szCs w:val="18"/>
                <w:lang w:val="ro-RO"/>
              </w:rPr>
              <w:t>C2</w:t>
            </w:r>
          </w:p>
          <w:p w14:paraId="17860079" w14:textId="09DA3C3F" w:rsidR="00395381" w:rsidRPr="006F5136" w:rsidRDefault="00395381" w:rsidP="005E4694">
            <w:pPr>
              <w:pStyle w:val="ti-art"/>
              <w:spacing w:before="0" w:after="0"/>
              <w:jc w:val="both"/>
              <w:rPr>
                <w:i w:val="0"/>
                <w:sz w:val="18"/>
                <w:szCs w:val="18"/>
                <w:lang w:val="ro-RO"/>
              </w:rPr>
            </w:pPr>
            <w:r w:rsidRPr="006F5136">
              <w:rPr>
                <w:i w:val="0"/>
                <w:sz w:val="18"/>
                <w:szCs w:val="18"/>
                <w:lang w:val="ro-RO"/>
              </w:rPr>
              <w:t xml:space="preserve">(a) 100 % </w:t>
            </w:r>
            <w:r w:rsidR="007525C2" w:rsidRPr="006F5136">
              <w:rPr>
                <w:i w:val="0"/>
                <w:sz w:val="18"/>
                <w:szCs w:val="18"/>
                <w:lang w:val="ro-RO"/>
              </w:rPr>
              <w:t>pentru elementele din banda 1;</w:t>
            </w:r>
            <w:r w:rsidRPr="006F5136">
              <w:rPr>
                <w:i w:val="0"/>
                <w:sz w:val="18"/>
                <w:szCs w:val="18"/>
                <w:lang w:val="ro-RO"/>
              </w:rPr>
              <w:t>;</w:t>
            </w:r>
          </w:p>
          <w:p w14:paraId="0ACCCDCB" w14:textId="144600C6" w:rsidR="00395381" w:rsidRPr="006F5136" w:rsidRDefault="00395381" w:rsidP="005E4694">
            <w:pPr>
              <w:pStyle w:val="ti-art"/>
              <w:spacing w:before="0" w:after="0"/>
              <w:jc w:val="both"/>
              <w:rPr>
                <w:i w:val="0"/>
                <w:sz w:val="18"/>
                <w:szCs w:val="18"/>
                <w:lang w:val="ro-RO"/>
              </w:rPr>
            </w:pPr>
            <w:r w:rsidRPr="006F5136">
              <w:rPr>
                <w:i w:val="0"/>
                <w:sz w:val="18"/>
                <w:szCs w:val="18"/>
                <w:lang w:val="ro-RO"/>
              </w:rPr>
              <w:t xml:space="preserve">(b) 50 % </w:t>
            </w:r>
            <w:r w:rsidR="007525C2" w:rsidRPr="006F5136">
              <w:rPr>
                <w:i w:val="0"/>
                <w:sz w:val="18"/>
                <w:szCs w:val="18"/>
                <w:lang w:val="ro-RO"/>
              </w:rPr>
              <w:t>pentru elementele din banda 2</w:t>
            </w:r>
            <w:r w:rsidRPr="006F5136">
              <w:rPr>
                <w:i w:val="0"/>
                <w:sz w:val="18"/>
                <w:szCs w:val="18"/>
                <w:lang w:val="ro-RO"/>
              </w:rPr>
              <w:t>;</w:t>
            </w:r>
          </w:p>
          <w:p w14:paraId="19692CC2" w14:textId="77777777" w:rsidR="007525C2" w:rsidRPr="006F5136" w:rsidRDefault="00395381" w:rsidP="005E4694">
            <w:pPr>
              <w:pStyle w:val="ti-art"/>
              <w:spacing w:before="0" w:after="0"/>
              <w:jc w:val="both"/>
              <w:rPr>
                <w:i w:val="0"/>
                <w:sz w:val="18"/>
                <w:szCs w:val="18"/>
                <w:lang w:val="ro-RO"/>
              </w:rPr>
            </w:pPr>
            <w:r w:rsidRPr="006F5136">
              <w:rPr>
                <w:i w:val="0"/>
                <w:sz w:val="18"/>
                <w:szCs w:val="18"/>
                <w:lang w:val="ro-RO"/>
              </w:rPr>
              <w:t xml:space="preserve">(c) </w:t>
            </w:r>
            <w:r w:rsidR="007525C2" w:rsidRPr="006F5136">
              <w:rPr>
                <w:i w:val="0"/>
                <w:sz w:val="18"/>
                <w:szCs w:val="18"/>
                <w:lang w:val="ro-RO"/>
              </w:rPr>
              <w:t>40 % pentru elementele din banda 3;</w:t>
            </w:r>
          </w:p>
          <w:p w14:paraId="6DFFA22F" w14:textId="5C987522" w:rsidR="00395381" w:rsidRPr="006F5136" w:rsidRDefault="007525C2" w:rsidP="005E4694">
            <w:pPr>
              <w:pStyle w:val="ti-art"/>
              <w:spacing w:before="0" w:after="0"/>
              <w:jc w:val="both"/>
              <w:rPr>
                <w:i w:val="0"/>
                <w:sz w:val="18"/>
                <w:szCs w:val="18"/>
                <w:lang w:val="ro-RO"/>
              </w:rPr>
            </w:pPr>
            <w:r w:rsidRPr="006F5136">
              <w:rPr>
                <w:i w:val="0"/>
                <w:sz w:val="18"/>
                <w:szCs w:val="18"/>
                <w:lang w:val="ro-RO"/>
              </w:rPr>
              <w:t xml:space="preserve">(d) </w:t>
            </w:r>
            <w:r w:rsidR="00395381" w:rsidRPr="006F5136">
              <w:rPr>
                <w:i w:val="0"/>
                <w:sz w:val="18"/>
                <w:szCs w:val="18"/>
                <w:lang w:val="ro-RO"/>
              </w:rPr>
              <w:t xml:space="preserve">20 % </w:t>
            </w:r>
            <w:r w:rsidRPr="006F5136">
              <w:rPr>
                <w:i w:val="0"/>
                <w:sz w:val="18"/>
                <w:szCs w:val="18"/>
                <w:lang w:val="ro-RO"/>
              </w:rPr>
              <w:t>pentru elementele din banda 4</w:t>
            </w:r>
            <w:r w:rsidR="00395381" w:rsidRPr="006F5136">
              <w:rPr>
                <w:i w:val="0"/>
                <w:sz w:val="18"/>
                <w:szCs w:val="18"/>
                <w:lang w:val="ro-RO"/>
              </w:rPr>
              <w:t>;</w:t>
            </w:r>
          </w:p>
          <w:p w14:paraId="02FDE32F" w14:textId="5FD284F2" w:rsidR="00395381" w:rsidRPr="006F5136" w:rsidRDefault="00395381" w:rsidP="005E4694">
            <w:pPr>
              <w:pStyle w:val="ti-art"/>
              <w:spacing w:before="0" w:after="0"/>
              <w:jc w:val="both"/>
              <w:rPr>
                <w:i w:val="0"/>
                <w:sz w:val="18"/>
                <w:szCs w:val="18"/>
                <w:lang w:val="ro-RO"/>
              </w:rPr>
            </w:pPr>
            <w:r w:rsidRPr="006F5136">
              <w:rPr>
                <w:i w:val="0"/>
                <w:sz w:val="18"/>
                <w:szCs w:val="18"/>
                <w:lang w:val="ro-RO"/>
              </w:rPr>
              <w:t xml:space="preserve">(d) </w:t>
            </w:r>
            <w:r w:rsidR="00A140C4" w:rsidRPr="006F5136">
              <w:rPr>
                <w:i w:val="0"/>
                <w:sz w:val="18"/>
                <w:szCs w:val="18"/>
                <w:lang w:val="ro-RO"/>
              </w:rPr>
              <w:t>10 % pentru elementele din banda 5</w:t>
            </w:r>
            <w:r w:rsidRPr="006F5136">
              <w:rPr>
                <w:i w:val="0"/>
                <w:sz w:val="18"/>
                <w:szCs w:val="18"/>
                <w:lang w:val="ro-RO"/>
              </w:rPr>
              <w:t>.</w:t>
            </w:r>
          </w:p>
        </w:tc>
        <w:tc>
          <w:tcPr>
            <w:tcW w:w="1661" w:type="pct"/>
            <w:shd w:val="clear" w:color="auto" w:fill="auto"/>
          </w:tcPr>
          <w:p w14:paraId="452586E8" w14:textId="77777777" w:rsidR="002E53F5" w:rsidRPr="006F5136" w:rsidRDefault="002E53F5"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6. Valoarea expunerii unui element extrabilanțier enumerat în anexa nr.1 la prezentul regulament este următorul procentaj din valoarea sa nominală, după deducerea ajustărilor specifice pentru riscul de credit în conformitate cu actul normativ al Băncii Naționale a Moldovei aferent calculului de către bănci al ajustărilor specifice și al ajustărilor generale pentru riscul de credit, precum și al altor reduceri ale fondurilor proprii aferente elementului extrabilanțier în conformitate cu Regulamentul nr.109/2018:</w:t>
            </w:r>
          </w:p>
          <w:p w14:paraId="4BB557E2" w14:textId="77777777" w:rsidR="002E53F5" w:rsidRPr="006F5136" w:rsidRDefault="002E53F5"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 100% pentru elementele din banda 1;</w:t>
            </w:r>
          </w:p>
          <w:p w14:paraId="06F95EA2" w14:textId="77777777" w:rsidR="002E53F5" w:rsidRPr="006F5136" w:rsidRDefault="002E53F5"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2) 50% pentru elementele din banda 2;</w:t>
            </w:r>
          </w:p>
          <w:p w14:paraId="27B0250D" w14:textId="77777777" w:rsidR="002E53F5" w:rsidRPr="006F5136" w:rsidRDefault="002E53F5"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3) 40 % pentru elementele din banda 3;</w:t>
            </w:r>
          </w:p>
          <w:p w14:paraId="2B8A200B" w14:textId="77777777" w:rsidR="002E53F5" w:rsidRPr="006F5136" w:rsidRDefault="002E53F5"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4) 20% pentru elementele din banda 4;</w:t>
            </w:r>
          </w:p>
          <w:p w14:paraId="1A502413" w14:textId="77777777" w:rsidR="00395381" w:rsidRPr="006F5136" w:rsidRDefault="002E53F5"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5) 10% pentru elementele din banda 5.</w:t>
            </w:r>
          </w:p>
          <w:p w14:paraId="39708929" w14:textId="7EFA94BC" w:rsidR="002E53F5" w:rsidRPr="006F5136" w:rsidRDefault="00DC47DC"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i/>
                <w:iCs/>
                <w:sz w:val="18"/>
                <w:szCs w:val="18"/>
                <w:lang w:val="ro-RO"/>
              </w:rPr>
              <w:t>Modificat</w:t>
            </w:r>
            <w:r w:rsidR="002E53F5" w:rsidRPr="006F5136">
              <w:rPr>
                <w:rFonts w:ascii="Times New Roman" w:hAnsi="Times New Roman" w:cs="Times New Roman"/>
                <w:i/>
                <w:iCs/>
                <w:sz w:val="18"/>
                <w:szCs w:val="18"/>
                <w:lang w:val="ro-RO"/>
              </w:rPr>
              <w:t xml:space="preserve"> prin Proiectul HCE al BNM privind modificarea Regulamentului nr.111/2018.</w:t>
            </w:r>
          </w:p>
        </w:tc>
        <w:tc>
          <w:tcPr>
            <w:tcW w:w="503" w:type="pct"/>
          </w:tcPr>
          <w:p w14:paraId="2D4AC190" w14:textId="77777777"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p w14:paraId="27F078B9" w14:textId="77777777" w:rsidR="00395381" w:rsidRPr="006F5136" w:rsidRDefault="00395381" w:rsidP="005E4694">
            <w:pPr>
              <w:spacing w:after="0" w:line="240" w:lineRule="auto"/>
              <w:ind w:right="-113"/>
              <w:jc w:val="both"/>
              <w:rPr>
                <w:rFonts w:ascii="Times New Roman" w:hAnsi="Times New Roman" w:cs="Times New Roman"/>
                <w:sz w:val="18"/>
                <w:szCs w:val="18"/>
                <w:lang w:val="ro-RO"/>
              </w:rPr>
            </w:pPr>
          </w:p>
        </w:tc>
        <w:tc>
          <w:tcPr>
            <w:tcW w:w="912" w:type="pct"/>
          </w:tcPr>
          <w:p w14:paraId="03E1F709" w14:textId="02FA461A" w:rsidR="00B14E03"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p w14:paraId="4F5408A7" w14:textId="34859640"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Pct.6 este completat cu prevederea privind deducerea reducerilor pentru pierderi aferente angajamentelor condiționale, deoarece conform legislației RM aceste reduceri influențează fondurile proprii.</w:t>
            </w:r>
          </w:p>
        </w:tc>
      </w:tr>
      <w:tr w:rsidR="00914DC9" w:rsidRPr="006F5136" w14:paraId="3D6BB38E"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7"/>
        </w:trPr>
        <w:tc>
          <w:tcPr>
            <w:tcW w:w="1924" w:type="pct"/>
          </w:tcPr>
          <w:p w14:paraId="220AEA42" w14:textId="77777777" w:rsidR="00914DC9" w:rsidRPr="006F5136" w:rsidRDefault="00914DC9" w:rsidP="00914DC9">
            <w:pPr>
              <w:pStyle w:val="ti-art"/>
              <w:spacing w:before="0" w:after="0"/>
              <w:jc w:val="both"/>
              <w:rPr>
                <w:i w:val="0"/>
                <w:sz w:val="18"/>
                <w:szCs w:val="18"/>
                <w:lang w:val="ro-RO"/>
              </w:rPr>
            </w:pPr>
            <w:r w:rsidRPr="006F5136">
              <w:rPr>
                <w:i w:val="0"/>
                <w:sz w:val="18"/>
                <w:szCs w:val="18"/>
                <w:lang w:val="ro-RO"/>
              </w:rPr>
              <w:t>(3)   Valoarea expunerii unui angajament cu privire la un element extrabilanțier menționat la alineatul (2) de la prezentul articol este valoarea mai mică dintre următoarele procentaje din valoarea nominală a angajamentului după deducerea ajustărilor specifice pentru riscul de credit și a cuantumurilor deduse în conformitate cu articolul 36 alineatul (1) litera (m):</w:t>
            </w:r>
          </w:p>
          <w:p w14:paraId="2CE85F1D" w14:textId="667DCF60" w:rsidR="00914DC9" w:rsidRPr="006F5136" w:rsidRDefault="00914DC9" w:rsidP="00914DC9">
            <w:pPr>
              <w:pStyle w:val="ti-art"/>
              <w:spacing w:before="0" w:after="0"/>
              <w:jc w:val="both"/>
              <w:rPr>
                <w:i w:val="0"/>
                <w:sz w:val="18"/>
                <w:szCs w:val="18"/>
                <w:lang w:val="ro-RO"/>
              </w:rPr>
            </w:pPr>
            <w:r w:rsidRPr="006F5136">
              <w:rPr>
                <w:i w:val="0"/>
                <w:sz w:val="18"/>
                <w:szCs w:val="18"/>
                <w:lang w:val="ro-RO"/>
              </w:rPr>
              <w:t>(a) procentajul menționat la alineatul (2) de la prezentul articol aplicabil elementului cu privire la care este asumat angajamentul;</w:t>
            </w:r>
          </w:p>
          <w:p w14:paraId="6002C75B" w14:textId="03899029" w:rsidR="00914DC9" w:rsidRPr="006F5136" w:rsidRDefault="00914DC9" w:rsidP="00914DC9">
            <w:pPr>
              <w:pStyle w:val="ti-art"/>
              <w:spacing w:before="0" w:after="0"/>
              <w:jc w:val="both"/>
              <w:rPr>
                <w:i w:val="0"/>
                <w:sz w:val="18"/>
                <w:szCs w:val="18"/>
                <w:lang w:val="ro-RO"/>
              </w:rPr>
            </w:pPr>
            <w:r w:rsidRPr="006F5136">
              <w:rPr>
                <w:i w:val="0"/>
                <w:sz w:val="18"/>
                <w:szCs w:val="18"/>
                <w:lang w:val="ro-RO"/>
              </w:rPr>
              <w:t>(b) procentajul menționat la alineatul (2) de la prezentul articol aplicabil tipului de angajament.</w:t>
            </w:r>
          </w:p>
        </w:tc>
        <w:tc>
          <w:tcPr>
            <w:tcW w:w="1661" w:type="pct"/>
            <w:shd w:val="clear" w:color="auto" w:fill="auto"/>
          </w:tcPr>
          <w:p w14:paraId="7868B6ED" w14:textId="434530CB"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6</w:t>
            </w:r>
            <w:r w:rsidRPr="006F5136">
              <w:rPr>
                <w:rFonts w:ascii="Times New Roman" w:hAnsi="Times New Roman" w:cs="Times New Roman"/>
                <w:sz w:val="18"/>
                <w:szCs w:val="18"/>
                <w:vertAlign w:val="superscript"/>
                <w:lang w:val="ro-RO"/>
              </w:rPr>
              <w:t>1</w:t>
            </w:r>
            <w:r w:rsidRPr="006F5136">
              <w:rPr>
                <w:rFonts w:ascii="Times New Roman" w:hAnsi="Times New Roman" w:cs="Times New Roman"/>
                <w:sz w:val="18"/>
                <w:szCs w:val="18"/>
                <w:lang w:val="ro-RO"/>
              </w:rPr>
              <w:t>. Valoarea expunerii unui angajament cu privire la un element extrabilanțier menționat la punctul 6 este valoarea mai mică dintre următoarele procentaje din valoarea nominală a angajamentului după deducerea ajustărilor specifice pentru riscul de credit precum și diminuată cu alte reduceri ale fondurilor proprii aferente elementului de activ în conformitate cu Regulamentul nr.109/2018:</w:t>
            </w:r>
          </w:p>
          <w:p w14:paraId="643EA632" w14:textId="77777777"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 procentajul menționat la punctul 6 aplicabil elementului cu privire la care este asumat angajamentul;</w:t>
            </w:r>
          </w:p>
          <w:p w14:paraId="6B09D77B" w14:textId="77777777"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2) procentajul menționat la punctul 6 aplicabil tipului de angajament.</w:t>
            </w:r>
          </w:p>
          <w:p w14:paraId="65A6D9CE" w14:textId="65A433FC"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i/>
                <w:iCs/>
                <w:sz w:val="18"/>
                <w:szCs w:val="18"/>
                <w:lang w:val="ro-RO"/>
              </w:rPr>
              <w:t>Proiectul HCE al BNM privind modificarea Regulamentului nr.111/2018.</w:t>
            </w:r>
          </w:p>
        </w:tc>
        <w:tc>
          <w:tcPr>
            <w:tcW w:w="503" w:type="pct"/>
          </w:tcPr>
          <w:p w14:paraId="4CFE9551" w14:textId="0C4C6FCA"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5DB32A54" w14:textId="6B695F90"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2062F" w:rsidRPr="006F5136" w14:paraId="78F583D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36C949A" w14:textId="77777777" w:rsidR="00A149C9" w:rsidRPr="006F5136" w:rsidRDefault="0092062F" w:rsidP="005E4694">
            <w:pPr>
              <w:pStyle w:val="ti-art"/>
              <w:spacing w:before="0" w:after="0"/>
              <w:jc w:val="both"/>
              <w:rPr>
                <w:i w:val="0"/>
                <w:sz w:val="18"/>
                <w:szCs w:val="18"/>
                <w:lang w:val="ro-RO"/>
              </w:rPr>
            </w:pPr>
            <w:r w:rsidRPr="006F5136">
              <w:rPr>
                <w:i w:val="0"/>
                <w:sz w:val="18"/>
                <w:szCs w:val="18"/>
                <w:lang w:val="ro-RO"/>
              </w:rPr>
              <w:t>(4)   Acordurile contractuale oferite de o instituție, dar încă neacceptate de client, care ar deveni angajamente dacă ar fi acceptate de client sunt tratate ca angajamente, iar procentajul aplicabil este cel prevăzut în conformitate cu alineatul (2).</w:t>
            </w:r>
          </w:p>
          <w:p w14:paraId="45621A80" w14:textId="078DB90E" w:rsidR="0092062F" w:rsidRPr="006F5136" w:rsidRDefault="00A149C9" w:rsidP="005E4694">
            <w:pPr>
              <w:pStyle w:val="ti-art"/>
              <w:spacing w:before="0" w:after="0"/>
              <w:jc w:val="both"/>
              <w:rPr>
                <w:i w:val="0"/>
                <w:sz w:val="18"/>
                <w:szCs w:val="18"/>
                <w:lang w:val="ro-RO"/>
              </w:rPr>
            </w:pPr>
            <w:r w:rsidRPr="006F5136">
              <w:rPr>
                <w:i w:val="0"/>
                <w:sz w:val="18"/>
                <w:szCs w:val="18"/>
                <w:lang w:val="ro-RO"/>
              </w:rPr>
              <w:t>În cazul acordurilor contractuale care îndeplinesc condițiile prevăzute la articolul 5 punctul 10 literele (a)-(e), procentajul aplicabil este de 0 %.</w:t>
            </w:r>
          </w:p>
        </w:tc>
        <w:tc>
          <w:tcPr>
            <w:tcW w:w="1661" w:type="pct"/>
            <w:shd w:val="clear" w:color="auto" w:fill="auto"/>
          </w:tcPr>
          <w:p w14:paraId="78280D74" w14:textId="77777777" w:rsidR="008559ED" w:rsidRPr="006F5136" w:rsidRDefault="008559ED"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 xml:space="preserve">7. Acordurile contractuale oferite de o bancă, dar încă neacceptate de client, care ar deveni angajamente dacă ar fi acceptate de client sunt tratate ca angajamente, iar procentajul aplicabil este cel prevăzut în conformitate cu punctul 6. În cazul acordurilor contractuale care îndeplinesc condițiile prevăzute la punctul 3, la definiția de „angajament” subpunctele 1)-5), procentajul aplicabil este de 0 %. </w:t>
            </w:r>
          </w:p>
          <w:p w14:paraId="5F9F7325" w14:textId="33991832" w:rsidR="008559ED" w:rsidRPr="006F5136" w:rsidRDefault="008559ED"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i/>
                <w:iCs/>
                <w:sz w:val="18"/>
                <w:szCs w:val="18"/>
                <w:lang w:val="ro-RO"/>
              </w:rPr>
              <w:t>Modificat prin Proiectul HCE al BNM privind modificarea Regulamentului nr.111/2018.</w:t>
            </w:r>
          </w:p>
        </w:tc>
        <w:tc>
          <w:tcPr>
            <w:tcW w:w="503" w:type="pct"/>
          </w:tcPr>
          <w:p w14:paraId="6687C0AA" w14:textId="77777777" w:rsidR="009F3CED" w:rsidRPr="006F5136" w:rsidRDefault="009F3CED"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p w14:paraId="031139B2" w14:textId="77777777" w:rsidR="0092062F" w:rsidRPr="006F5136" w:rsidRDefault="0092062F" w:rsidP="005E4694">
            <w:pPr>
              <w:spacing w:after="0" w:line="240" w:lineRule="auto"/>
              <w:jc w:val="both"/>
              <w:rPr>
                <w:rFonts w:ascii="Times New Roman" w:hAnsi="Times New Roman" w:cs="Times New Roman"/>
                <w:iCs/>
                <w:sz w:val="18"/>
                <w:szCs w:val="18"/>
                <w:lang w:val="ro-RO"/>
              </w:rPr>
            </w:pPr>
          </w:p>
        </w:tc>
        <w:tc>
          <w:tcPr>
            <w:tcW w:w="912" w:type="pct"/>
          </w:tcPr>
          <w:p w14:paraId="46DF20AE" w14:textId="38768203" w:rsidR="0092062F" w:rsidRPr="006F5136" w:rsidRDefault="009F3CED"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B14E03" w:rsidRPr="006F5136" w14:paraId="2B72C7B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3705B22" w14:textId="74C9175E" w:rsidR="00B14E03" w:rsidRPr="006F5136" w:rsidRDefault="004A2219" w:rsidP="005E4694">
            <w:pPr>
              <w:pStyle w:val="ti-art"/>
              <w:spacing w:before="0" w:after="0"/>
              <w:jc w:val="both"/>
              <w:rPr>
                <w:i w:val="0"/>
                <w:sz w:val="18"/>
                <w:szCs w:val="18"/>
                <w:lang w:val="ro-RO"/>
              </w:rPr>
            </w:pPr>
            <w:r w:rsidRPr="006F5136">
              <w:rPr>
                <w:i w:val="0"/>
                <w:sz w:val="18"/>
                <w:szCs w:val="18"/>
                <w:lang w:val="ro-RO"/>
              </w:rPr>
              <w:t>(5)</w:t>
            </w:r>
            <w:r w:rsidRPr="006F5136">
              <w:rPr>
                <w:sz w:val="18"/>
                <w:szCs w:val="18"/>
              </w:rPr>
              <w:t xml:space="preserve"> </w:t>
            </w:r>
            <w:r w:rsidRPr="006F5136">
              <w:rPr>
                <w:i w:val="0"/>
                <w:sz w:val="18"/>
                <w:szCs w:val="18"/>
                <w:lang w:val="ro-RO"/>
              </w:rPr>
              <w:t>În cazul în care</w:t>
            </w:r>
            <w:r w:rsidR="00B14E03" w:rsidRPr="006F5136">
              <w:rPr>
                <w:i w:val="0"/>
                <w:sz w:val="18"/>
                <w:szCs w:val="18"/>
                <w:lang w:val="ro-RO"/>
              </w:rPr>
              <w:t xml:space="preserve"> o instituție utilizează metoda extinsă a garanțiilor financiare </w:t>
            </w:r>
            <w:r w:rsidRPr="006F5136">
              <w:rPr>
                <w:i w:val="0"/>
                <w:sz w:val="18"/>
                <w:szCs w:val="18"/>
                <w:lang w:val="ro-RO"/>
              </w:rPr>
              <w:t>menționată la</w:t>
            </w:r>
            <w:r w:rsidR="00B14E03" w:rsidRPr="006F5136">
              <w:rPr>
                <w:i w:val="0"/>
                <w:sz w:val="18"/>
                <w:szCs w:val="18"/>
                <w:lang w:val="ro-RO"/>
              </w:rPr>
              <w:t xml:space="preserve"> articolul 223, </w:t>
            </w:r>
            <w:r w:rsidR="00F214A2" w:rsidRPr="006F5136">
              <w:rPr>
                <w:i w:val="0"/>
                <w:color w:val="000000" w:themeColor="text1"/>
                <w:sz w:val="18"/>
                <w:szCs w:val="18"/>
                <w:lang w:eastAsia="ro-MD"/>
              </w:rPr>
              <w:t>valoarea expunerii titlurilor de valoare sau a</w:t>
            </w:r>
            <w:r w:rsidR="00F214A2" w:rsidRPr="006F5136">
              <w:rPr>
                <w:i w:val="0"/>
                <w:sz w:val="18"/>
                <w:szCs w:val="18"/>
                <w:lang w:eastAsia="ro-MD"/>
              </w:rPr>
              <w:t> </w:t>
            </w:r>
            <w:r w:rsidR="00F214A2" w:rsidRPr="006F5136">
              <w:rPr>
                <w:i w:val="0"/>
                <w:color w:val="000000" w:themeColor="text1"/>
                <w:sz w:val="18"/>
                <w:szCs w:val="18"/>
                <w:lang w:eastAsia="ro-MD"/>
              </w:rPr>
              <w:t xml:space="preserve">mărfurilor vândute, </w:t>
            </w:r>
            <w:r w:rsidR="00F214A2" w:rsidRPr="006F5136">
              <w:rPr>
                <w:i w:val="0"/>
                <w:sz w:val="18"/>
                <w:szCs w:val="18"/>
                <w:lang w:eastAsia="ro-MD"/>
              </w:rPr>
              <w:t>furnizate drept garanție</w:t>
            </w:r>
            <w:r w:rsidR="00F214A2" w:rsidRPr="006F5136">
              <w:rPr>
                <w:i w:val="0"/>
                <w:color w:val="000000" w:themeColor="text1"/>
                <w:sz w:val="18"/>
                <w:szCs w:val="18"/>
                <w:lang w:eastAsia="ro-MD"/>
              </w:rPr>
              <w:t xml:space="preserve"> sau </w:t>
            </w:r>
            <w:r w:rsidR="00F214A2" w:rsidRPr="006F5136">
              <w:rPr>
                <w:i w:val="0"/>
                <w:sz w:val="18"/>
                <w:szCs w:val="18"/>
                <w:lang w:eastAsia="ro-MD"/>
              </w:rPr>
              <w:t xml:space="preserve">date cu împrumut </w:t>
            </w:r>
            <w:r w:rsidR="00F214A2" w:rsidRPr="006F5136">
              <w:rPr>
                <w:i w:val="0"/>
                <w:color w:val="000000" w:themeColor="text1"/>
                <w:sz w:val="18"/>
                <w:szCs w:val="18"/>
                <w:lang w:eastAsia="ro-MD"/>
              </w:rPr>
              <w:t xml:space="preserve">în cadrul unei </w:t>
            </w:r>
            <w:r w:rsidR="00F214A2" w:rsidRPr="006F5136">
              <w:rPr>
                <w:i w:val="0"/>
                <w:sz w:val="18"/>
                <w:szCs w:val="18"/>
                <w:lang w:eastAsia="ro-MD"/>
              </w:rPr>
              <w:t>operațiuni de finanțare prin instrumente financiare</w:t>
            </w:r>
            <w:r w:rsidR="00F214A2" w:rsidRPr="006F5136">
              <w:rPr>
                <w:i w:val="0"/>
                <w:color w:val="000000" w:themeColor="text1"/>
                <w:sz w:val="18"/>
                <w:szCs w:val="18"/>
                <w:lang w:eastAsia="ro-MD"/>
              </w:rPr>
              <w:t xml:space="preserve"> se majorează cu ajustarea de volatilitate corespunzătoare a</w:t>
            </w:r>
            <w:r w:rsidR="00F214A2" w:rsidRPr="006F5136">
              <w:rPr>
                <w:i w:val="0"/>
                <w:sz w:val="18"/>
                <w:szCs w:val="18"/>
                <w:lang w:eastAsia="ro-MD"/>
              </w:rPr>
              <w:t> </w:t>
            </w:r>
            <w:r w:rsidR="00F214A2" w:rsidRPr="006F5136">
              <w:rPr>
                <w:i w:val="0"/>
                <w:color w:val="000000" w:themeColor="text1"/>
                <w:sz w:val="18"/>
                <w:szCs w:val="18"/>
                <w:lang w:eastAsia="ro-MD"/>
              </w:rPr>
              <w:t xml:space="preserve">respectivelor titluri de valoare sau mărfuri, în conformitate cu </w:t>
            </w:r>
            <w:r w:rsidR="00F214A2" w:rsidRPr="006F5136">
              <w:rPr>
                <w:i w:val="0"/>
                <w:sz w:val="18"/>
                <w:szCs w:val="18"/>
                <w:lang w:eastAsia="ro-MD"/>
              </w:rPr>
              <w:t>articolele </w:t>
            </w:r>
            <w:r w:rsidR="00F214A2" w:rsidRPr="006F5136">
              <w:rPr>
                <w:i w:val="0"/>
                <w:color w:val="000000" w:themeColor="text1"/>
                <w:sz w:val="18"/>
                <w:szCs w:val="18"/>
                <w:lang w:eastAsia="ro-MD"/>
              </w:rPr>
              <w:t>223</w:t>
            </w:r>
            <w:r w:rsidR="00F214A2" w:rsidRPr="006F5136">
              <w:rPr>
                <w:i w:val="0"/>
                <w:sz w:val="18"/>
                <w:szCs w:val="18"/>
                <w:lang w:eastAsia="ro-MD"/>
              </w:rPr>
              <w:t xml:space="preserve"> și 224</w:t>
            </w:r>
            <w:r w:rsidR="00F214A2" w:rsidRPr="006F5136">
              <w:rPr>
                <w:i w:val="0"/>
                <w:color w:val="000000" w:themeColor="text1"/>
                <w:sz w:val="18"/>
                <w:szCs w:val="18"/>
                <w:lang w:eastAsia="ro-MD"/>
              </w:rPr>
              <w:t>.</w:t>
            </w:r>
          </w:p>
        </w:tc>
        <w:tc>
          <w:tcPr>
            <w:tcW w:w="1661" w:type="pct"/>
            <w:shd w:val="clear" w:color="auto" w:fill="auto"/>
          </w:tcPr>
          <w:p w14:paraId="38165ACA" w14:textId="77777777" w:rsidR="00B14E03" w:rsidRPr="006F5136" w:rsidRDefault="00B14E03"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hAnsi="Times New Roman" w:cs="Times New Roman"/>
                <w:sz w:val="18"/>
                <w:szCs w:val="18"/>
                <w:lang w:val="ro-RO"/>
              </w:rPr>
              <w:t xml:space="preserve">8. </w:t>
            </w:r>
            <w:r w:rsidR="003D5188" w:rsidRPr="006F5136">
              <w:rPr>
                <w:rFonts w:ascii="Times New Roman" w:eastAsia="Times New Roman" w:hAnsi="Times New Roman" w:cs="Times New Roman"/>
                <w:sz w:val="18"/>
                <w:szCs w:val="18"/>
                <w:lang w:val="ro-RO" w:eastAsia="ro-MD"/>
              </w:rPr>
              <w:t>Dacă o bancă utilizează metoda extinsă a garanțiilor financiare în conformitate cu actul normativ al Băncii Naționale a Moldovei aferent tehnicilor de diminuare a riscului de credit utilizate de bănci, valoarea expunerii sub formă de valori mobiliare sau de mărfuri vândute, furnizate drept garanție sau date cu împrumut în cadrul unei operațiuni de finanțare prin instrumente financiare se majorează cu ajustarea de volatilitate corespunzătoare valorilor mobiliare sau mărfurilor, astfel cum este prevăzut în actul normativ al Băncii Naționale a Moldovei aferent tehnicilor de diminuare a riscului de credit utilizate de bănci.</w:t>
            </w:r>
          </w:p>
          <w:p w14:paraId="53874205" w14:textId="4CA5B700" w:rsidR="003D5188" w:rsidRPr="006F5136" w:rsidRDefault="003D5188"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i/>
                <w:iCs/>
                <w:sz w:val="18"/>
                <w:szCs w:val="18"/>
                <w:lang w:val="ro-RO"/>
              </w:rPr>
              <w:t>Modificat prin Proiectul HCE al BNM privind modificarea Regulamentului nr.111/2018.</w:t>
            </w:r>
          </w:p>
        </w:tc>
        <w:tc>
          <w:tcPr>
            <w:tcW w:w="503" w:type="pct"/>
          </w:tcPr>
          <w:p w14:paraId="06FC8EB7" w14:textId="77777777" w:rsidR="00B14E03" w:rsidRPr="006F5136" w:rsidRDefault="00B14E0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p w14:paraId="21FBAE3E" w14:textId="77777777" w:rsidR="00B14E03" w:rsidRPr="006F5136" w:rsidRDefault="00B14E03" w:rsidP="005E4694">
            <w:pPr>
              <w:spacing w:after="0" w:line="240" w:lineRule="auto"/>
              <w:jc w:val="both"/>
              <w:rPr>
                <w:rFonts w:ascii="Times New Roman" w:hAnsi="Times New Roman" w:cs="Times New Roman"/>
                <w:iCs/>
                <w:sz w:val="18"/>
                <w:szCs w:val="18"/>
                <w:lang w:val="ro-RO"/>
              </w:rPr>
            </w:pPr>
          </w:p>
        </w:tc>
        <w:tc>
          <w:tcPr>
            <w:tcW w:w="912" w:type="pct"/>
          </w:tcPr>
          <w:p w14:paraId="4F5836FF" w14:textId="33D3BEC1" w:rsidR="00B14E03" w:rsidRPr="006F5136" w:rsidRDefault="00B14E0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BB2F88" w:rsidRPr="006F5136" w14:paraId="5DE266A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A473F97" w14:textId="78BBB3AA" w:rsidR="001D71B9" w:rsidRPr="006F5136" w:rsidRDefault="00395381" w:rsidP="005E4694">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hAnsi="Times New Roman" w:cs="Times New Roman"/>
                <w:sz w:val="18"/>
                <w:szCs w:val="18"/>
                <w:lang w:val="ro-RO"/>
              </w:rPr>
              <w:t>(</w:t>
            </w:r>
            <w:r w:rsidR="0092062F" w:rsidRPr="006F5136">
              <w:rPr>
                <w:rFonts w:ascii="Times New Roman" w:hAnsi="Times New Roman" w:cs="Times New Roman"/>
                <w:sz w:val="18"/>
                <w:szCs w:val="18"/>
                <w:lang w:val="ro-RO"/>
              </w:rPr>
              <w:t>6</w:t>
            </w:r>
            <w:r w:rsidRPr="006F5136">
              <w:rPr>
                <w:rFonts w:ascii="Times New Roman" w:hAnsi="Times New Roman" w:cs="Times New Roman"/>
                <w:sz w:val="18"/>
                <w:szCs w:val="18"/>
                <w:lang w:val="ro-RO"/>
              </w:rPr>
              <w:t xml:space="preserve">)  </w:t>
            </w:r>
            <w:r w:rsidR="001D71B9" w:rsidRPr="006F5136">
              <w:rPr>
                <w:rFonts w:ascii="Times New Roman" w:eastAsia="Times New Roman" w:hAnsi="Times New Roman" w:cs="Times New Roman"/>
                <w:color w:val="000000" w:themeColor="text1"/>
                <w:sz w:val="18"/>
                <w:szCs w:val="18"/>
                <w:lang w:eastAsia="ro-MD"/>
              </w:rPr>
              <w:t xml:space="preserve">Valoarea expunerii unui instrument financiar derivat enumerat în anexa II se determină în conformitate cu capitolul 6, </w:t>
            </w:r>
            <w:r w:rsidR="001D71B9" w:rsidRPr="006F5136">
              <w:rPr>
                <w:rFonts w:ascii="Times New Roman" w:eastAsia="Times New Roman" w:hAnsi="Times New Roman" w:cs="Times New Roman"/>
                <w:sz w:val="18"/>
                <w:szCs w:val="18"/>
                <w:lang w:eastAsia="ro-MD"/>
              </w:rPr>
              <w:t xml:space="preserve">ținând seama de </w:t>
            </w:r>
            <w:r w:rsidR="001D71B9" w:rsidRPr="006F5136">
              <w:rPr>
                <w:rFonts w:ascii="Times New Roman" w:eastAsia="Times New Roman" w:hAnsi="Times New Roman" w:cs="Times New Roman"/>
                <w:color w:val="000000" w:themeColor="text1"/>
                <w:sz w:val="18"/>
                <w:szCs w:val="18"/>
                <w:lang w:eastAsia="ro-MD"/>
              </w:rPr>
              <w:t>efectele contractelor de novație și ale altor acorduri de compensare</w:t>
            </w:r>
            <w:r w:rsidR="001D71B9" w:rsidRPr="006F5136">
              <w:rPr>
                <w:rFonts w:ascii="Times New Roman" w:eastAsia="Times New Roman" w:hAnsi="Times New Roman" w:cs="Times New Roman"/>
                <w:sz w:val="18"/>
                <w:szCs w:val="18"/>
                <w:lang w:eastAsia="ro-MD"/>
              </w:rPr>
              <w:t xml:space="preserve">, astfel cum </w:t>
            </w:r>
            <w:r w:rsidR="001D71B9" w:rsidRPr="006F5136">
              <w:rPr>
                <w:rFonts w:ascii="Times New Roman" w:eastAsia="Times New Roman" w:hAnsi="Times New Roman" w:cs="Times New Roman"/>
                <w:color w:val="000000" w:themeColor="text1"/>
                <w:sz w:val="18"/>
                <w:szCs w:val="18"/>
                <w:lang w:eastAsia="ro-MD"/>
              </w:rPr>
              <w:t xml:space="preserve">se </w:t>
            </w:r>
            <w:r w:rsidR="001D71B9" w:rsidRPr="006F5136">
              <w:rPr>
                <w:rFonts w:ascii="Times New Roman" w:eastAsia="Times New Roman" w:hAnsi="Times New Roman" w:cs="Times New Roman"/>
                <w:sz w:val="18"/>
                <w:szCs w:val="18"/>
                <w:lang w:eastAsia="ro-MD"/>
              </w:rPr>
              <w:t xml:space="preserve">specifică </w:t>
            </w:r>
            <w:r w:rsidR="001D71B9" w:rsidRPr="006F5136">
              <w:rPr>
                <w:rFonts w:ascii="Times New Roman" w:eastAsia="Times New Roman" w:hAnsi="Times New Roman" w:cs="Times New Roman"/>
                <w:color w:val="000000" w:themeColor="text1"/>
                <w:sz w:val="18"/>
                <w:szCs w:val="18"/>
                <w:lang w:eastAsia="ro-MD"/>
              </w:rPr>
              <w:t xml:space="preserve">în </w:t>
            </w:r>
            <w:r w:rsidR="001D71B9" w:rsidRPr="006F5136">
              <w:rPr>
                <w:rFonts w:ascii="Times New Roman" w:eastAsia="Times New Roman" w:hAnsi="Times New Roman" w:cs="Times New Roman"/>
                <w:sz w:val="18"/>
                <w:szCs w:val="18"/>
                <w:lang w:eastAsia="ro-MD"/>
              </w:rPr>
              <w:t>capitolul</w:t>
            </w:r>
            <w:r w:rsidR="001D71B9" w:rsidRPr="006F5136">
              <w:rPr>
                <w:rFonts w:ascii="Times New Roman" w:eastAsia="Times New Roman" w:hAnsi="Times New Roman" w:cs="Times New Roman"/>
                <w:color w:val="000000" w:themeColor="text1"/>
                <w:sz w:val="18"/>
                <w:szCs w:val="18"/>
                <w:lang w:eastAsia="ro-MD"/>
              </w:rPr>
              <w:t xml:space="preserve"> </w:t>
            </w:r>
            <w:r w:rsidR="001D71B9" w:rsidRPr="006F5136">
              <w:rPr>
                <w:rFonts w:ascii="Times New Roman" w:eastAsia="Times New Roman" w:hAnsi="Times New Roman" w:cs="Times New Roman"/>
                <w:sz w:val="18"/>
                <w:szCs w:val="18"/>
                <w:lang w:eastAsia="ro-MD"/>
              </w:rPr>
              <w:t>respectiv. Valoarea expunerii operațiunilor</w:t>
            </w:r>
            <w:r w:rsidR="001D71B9" w:rsidRPr="006F5136">
              <w:rPr>
                <w:rFonts w:ascii="Times New Roman" w:eastAsia="Times New Roman" w:hAnsi="Times New Roman" w:cs="Times New Roman"/>
                <w:color w:val="000000" w:themeColor="text1"/>
                <w:sz w:val="18"/>
                <w:szCs w:val="18"/>
                <w:lang w:eastAsia="ro-MD"/>
              </w:rPr>
              <w:t xml:space="preserve"> de </w:t>
            </w:r>
            <w:r w:rsidR="001D71B9" w:rsidRPr="006F5136">
              <w:rPr>
                <w:rFonts w:ascii="Times New Roman" w:eastAsia="Times New Roman" w:hAnsi="Times New Roman" w:cs="Times New Roman"/>
                <w:sz w:val="18"/>
                <w:szCs w:val="18"/>
                <w:lang w:eastAsia="ro-MD"/>
              </w:rPr>
              <w:t>finanțare prin instrumente financiare și a </w:t>
            </w:r>
            <w:r w:rsidR="001D71B9" w:rsidRPr="006F5136">
              <w:rPr>
                <w:rFonts w:ascii="Times New Roman" w:eastAsia="Times New Roman" w:hAnsi="Times New Roman" w:cs="Times New Roman"/>
                <w:color w:val="000000" w:themeColor="text1"/>
                <w:sz w:val="18"/>
                <w:szCs w:val="18"/>
                <w:lang w:eastAsia="ro-MD"/>
              </w:rPr>
              <w:t xml:space="preserve">tranzacțiilor cu termen lung de decontare poate </w:t>
            </w:r>
            <w:r w:rsidR="001D71B9" w:rsidRPr="006F5136">
              <w:rPr>
                <w:rFonts w:ascii="Times New Roman" w:eastAsia="Times New Roman" w:hAnsi="Times New Roman" w:cs="Times New Roman"/>
                <w:sz w:val="18"/>
                <w:szCs w:val="18"/>
                <w:lang w:eastAsia="ro-MD"/>
              </w:rPr>
              <w:t>fi determinată</w:t>
            </w:r>
            <w:r w:rsidR="001D71B9" w:rsidRPr="006F5136">
              <w:rPr>
                <w:rFonts w:ascii="Times New Roman" w:eastAsia="Times New Roman" w:hAnsi="Times New Roman" w:cs="Times New Roman"/>
                <w:color w:val="000000" w:themeColor="text1"/>
                <w:sz w:val="18"/>
                <w:szCs w:val="18"/>
                <w:lang w:eastAsia="ro-MD"/>
              </w:rPr>
              <w:t xml:space="preserve"> în conformitate cu capitolul</w:t>
            </w:r>
            <w:r w:rsidR="001D71B9" w:rsidRPr="006F5136">
              <w:rPr>
                <w:rFonts w:ascii="Times New Roman" w:eastAsia="Times New Roman" w:hAnsi="Times New Roman" w:cs="Times New Roman"/>
                <w:sz w:val="18"/>
                <w:szCs w:val="18"/>
                <w:lang w:eastAsia="ro-MD"/>
              </w:rPr>
              <w:t> </w:t>
            </w:r>
            <w:r w:rsidR="001D71B9" w:rsidRPr="006F5136">
              <w:rPr>
                <w:rFonts w:ascii="Times New Roman" w:eastAsia="Times New Roman" w:hAnsi="Times New Roman" w:cs="Times New Roman"/>
                <w:color w:val="000000" w:themeColor="text1"/>
                <w:sz w:val="18"/>
                <w:szCs w:val="18"/>
                <w:lang w:eastAsia="ro-MD"/>
              </w:rPr>
              <w:t>4</w:t>
            </w:r>
            <w:r w:rsidR="001D71B9" w:rsidRPr="006F5136">
              <w:rPr>
                <w:rFonts w:ascii="Times New Roman" w:eastAsia="Times New Roman" w:hAnsi="Times New Roman" w:cs="Times New Roman"/>
                <w:sz w:val="18"/>
                <w:szCs w:val="18"/>
                <w:lang w:eastAsia="ro-MD"/>
              </w:rPr>
              <w:t xml:space="preserve"> sau 6</w:t>
            </w:r>
            <w:r w:rsidR="001D71B9" w:rsidRPr="006F5136">
              <w:rPr>
                <w:rFonts w:ascii="Times New Roman" w:eastAsia="Times New Roman" w:hAnsi="Times New Roman" w:cs="Times New Roman"/>
                <w:color w:val="000000" w:themeColor="text1"/>
                <w:sz w:val="18"/>
                <w:szCs w:val="18"/>
                <w:lang w:eastAsia="ro-MD"/>
              </w:rPr>
              <w:t>.</w:t>
            </w:r>
          </w:p>
          <w:p w14:paraId="186C016E" w14:textId="77777777" w:rsidR="00D60858" w:rsidRPr="006F5136" w:rsidRDefault="00D60858" w:rsidP="005E4694">
            <w:pPr>
              <w:shd w:val="clear" w:color="auto" w:fill="FFFFFF"/>
              <w:spacing w:after="0" w:line="240" w:lineRule="auto"/>
              <w:rPr>
                <w:rFonts w:ascii="Times New Roman" w:eastAsia="Times New Roman" w:hAnsi="Times New Roman" w:cs="Times New Roman"/>
                <w:color w:val="000000" w:themeColor="text1"/>
                <w:sz w:val="18"/>
                <w:szCs w:val="18"/>
                <w:lang w:eastAsia="ro-MD"/>
              </w:rPr>
            </w:pPr>
          </w:p>
          <w:p w14:paraId="54EE2293" w14:textId="1B153EC4" w:rsidR="00395381" w:rsidRPr="006F5136" w:rsidRDefault="00395381" w:rsidP="005E4694">
            <w:pPr>
              <w:pStyle w:val="ti-art"/>
              <w:spacing w:before="0" w:after="0"/>
              <w:jc w:val="both"/>
              <w:rPr>
                <w:i w:val="0"/>
                <w:sz w:val="18"/>
                <w:szCs w:val="18"/>
              </w:rPr>
            </w:pPr>
          </w:p>
        </w:tc>
        <w:tc>
          <w:tcPr>
            <w:tcW w:w="1661" w:type="pct"/>
            <w:shd w:val="clear" w:color="auto" w:fill="auto"/>
          </w:tcPr>
          <w:p w14:paraId="3DDEB348" w14:textId="77777777" w:rsidR="00D60858" w:rsidRPr="006F5136" w:rsidRDefault="00B14E0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8</w:t>
            </w:r>
            <w:r w:rsidRPr="006F5136">
              <w:rPr>
                <w:rFonts w:ascii="Times New Roman" w:hAnsi="Times New Roman" w:cs="Times New Roman"/>
                <w:sz w:val="18"/>
                <w:szCs w:val="18"/>
                <w:vertAlign w:val="superscript"/>
                <w:lang w:val="ro-RO"/>
              </w:rPr>
              <w:t>1</w:t>
            </w:r>
            <w:r w:rsidRPr="006F5136">
              <w:rPr>
                <w:rFonts w:ascii="Times New Roman" w:hAnsi="Times New Roman" w:cs="Times New Roman"/>
                <w:sz w:val="18"/>
                <w:szCs w:val="18"/>
                <w:lang w:val="ro-RO"/>
              </w:rPr>
              <w:t>. Valoarea expunerii unui instrument financiar derivat prevăzut în anexa nr.1 la Regulamentul cu privire la tratamentul riscului de piaţă potrivit abordării standardizate, aprobat prin Hotărârea Comitetului executiv al Băncii Naţionale a Moldovei nr.114/2018, se determină în conformitate cu prevederile Regulamentului cu privire la tratamentul riscului de credit al contrapărţii pentru bănci, aprobat prin Hotărârea Comitetului executiv al Băncii Naţionale a Moldovei nr.102/2020, luându-se în considerare efectele contractelor de novaţie şi ale altor acorduri de compensare în scopul aplicării metodelor respective în conformitate cu prevederile regulamentului nominalizat.</w:t>
            </w:r>
            <w:r w:rsidR="00D60858" w:rsidRPr="006F5136">
              <w:rPr>
                <w:rFonts w:ascii="Times New Roman" w:hAnsi="Times New Roman" w:cs="Times New Roman"/>
                <w:sz w:val="18"/>
                <w:szCs w:val="18"/>
                <w:lang w:val="ro-RO"/>
              </w:rPr>
              <w:t xml:space="preserve"> </w:t>
            </w:r>
          </w:p>
          <w:p w14:paraId="7F74341D" w14:textId="22FF7957" w:rsidR="00395381" w:rsidRPr="006F5136" w:rsidRDefault="00D60858"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9. În cazul tranzacțiilor de răscumpărare, al operațiunilor de dare sau luare de valori mobiliare sau mărfuri cu împrumut, al tranzacțiilor cu termen lung de decontare și al tranzacțiilor de creditare în marjă, valoarea expunerii poate fi determinată în conformitate cu actul normativ al Băncii Naționale a Moldovei aferent tehnicilor de diminuare a riscului de credit utilizate de bănci.</w:t>
            </w:r>
          </w:p>
        </w:tc>
        <w:tc>
          <w:tcPr>
            <w:tcW w:w="503" w:type="pct"/>
          </w:tcPr>
          <w:p w14:paraId="28004C19" w14:textId="1915B3E1" w:rsidR="00395381" w:rsidRPr="006F5136" w:rsidRDefault="00B14E0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2E7435D2" w14:textId="71E30FAA" w:rsidR="00395381" w:rsidRPr="006F5136" w:rsidRDefault="00B14E0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 xml:space="preserve"> Regulamentul nr.111/2018</w:t>
            </w:r>
          </w:p>
        </w:tc>
      </w:tr>
      <w:tr w:rsidR="00B14E03" w:rsidRPr="006F5136" w14:paraId="4F2D7DF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2550DF5" w14:textId="371078A3" w:rsidR="00B14E03" w:rsidRPr="006F5136" w:rsidRDefault="00B14E03" w:rsidP="005E4694">
            <w:pPr>
              <w:pStyle w:val="ti-art"/>
              <w:spacing w:before="0" w:after="0"/>
              <w:jc w:val="both"/>
              <w:rPr>
                <w:i w:val="0"/>
                <w:sz w:val="18"/>
                <w:szCs w:val="18"/>
                <w:lang w:val="ro-RO"/>
              </w:rPr>
            </w:pPr>
            <w:r w:rsidRPr="006F5136">
              <w:rPr>
                <w:i w:val="0"/>
                <w:sz w:val="18"/>
                <w:szCs w:val="18"/>
                <w:lang w:val="ro-RO"/>
              </w:rPr>
              <w:t>(</w:t>
            </w:r>
            <w:r w:rsidR="006A1A4E" w:rsidRPr="006F5136">
              <w:rPr>
                <w:i w:val="0"/>
                <w:sz w:val="18"/>
                <w:szCs w:val="18"/>
                <w:lang w:val="ro-RO"/>
              </w:rPr>
              <w:t>7</w:t>
            </w:r>
            <w:r w:rsidRPr="006F5136">
              <w:rPr>
                <w:i w:val="0"/>
                <w:sz w:val="18"/>
                <w:szCs w:val="18"/>
                <w:lang w:val="ro-RO"/>
              </w:rPr>
              <w:t>)  În cazul în care</w:t>
            </w:r>
            <w:r w:rsidR="006A1A4E" w:rsidRPr="006F5136">
              <w:rPr>
                <w:sz w:val="18"/>
                <w:szCs w:val="18"/>
              </w:rPr>
              <w:t xml:space="preserve"> </w:t>
            </w:r>
            <w:r w:rsidR="006A1A4E" w:rsidRPr="006F5136">
              <w:rPr>
                <w:i w:val="0"/>
                <w:sz w:val="18"/>
                <w:szCs w:val="18"/>
                <w:lang w:val="ro-RO"/>
              </w:rPr>
              <w:t>expunerea este acoperită de</w:t>
            </w:r>
            <w:r w:rsidRPr="006F5136">
              <w:rPr>
                <w:i w:val="0"/>
                <w:sz w:val="18"/>
                <w:szCs w:val="18"/>
                <w:lang w:val="ro-RO"/>
              </w:rPr>
              <w:t xml:space="preserve"> o protecție finanțat</w:t>
            </w:r>
            <w:r w:rsidR="00D60858" w:rsidRPr="006F5136">
              <w:rPr>
                <w:i w:val="0"/>
                <w:sz w:val="18"/>
                <w:szCs w:val="18"/>
                <w:lang w:val="ro-RO"/>
              </w:rPr>
              <w:t>ă</w:t>
            </w:r>
            <w:r w:rsidRPr="006F5136">
              <w:rPr>
                <w:i w:val="0"/>
                <w:sz w:val="18"/>
                <w:szCs w:val="18"/>
                <w:lang w:val="ro-RO"/>
              </w:rPr>
              <w:t xml:space="preserve"> a creditului, valoarea expunerii aplicabilă elementului respectiv poate </w:t>
            </w:r>
            <w:r w:rsidR="00D60858" w:rsidRPr="006F5136">
              <w:rPr>
                <w:i w:val="0"/>
                <w:sz w:val="18"/>
                <w:szCs w:val="18"/>
                <w:lang w:val="ro-RO"/>
              </w:rPr>
              <w:t xml:space="preserve">fi </w:t>
            </w:r>
            <w:r w:rsidRPr="006F5136">
              <w:rPr>
                <w:i w:val="0"/>
                <w:sz w:val="18"/>
                <w:szCs w:val="18"/>
                <w:lang w:val="ro-RO"/>
              </w:rPr>
              <w:t>modifica</w:t>
            </w:r>
            <w:r w:rsidR="00D60858" w:rsidRPr="006F5136">
              <w:rPr>
                <w:i w:val="0"/>
                <w:sz w:val="18"/>
                <w:szCs w:val="18"/>
                <w:lang w:val="ro-RO"/>
              </w:rPr>
              <w:t>tă</w:t>
            </w:r>
            <w:r w:rsidRPr="006F5136">
              <w:rPr>
                <w:i w:val="0"/>
                <w:sz w:val="18"/>
                <w:szCs w:val="18"/>
                <w:lang w:val="ro-RO"/>
              </w:rPr>
              <w:t xml:space="preserve"> în conformitate cu capitolul 4.</w:t>
            </w:r>
          </w:p>
        </w:tc>
        <w:tc>
          <w:tcPr>
            <w:tcW w:w="1661" w:type="pct"/>
            <w:shd w:val="clear" w:color="auto" w:fill="auto"/>
          </w:tcPr>
          <w:p w14:paraId="36739D3C" w14:textId="77777777" w:rsidR="00B14E03" w:rsidRPr="006F5136" w:rsidRDefault="00B14E0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10. În cazul în care o expunere face obiectul protecției finanțate a creditului, valoarea expunerii aplicabilă elementului respectiv poate fi modificată în conformitate cu actul normativ al Băncii Naționale a Moldovei aferent tehnicilor de diminuare a riscului de credit utilizate de bănci.</w:t>
            </w:r>
          </w:p>
        </w:tc>
        <w:tc>
          <w:tcPr>
            <w:tcW w:w="503" w:type="pct"/>
          </w:tcPr>
          <w:p w14:paraId="0C63C55E" w14:textId="77777777" w:rsidR="00B14E03" w:rsidRPr="006F5136" w:rsidRDefault="00B14E0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p w14:paraId="6A974DF6" w14:textId="77777777" w:rsidR="00B14E03" w:rsidRPr="006F5136" w:rsidRDefault="00B14E03" w:rsidP="005E4694">
            <w:pPr>
              <w:spacing w:after="0" w:line="240" w:lineRule="auto"/>
              <w:jc w:val="both"/>
              <w:rPr>
                <w:rFonts w:ascii="Times New Roman" w:hAnsi="Times New Roman" w:cs="Times New Roman"/>
                <w:iCs/>
                <w:sz w:val="18"/>
                <w:szCs w:val="18"/>
                <w:lang w:val="ro-RO"/>
              </w:rPr>
            </w:pPr>
          </w:p>
        </w:tc>
        <w:tc>
          <w:tcPr>
            <w:tcW w:w="912" w:type="pct"/>
          </w:tcPr>
          <w:p w14:paraId="4996B3A7" w14:textId="11E97483" w:rsidR="00B14E03" w:rsidRPr="006F5136" w:rsidRDefault="00B14E0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8F60BA" w:rsidRPr="006F5136" w14:paraId="666E88D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BEEA1A3" w14:textId="77777777" w:rsidR="008F60BA" w:rsidRPr="006F5136" w:rsidRDefault="008F60BA" w:rsidP="005E4694">
            <w:pPr>
              <w:pStyle w:val="ti-art"/>
              <w:spacing w:before="0" w:after="0"/>
              <w:jc w:val="both"/>
              <w:rPr>
                <w:i w:val="0"/>
                <w:sz w:val="18"/>
                <w:szCs w:val="18"/>
                <w:lang w:val="ro-RO"/>
              </w:rPr>
            </w:pPr>
            <w:r w:rsidRPr="006F5136">
              <w:rPr>
                <w:i w:val="0"/>
                <w:sz w:val="18"/>
                <w:szCs w:val="18"/>
                <w:lang w:val="ro-RO"/>
              </w:rPr>
              <w:t>(8)   ABE elaborează proiecte de standarde tehnice de reglementare pentru a preciza:</w:t>
            </w:r>
          </w:p>
          <w:p w14:paraId="0B7C91E7" w14:textId="5687DC48" w:rsidR="008F60BA" w:rsidRPr="006F5136" w:rsidRDefault="008F60BA" w:rsidP="005E4694">
            <w:pPr>
              <w:pStyle w:val="ti-art"/>
              <w:spacing w:before="0" w:after="0"/>
              <w:jc w:val="both"/>
              <w:rPr>
                <w:i w:val="0"/>
                <w:sz w:val="18"/>
                <w:szCs w:val="18"/>
                <w:lang w:val="ro-RO"/>
              </w:rPr>
            </w:pPr>
            <w:r w:rsidRPr="006F5136">
              <w:rPr>
                <w:i w:val="0"/>
                <w:sz w:val="18"/>
                <w:szCs w:val="18"/>
                <w:lang w:val="ro-RO"/>
              </w:rPr>
              <w:t>(a) criteriile pe care instituțiile trebuie să le utilizeze pentru a încadra elementele extrabilanțiere, cu excepția elementelor deja incluse în anexa I, în benzile 1-5 menționate în anexa I;</w:t>
            </w:r>
          </w:p>
          <w:p w14:paraId="3461713B" w14:textId="2BC39E63" w:rsidR="008F60BA" w:rsidRPr="006F5136" w:rsidRDefault="008F60BA" w:rsidP="005E4694">
            <w:pPr>
              <w:pStyle w:val="ti-art"/>
              <w:spacing w:before="0" w:after="0"/>
              <w:jc w:val="both"/>
              <w:rPr>
                <w:i w:val="0"/>
                <w:sz w:val="18"/>
                <w:szCs w:val="18"/>
                <w:lang w:val="ro-RO"/>
              </w:rPr>
            </w:pPr>
            <w:r w:rsidRPr="006F5136">
              <w:rPr>
                <w:i w:val="0"/>
                <w:sz w:val="18"/>
                <w:szCs w:val="18"/>
                <w:lang w:val="ro-RO"/>
              </w:rPr>
              <w:t>(b) factorii care ar putea limita capacitatea instituțiilor de a anula angajamentele revocabile necondiționat menționate în anexa I;</w:t>
            </w:r>
          </w:p>
          <w:p w14:paraId="590BE105" w14:textId="1AA2746D" w:rsidR="008F60BA" w:rsidRPr="006F5136" w:rsidRDefault="008F60BA" w:rsidP="005E4694">
            <w:pPr>
              <w:pStyle w:val="ti-art"/>
              <w:spacing w:before="0" w:after="0"/>
              <w:jc w:val="both"/>
              <w:rPr>
                <w:i w:val="0"/>
                <w:sz w:val="18"/>
                <w:szCs w:val="18"/>
                <w:lang w:val="ro-RO"/>
              </w:rPr>
            </w:pPr>
            <w:r w:rsidRPr="006F5136">
              <w:rPr>
                <w:i w:val="0"/>
                <w:sz w:val="18"/>
                <w:szCs w:val="18"/>
                <w:lang w:val="ro-RO"/>
              </w:rPr>
              <w:t>(c) procesul de notificare a ABE cu privire la clasificarea de către instituții a altor elemente extrabilanțiere care prezintă riscuri similare cu cele menționate în anexa I.</w:t>
            </w:r>
          </w:p>
          <w:p w14:paraId="018824DB" w14:textId="77777777" w:rsidR="008F60BA" w:rsidRPr="006F5136" w:rsidRDefault="008F60BA" w:rsidP="005E4694">
            <w:pPr>
              <w:pStyle w:val="ti-art"/>
              <w:spacing w:before="0" w:after="0"/>
              <w:jc w:val="both"/>
              <w:rPr>
                <w:i w:val="0"/>
                <w:sz w:val="18"/>
                <w:szCs w:val="18"/>
                <w:lang w:val="ro-RO"/>
              </w:rPr>
            </w:pPr>
            <w:r w:rsidRPr="006F5136">
              <w:rPr>
                <w:i w:val="0"/>
                <w:sz w:val="18"/>
                <w:szCs w:val="18"/>
                <w:lang w:val="ro-RO"/>
              </w:rPr>
              <w:t>ABE prezintă Comisiei aceste proiecte de standarde tehnice de reglementare până la 10 iulie 2025.</w:t>
            </w:r>
          </w:p>
          <w:p w14:paraId="29A71695" w14:textId="4D66701C" w:rsidR="008F60BA" w:rsidRPr="006F5136" w:rsidRDefault="008F60BA" w:rsidP="005E4694">
            <w:pPr>
              <w:pStyle w:val="ti-art"/>
              <w:spacing w:before="0" w:after="0"/>
              <w:jc w:val="both"/>
              <w:rPr>
                <w:i w:val="0"/>
                <w:sz w:val="18"/>
                <w:szCs w:val="18"/>
                <w:lang w:val="ro-RO"/>
              </w:rPr>
            </w:pPr>
            <w:r w:rsidRPr="006F5136">
              <w:rPr>
                <w:i w:val="0"/>
                <w:sz w:val="18"/>
                <w:szCs w:val="18"/>
                <w:lang w:val="ro-RO"/>
              </w:rPr>
              <w:t>Comisia este împuternicită să completeze prezentul regulament prin adoptarea standardelor tehnice de reglementare menționate la primul paragraf din prezentul alineat în conformitate cu articolele 10-14 din Regulamentul (UE) nr. 1093/2010.</w:t>
            </w:r>
          </w:p>
        </w:tc>
        <w:tc>
          <w:tcPr>
            <w:tcW w:w="1661" w:type="pct"/>
            <w:shd w:val="clear" w:color="auto" w:fill="auto"/>
          </w:tcPr>
          <w:p w14:paraId="0A1A20A8" w14:textId="77777777" w:rsidR="008F60BA" w:rsidRPr="006F5136" w:rsidRDefault="008F60BA" w:rsidP="005E4694">
            <w:pPr>
              <w:spacing w:after="0" w:line="240" w:lineRule="auto"/>
              <w:jc w:val="both"/>
              <w:rPr>
                <w:rFonts w:ascii="Times New Roman" w:hAnsi="Times New Roman" w:cs="Times New Roman"/>
                <w:sz w:val="18"/>
                <w:szCs w:val="18"/>
                <w:lang w:val="ro-RO"/>
              </w:rPr>
            </w:pPr>
          </w:p>
        </w:tc>
        <w:tc>
          <w:tcPr>
            <w:tcW w:w="503" w:type="pct"/>
          </w:tcPr>
          <w:p w14:paraId="27638E4C" w14:textId="07D9E479" w:rsidR="008F60BA" w:rsidRPr="006F5136" w:rsidRDefault="008F60BA"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Norme UE neaplicabile</w:t>
            </w:r>
          </w:p>
        </w:tc>
        <w:tc>
          <w:tcPr>
            <w:tcW w:w="912" w:type="pct"/>
          </w:tcPr>
          <w:p w14:paraId="3156B51B" w14:textId="77777777" w:rsidR="008F60BA" w:rsidRPr="006F5136" w:rsidRDefault="008F60BA" w:rsidP="005E4694">
            <w:pPr>
              <w:spacing w:after="0" w:line="240" w:lineRule="auto"/>
              <w:jc w:val="both"/>
              <w:rPr>
                <w:rFonts w:ascii="Times New Roman" w:hAnsi="Times New Roman" w:cs="Times New Roman"/>
                <w:sz w:val="18"/>
                <w:szCs w:val="18"/>
                <w:lang w:val="ro-RO"/>
              </w:rPr>
            </w:pPr>
          </w:p>
        </w:tc>
      </w:tr>
      <w:tr w:rsidR="00BB2F88" w:rsidRPr="006F5136" w14:paraId="0E7C3DF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2AA07C4" w14:textId="77777777" w:rsidR="00395381" w:rsidRPr="006F5136" w:rsidRDefault="00395381" w:rsidP="005E4694">
            <w:pPr>
              <w:pStyle w:val="ti-art"/>
              <w:spacing w:before="0" w:after="0"/>
              <w:jc w:val="both"/>
              <w:rPr>
                <w:i w:val="0"/>
                <w:sz w:val="18"/>
                <w:szCs w:val="18"/>
                <w:lang w:val="ro-RO"/>
              </w:rPr>
            </w:pPr>
            <w:r w:rsidRPr="006F5136">
              <w:rPr>
                <w:sz w:val="18"/>
                <w:szCs w:val="18"/>
                <w:lang w:val="ro-RO"/>
              </w:rPr>
              <w:t>Articolul 112</w:t>
            </w:r>
            <w:r w:rsidRPr="006F5136">
              <w:rPr>
                <w:i w:val="0"/>
                <w:sz w:val="18"/>
                <w:szCs w:val="18"/>
                <w:lang w:val="ro-RO"/>
              </w:rPr>
              <w:t xml:space="preserve"> </w:t>
            </w:r>
            <w:r w:rsidRPr="006F5136">
              <w:rPr>
                <w:b/>
                <w:i w:val="0"/>
                <w:sz w:val="18"/>
                <w:szCs w:val="18"/>
                <w:lang w:val="ro-RO"/>
              </w:rPr>
              <w:t>Clase de expuneri</w:t>
            </w:r>
          </w:p>
          <w:p w14:paraId="2FF8D487"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Fiecare expunere este încadrată în una dintre următoarele clase de expuneri:</w:t>
            </w:r>
          </w:p>
          <w:p w14:paraId="77FE0F37"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(a) expuneri față de administrații centrale sau bănci centrale;</w:t>
            </w:r>
          </w:p>
          <w:p w14:paraId="689A9874"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(b) expuneri față de administrații regionale sau autorități locale;</w:t>
            </w:r>
          </w:p>
          <w:p w14:paraId="0DD79480"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(c) expuneri față de entități din sectorul public;</w:t>
            </w:r>
          </w:p>
          <w:p w14:paraId="2268BDBB"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(d) expuneri față de bănci de dezvoltare multilaterală;</w:t>
            </w:r>
          </w:p>
          <w:p w14:paraId="2743707F"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(e) expuneri față de organizații internaționale;</w:t>
            </w:r>
          </w:p>
          <w:p w14:paraId="613F8F80"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(f) expuneri față de instituții;</w:t>
            </w:r>
          </w:p>
          <w:p w14:paraId="5E7119C2"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(g) expuneri față de societăți;</w:t>
            </w:r>
          </w:p>
          <w:p w14:paraId="33F615C6"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(h) expuneri de tip retail;</w:t>
            </w:r>
          </w:p>
          <w:p w14:paraId="02AE0ECC" w14:textId="13860B74" w:rsidR="00395381" w:rsidRPr="006F5136" w:rsidRDefault="00395381" w:rsidP="005E4694">
            <w:pPr>
              <w:pStyle w:val="ti-art"/>
              <w:spacing w:before="0" w:after="0"/>
              <w:jc w:val="both"/>
              <w:rPr>
                <w:i w:val="0"/>
                <w:sz w:val="18"/>
                <w:szCs w:val="18"/>
                <w:lang w:val="ro-RO"/>
              </w:rPr>
            </w:pPr>
            <w:r w:rsidRPr="006F5136">
              <w:rPr>
                <w:i w:val="0"/>
                <w:sz w:val="18"/>
                <w:szCs w:val="18"/>
                <w:lang w:val="ro-RO"/>
              </w:rPr>
              <w:t>(i) expuneri garantate cu ipoteci asupra bunurilor imobile</w:t>
            </w:r>
            <w:r w:rsidR="00F157DE" w:rsidRPr="006F5136">
              <w:rPr>
                <w:sz w:val="18"/>
                <w:szCs w:val="18"/>
              </w:rPr>
              <w:t xml:space="preserve"> </w:t>
            </w:r>
            <w:r w:rsidR="00F157DE" w:rsidRPr="006F5136">
              <w:rPr>
                <w:i w:val="0"/>
                <w:sz w:val="18"/>
                <w:szCs w:val="18"/>
                <w:lang w:val="ro-RO"/>
              </w:rPr>
              <w:t>și expuneri ADC</w:t>
            </w:r>
            <w:r w:rsidRPr="006F5136">
              <w:rPr>
                <w:i w:val="0"/>
                <w:sz w:val="18"/>
                <w:szCs w:val="18"/>
                <w:lang w:val="ro-RO"/>
              </w:rPr>
              <w:t>;</w:t>
            </w:r>
          </w:p>
          <w:p w14:paraId="6A7A4E9F"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(j) expuneri în stare de nerambursare;</w:t>
            </w:r>
          </w:p>
          <w:p w14:paraId="71271189" w14:textId="0DF0DC5C" w:rsidR="00395381" w:rsidRPr="006F5136" w:rsidRDefault="00395381" w:rsidP="005E4694">
            <w:pPr>
              <w:pStyle w:val="ti-art"/>
              <w:spacing w:before="0" w:after="0"/>
              <w:jc w:val="both"/>
              <w:rPr>
                <w:i w:val="0"/>
                <w:sz w:val="18"/>
                <w:szCs w:val="18"/>
                <w:lang w:val="ro-RO"/>
              </w:rPr>
            </w:pPr>
            <w:r w:rsidRPr="006F5136">
              <w:rPr>
                <w:i w:val="0"/>
                <w:sz w:val="18"/>
                <w:szCs w:val="18"/>
                <w:lang w:val="ro-RO"/>
              </w:rPr>
              <w:t xml:space="preserve">(k) expuneri </w:t>
            </w:r>
            <w:r w:rsidR="00F157DE" w:rsidRPr="006F5136">
              <w:rPr>
                <w:i w:val="0"/>
                <w:sz w:val="18"/>
                <w:szCs w:val="18"/>
                <w:lang w:val="ro-RO"/>
              </w:rPr>
              <w:t>din datorii subordonate</w:t>
            </w:r>
            <w:r w:rsidRPr="006F5136">
              <w:rPr>
                <w:i w:val="0"/>
                <w:sz w:val="18"/>
                <w:szCs w:val="18"/>
                <w:lang w:val="ro-RO"/>
              </w:rPr>
              <w:t>;</w:t>
            </w:r>
          </w:p>
          <w:p w14:paraId="02D8BB92"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(l) expuneri sub formă obligațiunilor garantate;</w:t>
            </w:r>
          </w:p>
          <w:p w14:paraId="4FA07AD3"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(m) elemente reprezentând poziții din securitizare;</w:t>
            </w:r>
          </w:p>
          <w:p w14:paraId="5A94BFA1"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(n) expuneri față de instituții și societăți cu o evaluare de credit pe termen scurt;</w:t>
            </w:r>
          </w:p>
          <w:p w14:paraId="17885F34"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(o) expuneri sub formă de unități sau acțiuni deținute în organisme de plasament colectiv (OPC);</w:t>
            </w:r>
          </w:p>
          <w:p w14:paraId="65B90DF4"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(p) expuneri provenind din titluri de capital;</w:t>
            </w:r>
          </w:p>
          <w:p w14:paraId="07592F19"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(q) alte elemente.</w:t>
            </w:r>
          </w:p>
        </w:tc>
        <w:tc>
          <w:tcPr>
            <w:tcW w:w="1661" w:type="pct"/>
            <w:shd w:val="clear" w:color="auto" w:fill="auto"/>
          </w:tcPr>
          <w:p w14:paraId="7709D409"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11. Fiecare expunere trebuie să fie încadrată în una dintre următoarele clase de expuneri:</w:t>
            </w:r>
          </w:p>
          <w:p w14:paraId="4F185B00"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 expuneri față de administrații centrale sau bănci centrale;</w:t>
            </w:r>
          </w:p>
          <w:p w14:paraId="7467E10B"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2) expuneri față de administrații regionale sau autorități locale;</w:t>
            </w:r>
          </w:p>
          <w:p w14:paraId="50315F3A"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3) expuneri față de entități din sectorul public;</w:t>
            </w:r>
          </w:p>
          <w:p w14:paraId="111F1435"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4) expuneri față de bănci de dezvoltare multilaterală;</w:t>
            </w:r>
          </w:p>
          <w:p w14:paraId="7056EA73"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5) expuneri față de organizații internaționale;</w:t>
            </w:r>
          </w:p>
          <w:p w14:paraId="516D3CA1"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6) expuneri față de bănci;</w:t>
            </w:r>
          </w:p>
          <w:p w14:paraId="66BBDA42"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7) expuneri față de societăți;</w:t>
            </w:r>
          </w:p>
          <w:p w14:paraId="4FB0F3C9"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8) expuneri de tip retail;</w:t>
            </w:r>
          </w:p>
          <w:p w14:paraId="52854FBE"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9) expuneri garantate cu ipoteci asupra bunurilor imobile și expuneri ADC;</w:t>
            </w:r>
          </w:p>
          <w:p w14:paraId="5F51112D"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10) expuneri în stare de nerambursare;</w:t>
            </w:r>
          </w:p>
          <w:p w14:paraId="440CCD6E" w14:textId="75580A3A"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Subpunctul 11) abrogat;</w:t>
            </w:r>
          </w:p>
          <w:p w14:paraId="3A31C5E2"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11</w:t>
            </w:r>
            <w:r w:rsidRPr="006F5136">
              <w:rPr>
                <w:rFonts w:ascii="Times New Roman" w:hAnsi="Times New Roman" w:cs="Times New Roman"/>
                <w:sz w:val="18"/>
                <w:szCs w:val="18"/>
                <w:vertAlign w:val="superscript"/>
                <w:lang w:val="ro-RO"/>
              </w:rPr>
              <w:t>1</w:t>
            </w:r>
            <w:r w:rsidRPr="006F5136">
              <w:rPr>
                <w:rFonts w:ascii="Times New Roman" w:hAnsi="Times New Roman" w:cs="Times New Roman"/>
                <w:sz w:val="18"/>
                <w:szCs w:val="18"/>
                <w:lang w:val="ro-RO"/>
              </w:rPr>
              <w:t>) expuneri din datorii subordonate;</w:t>
            </w:r>
          </w:p>
          <w:p w14:paraId="22814F89"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11</w:t>
            </w:r>
            <w:r w:rsidRPr="006F5136">
              <w:rPr>
                <w:rFonts w:ascii="Times New Roman" w:hAnsi="Times New Roman" w:cs="Times New Roman"/>
                <w:sz w:val="18"/>
                <w:szCs w:val="18"/>
                <w:vertAlign w:val="superscript"/>
                <w:lang w:val="ro-RO"/>
              </w:rPr>
              <w:t>2</w:t>
            </w:r>
            <w:r w:rsidRPr="006F5136">
              <w:rPr>
                <w:rFonts w:ascii="Times New Roman" w:hAnsi="Times New Roman" w:cs="Times New Roman"/>
                <w:sz w:val="18"/>
                <w:szCs w:val="18"/>
                <w:lang w:val="ro-RO"/>
              </w:rPr>
              <w:t>) expuneri sub forma obligațiunilor garantate;</w:t>
            </w:r>
          </w:p>
          <w:p w14:paraId="55D50BD7"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12) elemente reprezentând poziții din securitizare;</w:t>
            </w:r>
          </w:p>
          <w:p w14:paraId="69342579"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13) expuneri față de bănci și societăți cu o evaluare de credit pe termen scurt;</w:t>
            </w:r>
          </w:p>
          <w:p w14:paraId="108E8227"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14) expuneri sub formă de unități sau acțiuni deținute în OPC;</w:t>
            </w:r>
          </w:p>
          <w:p w14:paraId="4623DAEC" w14:textId="77777777" w:rsidR="00EE5740"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15) expuneri provenind din titluri de capital;</w:t>
            </w:r>
          </w:p>
          <w:p w14:paraId="036E8F1E" w14:textId="77777777" w:rsidR="00395381" w:rsidRPr="006F5136" w:rsidRDefault="00EE574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16) alte elemente.</w:t>
            </w:r>
          </w:p>
          <w:p w14:paraId="23809089" w14:textId="00EDC686" w:rsidR="00385C99" w:rsidRPr="006F5136" w:rsidRDefault="00385C99" w:rsidP="005E4694">
            <w:pPr>
              <w:spacing w:after="0" w:line="240" w:lineRule="auto"/>
              <w:jc w:val="both"/>
              <w:rPr>
                <w:rFonts w:ascii="Times New Roman" w:hAnsi="Times New Roman" w:cs="Times New Roman"/>
                <w:i/>
                <w:iCs/>
                <w:sz w:val="18"/>
                <w:szCs w:val="18"/>
                <w:lang w:val="ro-RO"/>
              </w:rPr>
            </w:pPr>
            <w:r w:rsidRPr="006F5136">
              <w:rPr>
                <w:rFonts w:ascii="Times New Roman" w:hAnsi="Times New Roman" w:cs="Times New Roman"/>
                <w:i/>
                <w:iCs/>
                <w:sz w:val="18"/>
                <w:szCs w:val="18"/>
                <w:lang w:val="ro-RO"/>
              </w:rPr>
              <w:t>Modificat prin Proiectul HCE al BNM privind modificarea Regulamentului nr.111/2018.</w:t>
            </w:r>
          </w:p>
        </w:tc>
        <w:tc>
          <w:tcPr>
            <w:tcW w:w="503" w:type="pct"/>
          </w:tcPr>
          <w:p w14:paraId="16358F12" w14:textId="1291BE3A" w:rsidR="00395381" w:rsidRPr="006F5136" w:rsidRDefault="00BB262C"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56FF453F" w14:textId="3AFC742C" w:rsidR="00B14E03"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p w14:paraId="1FBE5AF7" w14:textId="07EECE7E" w:rsidR="00395381" w:rsidRPr="006F5136" w:rsidRDefault="00395381" w:rsidP="005E4694">
            <w:pPr>
              <w:spacing w:after="0" w:line="240" w:lineRule="auto"/>
              <w:jc w:val="both"/>
              <w:rPr>
                <w:rFonts w:ascii="Times New Roman" w:hAnsi="Times New Roman" w:cs="Times New Roman"/>
                <w:iCs/>
                <w:sz w:val="18"/>
                <w:szCs w:val="18"/>
                <w:lang w:val="ro-RO"/>
              </w:rPr>
            </w:pPr>
          </w:p>
        </w:tc>
      </w:tr>
      <w:tr w:rsidR="00BB2F88" w:rsidRPr="006F5136" w14:paraId="2E5BB35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979516F" w14:textId="77777777" w:rsidR="00395381" w:rsidRPr="006F5136" w:rsidRDefault="00395381" w:rsidP="005E4694">
            <w:pPr>
              <w:pStyle w:val="ti-art"/>
              <w:spacing w:before="0" w:after="0"/>
              <w:jc w:val="both"/>
              <w:rPr>
                <w:i w:val="0"/>
                <w:sz w:val="18"/>
                <w:szCs w:val="18"/>
                <w:lang w:val="ro-RO"/>
              </w:rPr>
            </w:pPr>
            <w:r w:rsidRPr="006F5136">
              <w:rPr>
                <w:sz w:val="18"/>
                <w:szCs w:val="18"/>
                <w:lang w:val="ro-RO"/>
              </w:rPr>
              <w:t>Articolul 113</w:t>
            </w:r>
            <w:r w:rsidRPr="006F5136">
              <w:rPr>
                <w:i w:val="0"/>
                <w:sz w:val="18"/>
                <w:szCs w:val="18"/>
                <w:lang w:val="ro-RO"/>
              </w:rPr>
              <w:t xml:space="preserve"> </w:t>
            </w:r>
            <w:r w:rsidRPr="006F5136">
              <w:rPr>
                <w:b/>
                <w:i w:val="0"/>
                <w:sz w:val="18"/>
                <w:szCs w:val="18"/>
                <w:lang w:val="ro-RO"/>
              </w:rPr>
              <w:t>Calculul cuantumurilor ponderate la risc ale expunerilor</w:t>
            </w:r>
          </w:p>
          <w:p w14:paraId="37724120" w14:textId="77777777" w:rsidR="0039354F" w:rsidRPr="006F5136" w:rsidRDefault="0039354F" w:rsidP="005E4694">
            <w:pPr>
              <w:pStyle w:val="ti-art"/>
              <w:spacing w:before="0" w:after="0"/>
              <w:jc w:val="both"/>
              <w:rPr>
                <w:i w:val="0"/>
                <w:sz w:val="18"/>
                <w:szCs w:val="18"/>
                <w:lang w:val="ro-RO"/>
              </w:rPr>
            </w:pPr>
            <w:r w:rsidRPr="006F5136">
              <w:rPr>
                <w:i w:val="0"/>
                <w:sz w:val="18"/>
                <w:szCs w:val="18"/>
                <w:lang w:val="ro-RO"/>
              </w:rPr>
              <w:t>▼M17</w:t>
            </w:r>
          </w:p>
          <w:p w14:paraId="74F1256B" w14:textId="707863BF" w:rsidR="00395381" w:rsidRPr="006F5136" w:rsidRDefault="0039354F" w:rsidP="005E4694">
            <w:pPr>
              <w:pStyle w:val="ti-art"/>
              <w:spacing w:before="0" w:after="0"/>
              <w:jc w:val="both"/>
              <w:rPr>
                <w:i w:val="0"/>
                <w:sz w:val="18"/>
                <w:szCs w:val="18"/>
                <w:lang w:val="ro-RO"/>
              </w:rPr>
            </w:pPr>
            <w:r w:rsidRPr="006F5136">
              <w:rPr>
                <w:i w:val="0"/>
                <w:sz w:val="18"/>
                <w:szCs w:val="18"/>
                <w:lang w:val="ro-RO"/>
              </w:rPr>
              <w:t>(1)   Pentru a calcula cuantumurile ponderate la risc ale expunerilor, se aplică ponderi de risc tuturor expunerilor, cu excepția cazului în care respectivele expuneri sunt deduse din fondurile proprii sau sunt supuse tratamentului prevăzut la articolul 72e alineatul (5) primul paragraf, în conformitate cu dispozițiile din secțiunea 2 din prezentul regulament. Ponderile de risc aplicate depind de clasa în care este încadrată fiecare expunere și, în conformitate cu secțiunea 2, de calitatea creditului. Calitatea creditului poate fi stabilită prin raportare la evaluările de credit emise de ECAI sau la evaluările de credit emise de agențiile de creditare a exportului, în conformitate cu secțiunea 3. Cu excepția expunerilor încadrate în clasele de expuneri prevăzute la articolul 112 literele (a), (b), (c) și (e) din prezentul regulament, în cazul în care evaluarea efectuată în conformitate cu articolul 79 litera (b) din Directiva 2013/36/UE reflectă caracteristici de risc mai ridicat decât cele implicate de nivelul de calitate a creditului în care ar urma să fie încadrată expunerea pe baza evaluării aplicabile de credit emise de ECAI desemnată sau de agenția de creditare a exportului, instituția atribuie o pondere de risc cu cel puțin un nivel de calitate a creditului mai mare decât ponderea de risc pe care o implică evaluarea de credit emisă de ECAI desemnată sau de agenția de creditare a exportului.</w:t>
            </w:r>
          </w:p>
        </w:tc>
        <w:tc>
          <w:tcPr>
            <w:tcW w:w="1661" w:type="pct"/>
            <w:shd w:val="clear" w:color="auto" w:fill="auto"/>
          </w:tcPr>
          <w:p w14:paraId="37F803E4" w14:textId="77777777"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Secțiunea a 2-a. Calculul valorilor expunerilor ponderate la risc</w:t>
            </w:r>
          </w:p>
          <w:p w14:paraId="40BA22C9" w14:textId="77777777"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 xml:space="preserve">12. Pentru a calcula valorile ponderate la risc ale expunerilor, ponderile de risc se aplică tuturor expunerilor în conformitate cu prevederile capitolului IV, dacă respectivele expuneri nu sunt deduse din fondurile proprii. </w:t>
            </w:r>
          </w:p>
          <w:p w14:paraId="3FD55482" w14:textId="77777777"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 xml:space="preserve">13. Ponderile de risc aplicate depind de clasa de expuneri în care este încadrată fiecare expunere și, în conformitate cu capitolul IV, de calitatea creditului. </w:t>
            </w:r>
          </w:p>
          <w:p w14:paraId="7617D0BF" w14:textId="77777777" w:rsidR="00395381" w:rsidRPr="006F5136" w:rsidRDefault="0039538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14. Calitatea creditului poate fi determinată prin raportare la evaluările de credit realizate de ECAI sau, în scopul capitolului IV secțiunea 1, la evaluările de credit realizate de agențiile de creditare a exportului, specificate la capitolul VI secțiunea a 2-a.</w:t>
            </w:r>
          </w:p>
        </w:tc>
        <w:tc>
          <w:tcPr>
            <w:tcW w:w="503" w:type="pct"/>
          </w:tcPr>
          <w:p w14:paraId="0AB02135" w14:textId="7F848981" w:rsidR="00395381" w:rsidRPr="006F5136" w:rsidRDefault="0039354F"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w:t>
            </w:r>
            <w:r w:rsidR="00C36356" w:rsidRPr="006F5136">
              <w:rPr>
                <w:rFonts w:ascii="Times New Roman" w:hAnsi="Times New Roman" w:cs="Times New Roman"/>
                <w:iCs/>
                <w:sz w:val="18"/>
                <w:szCs w:val="18"/>
                <w:lang w:val="ro-RO"/>
              </w:rPr>
              <w:t>ompatibil</w:t>
            </w:r>
          </w:p>
        </w:tc>
        <w:tc>
          <w:tcPr>
            <w:tcW w:w="912" w:type="pct"/>
          </w:tcPr>
          <w:p w14:paraId="21F69E6F" w14:textId="2F653781" w:rsidR="00395381"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B14E03" w:rsidRPr="006F5136" w14:paraId="538FD18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2E6BCB6" w14:textId="77777777" w:rsidR="00B14E03" w:rsidRPr="006F5136" w:rsidRDefault="00B14E03" w:rsidP="005E4694">
            <w:pPr>
              <w:pStyle w:val="ti-art"/>
              <w:spacing w:before="0" w:after="0"/>
              <w:jc w:val="both"/>
              <w:rPr>
                <w:i w:val="0"/>
                <w:sz w:val="18"/>
                <w:szCs w:val="18"/>
                <w:lang w:val="ro-RO"/>
              </w:rPr>
            </w:pPr>
            <w:r w:rsidRPr="006F5136">
              <w:rPr>
                <w:i w:val="0"/>
                <w:sz w:val="18"/>
                <w:szCs w:val="18"/>
                <w:lang w:val="ro-RO"/>
              </w:rPr>
              <w:t>(2)  În vederea aplicării unei ponderi de risc în sensul alineatului (1), valoarea expunerii se multiplică cu ponderea de risc specificată sau determinată în conformitate cu secțiunea 2.</w:t>
            </w:r>
          </w:p>
        </w:tc>
        <w:tc>
          <w:tcPr>
            <w:tcW w:w="1661" w:type="pct"/>
            <w:shd w:val="clear" w:color="auto" w:fill="auto"/>
          </w:tcPr>
          <w:p w14:paraId="11A7C3EE" w14:textId="77777777" w:rsidR="00B14E03" w:rsidRPr="006F5136" w:rsidRDefault="00B14E0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15. Pentru a calcula valoarea ponderată la risc a unei expuneri, valoarea expunerii se multiplică cu ponderea de risc determinată în conformitate cu capitolul IV.</w:t>
            </w:r>
          </w:p>
        </w:tc>
        <w:tc>
          <w:tcPr>
            <w:tcW w:w="503" w:type="pct"/>
          </w:tcPr>
          <w:p w14:paraId="6C143010" w14:textId="77777777" w:rsidR="00B14E03" w:rsidRPr="006F5136" w:rsidRDefault="00B14E0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5D84D544" w14:textId="3435E1C8" w:rsidR="00B14E03"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B14E03" w:rsidRPr="006F5136" w14:paraId="31E8FF1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80D69AC" w14:textId="55901D58" w:rsidR="00B26935" w:rsidRPr="006F5136" w:rsidRDefault="00B14E03" w:rsidP="005E4694">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hAnsi="Times New Roman" w:cs="Times New Roman"/>
                <w:sz w:val="18"/>
                <w:szCs w:val="18"/>
                <w:lang w:val="ro-RO"/>
              </w:rPr>
              <w:t xml:space="preserve">(3)  </w:t>
            </w:r>
            <w:r w:rsidR="00B26935" w:rsidRPr="006F5136">
              <w:rPr>
                <w:rFonts w:ascii="Times New Roman" w:eastAsia="Times New Roman" w:hAnsi="Times New Roman" w:cs="Times New Roman"/>
                <w:color w:val="000000" w:themeColor="text1"/>
                <w:sz w:val="18"/>
                <w:szCs w:val="18"/>
                <w:lang w:eastAsia="ro-MD"/>
              </w:rPr>
              <w:t>În cazul în care o</w:t>
            </w:r>
            <w:r w:rsidR="00B26935" w:rsidRPr="006F5136">
              <w:rPr>
                <w:rFonts w:ascii="Times New Roman" w:eastAsia="Times New Roman" w:hAnsi="Times New Roman" w:cs="Times New Roman"/>
                <w:sz w:val="18"/>
                <w:szCs w:val="18"/>
                <w:lang w:eastAsia="ro-MD"/>
              </w:rPr>
              <w:t> </w:t>
            </w:r>
            <w:r w:rsidR="00B26935" w:rsidRPr="006F5136">
              <w:rPr>
                <w:rFonts w:ascii="Times New Roman" w:eastAsia="Times New Roman" w:hAnsi="Times New Roman" w:cs="Times New Roman"/>
                <w:color w:val="000000" w:themeColor="text1"/>
                <w:sz w:val="18"/>
                <w:szCs w:val="18"/>
                <w:lang w:eastAsia="ro-MD"/>
              </w:rPr>
              <w:t xml:space="preserve">expunere face obiectul protecției creditului, </w:t>
            </w:r>
            <w:r w:rsidR="00B26935" w:rsidRPr="006F5136">
              <w:rPr>
                <w:rFonts w:ascii="Times New Roman" w:eastAsia="Times New Roman" w:hAnsi="Times New Roman" w:cs="Times New Roman"/>
                <w:sz w:val="18"/>
                <w:szCs w:val="18"/>
                <w:lang w:eastAsia="ro-MD"/>
              </w:rPr>
              <w:t xml:space="preserve">valoarea expunerii sau </w:t>
            </w:r>
            <w:r w:rsidR="00B26935" w:rsidRPr="006F5136">
              <w:rPr>
                <w:rFonts w:ascii="Times New Roman" w:eastAsia="Times New Roman" w:hAnsi="Times New Roman" w:cs="Times New Roman"/>
                <w:color w:val="000000" w:themeColor="text1"/>
                <w:sz w:val="18"/>
                <w:szCs w:val="18"/>
                <w:lang w:eastAsia="ro-MD"/>
              </w:rPr>
              <w:t xml:space="preserve">ponderea de risc aplicabilă </w:t>
            </w:r>
            <w:r w:rsidR="00B26935" w:rsidRPr="006F5136">
              <w:rPr>
                <w:rFonts w:ascii="Times New Roman" w:eastAsia="Times New Roman" w:hAnsi="Times New Roman" w:cs="Times New Roman"/>
                <w:sz w:val="18"/>
                <w:szCs w:val="18"/>
                <w:lang w:eastAsia="ro-MD"/>
              </w:rPr>
              <w:t>expunerii respective, după caz,</w:t>
            </w:r>
            <w:r w:rsidR="00B26935" w:rsidRPr="006F5136">
              <w:rPr>
                <w:rFonts w:ascii="Times New Roman" w:eastAsia="Times New Roman" w:hAnsi="Times New Roman" w:cs="Times New Roman"/>
                <w:color w:val="000000" w:themeColor="text1"/>
                <w:sz w:val="18"/>
                <w:szCs w:val="18"/>
                <w:lang w:eastAsia="ro-MD"/>
              </w:rPr>
              <w:t xml:space="preserve"> poate </w:t>
            </w:r>
            <w:r w:rsidR="00B26935" w:rsidRPr="006F5136">
              <w:rPr>
                <w:rFonts w:ascii="Times New Roman" w:eastAsia="Times New Roman" w:hAnsi="Times New Roman" w:cs="Times New Roman"/>
                <w:sz w:val="18"/>
                <w:szCs w:val="18"/>
                <w:lang w:eastAsia="ro-MD"/>
              </w:rPr>
              <w:t>fi modificată</w:t>
            </w:r>
            <w:r w:rsidR="00B26935" w:rsidRPr="006F5136">
              <w:rPr>
                <w:rFonts w:ascii="Times New Roman" w:eastAsia="Times New Roman" w:hAnsi="Times New Roman" w:cs="Times New Roman"/>
                <w:color w:val="000000" w:themeColor="text1"/>
                <w:sz w:val="18"/>
                <w:szCs w:val="18"/>
                <w:lang w:eastAsia="ro-MD"/>
              </w:rPr>
              <w:t xml:space="preserve"> în conformitate cu </w:t>
            </w:r>
            <w:r w:rsidR="00B26935" w:rsidRPr="006F5136">
              <w:rPr>
                <w:rFonts w:ascii="Times New Roman" w:eastAsia="Times New Roman" w:hAnsi="Times New Roman" w:cs="Times New Roman"/>
                <w:sz w:val="18"/>
                <w:szCs w:val="18"/>
                <w:lang w:eastAsia="ro-MD"/>
              </w:rPr>
              <w:t xml:space="preserve">prezentul capitol și cu </w:t>
            </w:r>
            <w:r w:rsidR="00B26935" w:rsidRPr="006F5136">
              <w:rPr>
                <w:rFonts w:ascii="Times New Roman" w:eastAsia="Times New Roman" w:hAnsi="Times New Roman" w:cs="Times New Roman"/>
                <w:color w:val="000000" w:themeColor="text1"/>
                <w:sz w:val="18"/>
                <w:szCs w:val="18"/>
                <w:lang w:eastAsia="ro-MD"/>
              </w:rPr>
              <w:t>capitolul 4.</w:t>
            </w:r>
          </w:p>
          <w:p w14:paraId="059BB15C" w14:textId="77777777" w:rsidR="00B26935" w:rsidRPr="006F5136" w:rsidRDefault="00B26935" w:rsidP="005E4694">
            <w:pPr>
              <w:shd w:val="clear" w:color="auto" w:fill="FFFFFF"/>
              <w:spacing w:after="0" w:line="240" w:lineRule="auto"/>
              <w:rPr>
                <w:rFonts w:ascii="Times New Roman" w:eastAsia="Times New Roman" w:hAnsi="Times New Roman" w:cs="Times New Roman"/>
                <w:b/>
                <w:bCs/>
                <w:color w:val="000000" w:themeColor="text1"/>
                <w:sz w:val="18"/>
                <w:szCs w:val="18"/>
                <w:lang w:eastAsia="ro-MD"/>
              </w:rPr>
            </w:pPr>
            <w:hyperlink r:id="rId13" w:tooltip="32013R0575R(02): REPLACED" w:history="1">
              <w:r w:rsidRPr="006F5136">
                <w:rPr>
                  <w:rFonts w:ascii="Times New Roman" w:eastAsia="Times New Roman" w:hAnsi="Times New Roman" w:cs="Times New Roman"/>
                  <w:b/>
                  <w:bCs/>
                  <w:color w:val="000000" w:themeColor="text1"/>
                  <w:sz w:val="18"/>
                  <w:szCs w:val="18"/>
                  <w:lang w:eastAsia="ro-MD"/>
                </w:rPr>
                <w:t>▼C2</w:t>
              </w:r>
            </w:hyperlink>
          </w:p>
          <w:p w14:paraId="1559F000" w14:textId="40EFC54A" w:rsidR="00B14E03" w:rsidRPr="006F5136" w:rsidRDefault="00B14E03" w:rsidP="005E4694">
            <w:pPr>
              <w:pStyle w:val="ti-art"/>
              <w:spacing w:before="0" w:after="0"/>
              <w:jc w:val="both"/>
              <w:rPr>
                <w:i w:val="0"/>
                <w:sz w:val="18"/>
                <w:szCs w:val="18"/>
                <w:lang w:val="ro-RO"/>
              </w:rPr>
            </w:pPr>
          </w:p>
        </w:tc>
        <w:tc>
          <w:tcPr>
            <w:tcW w:w="1661" w:type="pct"/>
            <w:shd w:val="clear" w:color="auto" w:fill="auto"/>
          </w:tcPr>
          <w:p w14:paraId="3194EF1E" w14:textId="77777777" w:rsidR="00B14E03" w:rsidRPr="006F5136" w:rsidRDefault="00F42ACD"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16. În cazul în care o expunere face obiectul protecției creditului, valoarea expunerii sau ponderea de risc aplicabilă expunerii respective, după caz, poate fi modificată în conformitate cu prezentul regulament și cu actul normativ al Băncii Naționale a Moldovei aferent tehnicilor de diminuare a riscului de credit utilizate de bănci.</w:t>
            </w:r>
          </w:p>
          <w:p w14:paraId="0DFB6FE3" w14:textId="41EF2473" w:rsidR="00F42ACD" w:rsidRPr="006F5136" w:rsidRDefault="00F42ACD" w:rsidP="005E4694">
            <w:pPr>
              <w:spacing w:after="0" w:line="240" w:lineRule="auto"/>
              <w:jc w:val="both"/>
              <w:rPr>
                <w:rFonts w:ascii="Times New Roman" w:hAnsi="Times New Roman" w:cs="Times New Roman"/>
                <w:i/>
                <w:iCs/>
                <w:sz w:val="18"/>
                <w:szCs w:val="18"/>
                <w:lang w:val="ro-RO"/>
              </w:rPr>
            </w:pPr>
            <w:r w:rsidRPr="006F5136">
              <w:rPr>
                <w:rFonts w:ascii="Times New Roman" w:hAnsi="Times New Roman" w:cs="Times New Roman"/>
                <w:i/>
                <w:iCs/>
                <w:sz w:val="18"/>
                <w:szCs w:val="18"/>
                <w:lang w:val="ro-RO"/>
              </w:rPr>
              <w:t>Modificat prin Proiectul HCE al BNM privind modificarea Regulamentului nr.111/2018.</w:t>
            </w:r>
          </w:p>
        </w:tc>
        <w:tc>
          <w:tcPr>
            <w:tcW w:w="503" w:type="pct"/>
          </w:tcPr>
          <w:p w14:paraId="02001DAD" w14:textId="77777777" w:rsidR="00B14E03" w:rsidRPr="006F5136" w:rsidRDefault="00B14E0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597F30E4" w14:textId="7792C055" w:rsidR="00B14E03"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914DC9" w:rsidRPr="006F5136" w14:paraId="3395B0E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67"/>
        </w:trPr>
        <w:tc>
          <w:tcPr>
            <w:tcW w:w="1924" w:type="pct"/>
          </w:tcPr>
          <w:p w14:paraId="4A955153" w14:textId="77777777" w:rsidR="00914DC9" w:rsidRPr="006F5136" w:rsidRDefault="00914DC9" w:rsidP="00914DC9">
            <w:pPr>
              <w:pStyle w:val="ti-art"/>
              <w:spacing w:before="0" w:after="0"/>
              <w:jc w:val="both"/>
              <w:rPr>
                <w:i w:val="0"/>
                <w:sz w:val="18"/>
                <w:szCs w:val="18"/>
                <w:lang w:val="ro-RO"/>
              </w:rPr>
            </w:pPr>
            <w:r w:rsidRPr="006F5136">
              <w:rPr>
                <w:i w:val="0"/>
                <w:sz w:val="18"/>
                <w:szCs w:val="18"/>
                <w:lang w:val="ro-RO"/>
              </w:rPr>
              <w:t>(4)  În cazul expunerilor din securitizare, cuantumurile ponderate la risc ale expunerilor se calculează în conformitate cu capitolul 5.</w:t>
            </w:r>
          </w:p>
        </w:tc>
        <w:tc>
          <w:tcPr>
            <w:tcW w:w="1661" w:type="pct"/>
            <w:shd w:val="clear" w:color="auto" w:fill="auto"/>
          </w:tcPr>
          <w:p w14:paraId="76F2AE12" w14:textId="77777777"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80.</w:t>
            </w:r>
            <w:r w:rsidRPr="006F5136">
              <w:rPr>
                <w:rFonts w:ascii="Times New Roman" w:hAnsi="Times New Roman" w:cs="Times New Roman"/>
                <w:sz w:val="18"/>
                <w:szCs w:val="18"/>
              </w:rPr>
              <w:t xml:space="preserve"> </w:t>
            </w:r>
            <w:r w:rsidRPr="006F5136">
              <w:rPr>
                <w:rFonts w:ascii="Times New Roman" w:hAnsi="Times New Roman" w:cs="Times New Roman"/>
                <w:sz w:val="18"/>
                <w:szCs w:val="18"/>
                <w:lang w:val="ro-RO"/>
              </w:rPr>
              <w:t>Expunerilor aferente pozițiilor din securitizare  se determină în conformitate cu actele normative ale Băncii Naționale a Moldovei cu privire la tratamentul prudențial al securitizărilor.</w:t>
            </w:r>
          </w:p>
          <w:p w14:paraId="724CFCE5" w14:textId="3E370FB7" w:rsidR="00914DC9" w:rsidRPr="006F5136" w:rsidRDefault="00914DC9" w:rsidP="00914DC9">
            <w:pPr>
              <w:spacing w:after="0" w:line="240" w:lineRule="auto"/>
              <w:jc w:val="both"/>
              <w:rPr>
                <w:rFonts w:ascii="Times New Roman" w:hAnsi="Times New Roman" w:cs="Times New Roman"/>
                <w:i/>
                <w:iCs/>
                <w:sz w:val="18"/>
                <w:szCs w:val="18"/>
                <w:lang w:val="ro-RO"/>
              </w:rPr>
            </w:pPr>
            <w:r w:rsidRPr="006F5136">
              <w:rPr>
                <w:rFonts w:ascii="Times New Roman" w:hAnsi="Times New Roman" w:cs="Times New Roman"/>
                <w:i/>
                <w:iCs/>
                <w:sz w:val="18"/>
                <w:szCs w:val="18"/>
                <w:lang w:val="ro-RO"/>
              </w:rPr>
              <w:t>Modificat prin Proiectul HCE al BNM privind modificarea Regulamentului nr.111/2018.</w:t>
            </w:r>
          </w:p>
        </w:tc>
        <w:tc>
          <w:tcPr>
            <w:tcW w:w="503" w:type="pct"/>
          </w:tcPr>
          <w:p w14:paraId="0E8ED8AD" w14:textId="2F0614A2"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191B2583" w14:textId="17524C6B"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B14E03" w:rsidRPr="006F5136" w14:paraId="5E106FB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9"/>
        </w:trPr>
        <w:tc>
          <w:tcPr>
            <w:tcW w:w="1924" w:type="pct"/>
          </w:tcPr>
          <w:p w14:paraId="420B68F2" w14:textId="481B6DDB" w:rsidR="008A724D" w:rsidRPr="006F5136" w:rsidRDefault="00B14E03" w:rsidP="005E4694">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hAnsi="Times New Roman" w:cs="Times New Roman"/>
                <w:sz w:val="18"/>
                <w:szCs w:val="18"/>
                <w:lang w:val="ro-RO"/>
              </w:rPr>
              <w:t xml:space="preserve">(5)  </w:t>
            </w:r>
            <w:r w:rsidR="008A724D" w:rsidRPr="006F5136">
              <w:rPr>
                <w:rFonts w:ascii="Times New Roman" w:eastAsia="Times New Roman" w:hAnsi="Times New Roman" w:cs="Times New Roman"/>
                <w:sz w:val="18"/>
                <w:szCs w:val="18"/>
                <w:lang w:eastAsia="ro-MD"/>
              </w:rPr>
              <w:t xml:space="preserve">Valoarea expunerii aferente oricărui element </w:t>
            </w:r>
            <w:r w:rsidR="008A724D" w:rsidRPr="006F5136">
              <w:rPr>
                <w:rFonts w:ascii="Times New Roman" w:eastAsia="Times New Roman" w:hAnsi="Times New Roman" w:cs="Times New Roman"/>
                <w:color w:val="000000" w:themeColor="text1"/>
                <w:sz w:val="18"/>
                <w:szCs w:val="18"/>
                <w:lang w:eastAsia="ro-MD"/>
              </w:rPr>
              <w:t xml:space="preserve"> pentru care nu </w:t>
            </w:r>
            <w:r w:rsidR="008A724D" w:rsidRPr="006F5136">
              <w:rPr>
                <w:rFonts w:ascii="Times New Roman" w:eastAsia="Times New Roman" w:hAnsi="Times New Roman" w:cs="Times New Roman"/>
                <w:sz w:val="18"/>
                <w:szCs w:val="18"/>
                <w:lang w:eastAsia="ro-MD"/>
              </w:rPr>
              <w:t xml:space="preserve">se </w:t>
            </w:r>
            <w:r w:rsidR="008A724D" w:rsidRPr="006F5136">
              <w:rPr>
                <w:rFonts w:ascii="Times New Roman" w:eastAsia="Times New Roman" w:hAnsi="Times New Roman" w:cs="Times New Roman"/>
                <w:color w:val="000000" w:themeColor="text1"/>
                <w:sz w:val="18"/>
                <w:szCs w:val="18"/>
                <w:lang w:eastAsia="ro-MD"/>
              </w:rPr>
              <w:t xml:space="preserve">prevede </w:t>
            </w:r>
            <w:r w:rsidR="008A724D" w:rsidRPr="006F5136">
              <w:rPr>
                <w:rFonts w:ascii="Times New Roman" w:eastAsia="Times New Roman" w:hAnsi="Times New Roman" w:cs="Times New Roman"/>
                <w:sz w:val="18"/>
                <w:szCs w:val="18"/>
                <w:lang w:eastAsia="ro-MD"/>
              </w:rPr>
              <w:t>nicio</w:t>
            </w:r>
            <w:r w:rsidR="008A724D" w:rsidRPr="006F5136">
              <w:rPr>
                <w:rFonts w:ascii="Times New Roman" w:eastAsia="Times New Roman" w:hAnsi="Times New Roman" w:cs="Times New Roman"/>
                <w:color w:val="000000" w:themeColor="text1"/>
                <w:sz w:val="18"/>
                <w:szCs w:val="18"/>
                <w:lang w:eastAsia="ro-MD"/>
              </w:rPr>
              <w:t xml:space="preserve"> pondere de risc </w:t>
            </w:r>
            <w:r w:rsidR="008A724D" w:rsidRPr="006F5136">
              <w:rPr>
                <w:rFonts w:ascii="Times New Roman" w:eastAsia="Times New Roman" w:hAnsi="Times New Roman" w:cs="Times New Roman"/>
                <w:sz w:val="18"/>
                <w:szCs w:val="18"/>
                <w:lang w:eastAsia="ro-MD"/>
              </w:rPr>
              <w:t xml:space="preserve">în temeiul prezentului capitol primește o pondere de risc </w:t>
            </w:r>
            <w:r w:rsidR="008A724D" w:rsidRPr="006F5136">
              <w:rPr>
                <w:rFonts w:ascii="Times New Roman" w:eastAsia="Times New Roman" w:hAnsi="Times New Roman" w:cs="Times New Roman"/>
                <w:color w:val="000000" w:themeColor="text1"/>
                <w:sz w:val="18"/>
                <w:szCs w:val="18"/>
                <w:lang w:eastAsia="ro-MD"/>
              </w:rPr>
              <w:t>de</w:t>
            </w:r>
            <w:r w:rsidR="008A724D" w:rsidRPr="006F5136">
              <w:rPr>
                <w:rFonts w:ascii="Times New Roman" w:eastAsia="Times New Roman" w:hAnsi="Times New Roman" w:cs="Times New Roman"/>
                <w:sz w:val="18"/>
                <w:szCs w:val="18"/>
                <w:lang w:eastAsia="ro-MD"/>
              </w:rPr>
              <w:t> </w:t>
            </w:r>
            <w:r w:rsidR="008A724D" w:rsidRPr="006F5136">
              <w:rPr>
                <w:rFonts w:ascii="Times New Roman" w:eastAsia="Times New Roman" w:hAnsi="Times New Roman" w:cs="Times New Roman"/>
                <w:color w:val="000000" w:themeColor="text1"/>
                <w:sz w:val="18"/>
                <w:szCs w:val="18"/>
                <w:lang w:eastAsia="ro-MD"/>
              </w:rPr>
              <w:t>100 %.</w:t>
            </w:r>
          </w:p>
          <w:p w14:paraId="089EF38A" w14:textId="4AC5DCC3" w:rsidR="00B14E03" w:rsidRPr="006F5136" w:rsidRDefault="00B14E03" w:rsidP="005E4694">
            <w:pPr>
              <w:pStyle w:val="ti-art"/>
              <w:spacing w:before="0" w:after="0"/>
              <w:jc w:val="both"/>
              <w:rPr>
                <w:i w:val="0"/>
                <w:sz w:val="18"/>
                <w:szCs w:val="18"/>
              </w:rPr>
            </w:pPr>
          </w:p>
        </w:tc>
        <w:tc>
          <w:tcPr>
            <w:tcW w:w="1661" w:type="pct"/>
            <w:shd w:val="clear" w:color="auto" w:fill="auto"/>
          </w:tcPr>
          <w:p w14:paraId="5654150A" w14:textId="77777777" w:rsidR="00B14E03" w:rsidRPr="006F5136" w:rsidRDefault="00B14E0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17. În cazul expunerilor pentru care capitolul IV nu prevede o metodă de calcul, se aplică o pondere de risc de 100 %.</w:t>
            </w:r>
          </w:p>
        </w:tc>
        <w:tc>
          <w:tcPr>
            <w:tcW w:w="503" w:type="pct"/>
          </w:tcPr>
          <w:p w14:paraId="72B810DF" w14:textId="77777777" w:rsidR="00B14E03" w:rsidRPr="006F5136" w:rsidRDefault="00B14E0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1A6C3EF7" w14:textId="40A3F29D" w:rsidR="00B14E03"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B14E03" w:rsidRPr="006F5136" w14:paraId="0855C450"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18"/>
        </w:trPr>
        <w:tc>
          <w:tcPr>
            <w:tcW w:w="1924" w:type="pct"/>
          </w:tcPr>
          <w:p w14:paraId="2A65F8D5" w14:textId="21C56AE3" w:rsidR="00B14E03" w:rsidRPr="006F5136" w:rsidRDefault="00B14E03" w:rsidP="005E4694">
            <w:pPr>
              <w:pStyle w:val="ti-art"/>
              <w:spacing w:before="0" w:after="0"/>
              <w:jc w:val="both"/>
              <w:rPr>
                <w:i w:val="0"/>
                <w:sz w:val="18"/>
                <w:szCs w:val="18"/>
                <w:lang w:val="ro-RO"/>
              </w:rPr>
            </w:pPr>
            <w:r w:rsidRPr="006F5136">
              <w:rPr>
                <w:i w:val="0"/>
                <w:sz w:val="18"/>
                <w:szCs w:val="18"/>
                <w:lang w:val="ro-RO"/>
              </w:rPr>
              <w:t xml:space="preserve">(6)  </w:t>
            </w:r>
            <w:r w:rsidR="00B4720E" w:rsidRPr="006F5136">
              <w:rPr>
                <w:i w:val="0"/>
                <w:iCs w:val="0"/>
                <w:color w:val="000000" w:themeColor="text1"/>
                <w:sz w:val="18"/>
                <w:szCs w:val="18"/>
                <w:lang w:eastAsia="ro-MD"/>
              </w:rPr>
              <w:t>Cu excepția expunerilor care generează elemente de fonduri proprii de nivel</w:t>
            </w:r>
            <w:r w:rsidR="00B4720E" w:rsidRPr="006F5136">
              <w:rPr>
                <w:i w:val="0"/>
                <w:iCs w:val="0"/>
                <w:sz w:val="18"/>
                <w:szCs w:val="18"/>
                <w:lang w:eastAsia="ro-MD"/>
              </w:rPr>
              <w:t> </w:t>
            </w:r>
            <w:r w:rsidR="00B4720E" w:rsidRPr="006F5136">
              <w:rPr>
                <w:i w:val="0"/>
                <w:iCs w:val="0"/>
                <w:color w:val="000000" w:themeColor="text1"/>
                <w:sz w:val="18"/>
                <w:szCs w:val="18"/>
                <w:lang w:eastAsia="ro-MD"/>
              </w:rPr>
              <w:t>1 de bază, elemente de fonduri proprii de nivel 1 suplimentar sau elemente de fonduri proprii de nivel 2, o</w:t>
            </w:r>
            <w:r w:rsidR="00B4720E" w:rsidRPr="006F5136">
              <w:rPr>
                <w:i w:val="0"/>
                <w:iCs w:val="0"/>
                <w:sz w:val="18"/>
                <w:szCs w:val="18"/>
                <w:lang w:eastAsia="ro-MD"/>
              </w:rPr>
              <w:t> </w:t>
            </w:r>
            <w:r w:rsidR="00B4720E" w:rsidRPr="006F5136">
              <w:rPr>
                <w:i w:val="0"/>
                <w:iCs w:val="0"/>
                <w:color w:val="000000" w:themeColor="text1"/>
                <w:sz w:val="18"/>
                <w:szCs w:val="18"/>
                <w:lang w:eastAsia="ro-MD"/>
              </w:rPr>
              <w:t xml:space="preserve">instituție poate decide, sub rezerva aprobării prealabile de către autoritățile competente, să nu aplice cerințele prevăzute la </w:t>
            </w:r>
            <w:r w:rsidR="00B4720E" w:rsidRPr="006F5136">
              <w:rPr>
                <w:i w:val="0"/>
                <w:iCs w:val="0"/>
                <w:sz w:val="18"/>
                <w:szCs w:val="18"/>
                <w:lang w:eastAsia="ro-MD"/>
              </w:rPr>
              <w:t xml:space="preserve">alineatul (1) de la </w:t>
            </w:r>
            <w:r w:rsidR="00B4720E" w:rsidRPr="006F5136">
              <w:rPr>
                <w:i w:val="0"/>
                <w:iCs w:val="0"/>
                <w:color w:val="000000" w:themeColor="text1"/>
                <w:sz w:val="18"/>
                <w:szCs w:val="18"/>
                <w:lang w:eastAsia="ro-MD"/>
              </w:rPr>
              <w:t>prezentul articol pentru expunerile instituției respective față de o</w:t>
            </w:r>
            <w:r w:rsidR="00B4720E" w:rsidRPr="006F5136">
              <w:rPr>
                <w:i w:val="0"/>
                <w:iCs w:val="0"/>
                <w:sz w:val="18"/>
                <w:szCs w:val="18"/>
                <w:lang w:eastAsia="ro-MD"/>
              </w:rPr>
              <w:t> </w:t>
            </w:r>
            <w:r w:rsidR="00B4720E" w:rsidRPr="006F5136">
              <w:rPr>
                <w:i w:val="0"/>
                <w:iCs w:val="0"/>
                <w:color w:val="000000" w:themeColor="text1"/>
                <w:sz w:val="18"/>
                <w:szCs w:val="18"/>
                <w:lang w:eastAsia="ro-MD"/>
              </w:rPr>
              <w:t xml:space="preserve">contraparte care este întreprinderea-mamă, </w:t>
            </w:r>
            <w:r w:rsidR="00B4720E" w:rsidRPr="006F5136">
              <w:rPr>
                <w:i w:val="0"/>
                <w:iCs w:val="0"/>
                <w:sz w:val="18"/>
                <w:szCs w:val="18"/>
                <w:lang w:eastAsia="ro-MD"/>
              </w:rPr>
              <w:t>o </w:t>
            </w:r>
            <w:r w:rsidR="00B4720E" w:rsidRPr="006F5136">
              <w:rPr>
                <w:i w:val="0"/>
                <w:iCs w:val="0"/>
                <w:color w:val="000000" w:themeColor="text1"/>
                <w:sz w:val="18"/>
                <w:szCs w:val="18"/>
                <w:lang w:eastAsia="ro-MD"/>
              </w:rPr>
              <w:t>filială a</w:t>
            </w:r>
            <w:r w:rsidR="00B4720E" w:rsidRPr="006F5136">
              <w:rPr>
                <w:i w:val="0"/>
                <w:iCs w:val="0"/>
                <w:sz w:val="18"/>
                <w:szCs w:val="18"/>
                <w:lang w:eastAsia="ro-MD"/>
              </w:rPr>
              <w:t> acesteia, o filială a </w:t>
            </w:r>
            <w:r w:rsidR="00B4720E" w:rsidRPr="006F5136">
              <w:rPr>
                <w:i w:val="0"/>
                <w:iCs w:val="0"/>
                <w:color w:val="000000" w:themeColor="text1"/>
                <w:sz w:val="18"/>
                <w:szCs w:val="18"/>
                <w:lang w:eastAsia="ro-MD"/>
              </w:rPr>
              <w:t>întreprinderii</w:t>
            </w:r>
            <w:r w:rsidR="00B4720E" w:rsidRPr="006F5136">
              <w:rPr>
                <w:i w:val="0"/>
                <w:iCs w:val="0"/>
                <w:sz w:val="18"/>
                <w:szCs w:val="18"/>
                <w:lang w:eastAsia="ro-MD"/>
              </w:rPr>
              <w:t xml:space="preserve"> sale </w:t>
            </w:r>
            <w:r w:rsidR="00B4720E" w:rsidRPr="006F5136">
              <w:rPr>
                <w:i w:val="0"/>
                <w:iCs w:val="0"/>
                <w:color w:val="000000" w:themeColor="text1"/>
                <w:sz w:val="18"/>
                <w:szCs w:val="18"/>
                <w:lang w:eastAsia="ro-MD"/>
              </w:rPr>
              <w:t>mamă sau o</w:t>
            </w:r>
            <w:r w:rsidR="00B4720E" w:rsidRPr="006F5136">
              <w:rPr>
                <w:i w:val="0"/>
                <w:iCs w:val="0"/>
                <w:sz w:val="18"/>
                <w:szCs w:val="18"/>
                <w:lang w:eastAsia="ro-MD"/>
              </w:rPr>
              <w:t> </w:t>
            </w:r>
            <w:r w:rsidR="00B4720E" w:rsidRPr="006F5136">
              <w:rPr>
                <w:i w:val="0"/>
                <w:iCs w:val="0"/>
                <w:color w:val="000000" w:themeColor="text1"/>
                <w:sz w:val="18"/>
                <w:szCs w:val="18"/>
                <w:lang w:eastAsia="ro-MD"/>
              </w:rPr>
              <w:t xml:space="preserve">întreprindere legată </w:t>
            </w:r>
            <w:r w:rsidR="00B4720E" w:rsidRPr="006F5136">
              <w:rPr>
                <w:i w:val="0"/>
                <w:iCs w:val="0"/>
                <w:sz w:val="18"/>
                <w:szCs w:val="18"/>
                <w:lang w:eastAsia="ro-MD"/>
              </w:rPr>
              <w:t xml:space="preserve">de instituție </w:t>
            </w:r>
            <w:r w:rsidR="00B4720E" w:rsidRPr="006F5136">
              <w:rPr>
                <w:i w:val="0"/>
                <w:iCs w:val="0"/>
                <w:color w:val="000000" w:themeColor="text1"/>
                <w:sz w:val="18"/>
                <w:szCs w:val="18"/>
                <w:lang w:eastAsia="ro-MD"/>
              </w:rPr>
              <w:t>printr-o relație în sensul articolului</w:t>
            </w:r>
            <w:r w:rsidR="00B4720E" w:rsidRPr="006F5136">
              <w:rPr>
                <w:i w:val="0"/>
                <w:iCs w:val="0"/>
                <w:sz w:val="18"/>
                <w:szCs w:val="18"/>
                <w:lang w:eastAsia="ro-MD"/>
              </w:rPr>
              <w:t> 22</w:t>
            </w:r>
            <w:r w:rsidR="00B4720E" w:rsidRPr="006F5136">
              <w:rPr>
                <w:i w:val="0"/>
                <w:iCs w:val="0"/>
                <w:color w:val="000000" w:themeColor="text1"/>
                <w:sz w:val="18"/>
                <w:szCs w:val="18"/>
                <w:lang w:eastAsia="ro-MD"/>
              </w:rPr>
              <w:t xml:space="preserve"> alineatul</w:t>
            </w:r>
            <w:r w:rsidR="00B4720E" w:rsidRPr="006F5136">
              <w:rPr>
                <w:i w:val="0"/>
                <w:iCs w:val="0"/>
                <w:sz w:val="18"/>
                <w:szCs w:val="18"/>
                <w:lang w:eastAsia="ro-MD"/>
              </w:rPr>
              <w:t> (7</w:t>
            </w:r>
            <w:r w:rsidR="00B4720E" w:rsidRPr="006F5136">
              <w:rPr>
                <w:i w:val="0"/>
                <w:iCs w:val="0"/>
                <w:color w:val="000000" w:themeColor="text1"/>
                <w:sz w:val="18"/>
                <w:szCs w:val="18"/>
                <w:lang w:eastAsia="ro-MD"/>
              </w:rPr>
              <w:t>) din Directiva</w:t>
            </w:r>
            <w:r w:rsidR="00B4720E" w:rsidRPr="006F5136">
              <w:rPr>
                <w:i w:val="0"/>
                <w:iCs w:val="0"/>
                <w:sz w:val="18"/>
                <w:szCs w:val="18"/>
                <w:lang w:eastAsia="ro-MD"/>
              </w:rPr>
              <w:t> 2013/34/UE</w:t>
            </w:r>
            <w:r w:rsidR="00B4720E" w:rsidRPr="006F5136">
              <w:rPr>
                <w:i w:val="0"/>
                <w:iCs w:val="0"/>
                <w:color w:val="000000" w:themeColor="text1"/>
                <w:sz w:val="18"/>
                <w:szCs w:val="18"/>
                <w:lang w:eastAsia="ro-MD"/>
              </w:rPr>
              <w:t>. Autoritățile competente sunt împuternicite să acorde aprobarea dacă sunt îndeplinite următoarele condiții:</w:t>
            </w:r>
          </w:p>
          <w:p w14:paraId="2507BC40" w14:textId="77777777" w:rsidR="00B14E03" w:rsidRPr="006F5136" w:rsidRDefault="00B14E03" w:rsidP="005E4694">
            <w:pPr>
              <w:pStyle w:val="ti-art"/>
              <w:spacing w:before="0" w:after="0"/>
              <w:jc w:val="both"/>
              <w:rPr>
                <w:i w:val="0"/>
                <w:sz w:val="18"/>
                <w:szCs w:val="18"/>
                <w:lang w:val="ro-RO"/>
              </w:rPr>
            </w:pPr>
            <w:r w:rsidRPr="006F5136">
              <w:rPr>
                <w:i w:val="0"/>
                <w:sz w:val="18"/>
                <w:szCs w:val="18"/>
                <w:lang w:val="ro-RO"/>
              </w:rPr>
              <w:t>(a) contrapartea este o instituție, o instituție financiară sau o întreprindere prestatoare de servicii auxiliare care face obiectul unor cerințe prudențiale adecvate;</w:t>
            </w:r>
          </w:p>
          <w:p w14:paraId="34CDB7EC" w14:textId="77777777" w:rsidR="00B14E03" w:rsidRPr="006F5136" w:rsidRDefault="00B14E03" w:rsidP="005E4694">
            <w:pPr>
              <w:pStyle w:val="ti-art"/>
              <w:spacing w:before="0" w:after="0"/>
              <w:jc w:val="both"/>
              <w:rPr>
                <w:i w:val="0"/>
                <w:sz w:val="18"/>
                <w:szCs w:val="18"/>
                <w:lang w:val="ro-RO"/>
              </w:rPr>
            </w:pPr>
            <w:r w:rsidRPr="006F5136">
              <w:rPr>
                <w:i w:val="0"/>
                <w:sz w:val="18"/>
                <w:szCs w:val="18"/>
                <w:lang w:val="ro-RO"/>
              </w:rPr>
              <w:t>(b) contrapartea este inclusă în aceeași arie de consolidare ca și instituția, potrivit metodei consolidării globale;</w:t>
            </w:r>
          </w:p>
          <w:p w14:paraId="531595F3" w14:textId="77777777" w:rsidR="00B14E03" w:rsidRPr="006F5136" w:rsidRDefault="00B14E03" w:rsidP="005E4694">
            <w:pPr>
              <w:pStyle w:val="ti-art"/>
              <w:spacing w:before="0" w:after="0"/>
              <w:jc w:val="both"/>
              <w:rPr>
                <w:i w:val="0"/>
                <w:sz w:val="18"/>
                <w:szCs w:val="18"/>
                <w:lang w:val="ro-RO"/>
              </w:rPr>
            </w:pPr>
            <w:r w:rsidRPr="006F5136">
              <w:rPr>
                <w:i w:val="0"/>
                <w:sz w:val="18"/>
                <w:szCs w:val="18"/>
                <w:lang w:val="ro-RO"/>
              </w:rPr>
              <w:t>(c) contrapartea face obiectul acelorași proceduri de evaluare, de măsurare și de control al riscurilor ca și instituția;</w:t>
            </w:r>
          </w:p>
          <w:p w14:paraId="7E267479" w14:textId="77777777" w:rsidR="00B14E03" w:rsidRPr="006F5136" w:rsidRDefault="00B14E03" w:rsidP="005E4694">
            <w:pPr>
              <w:pStyle w:val="ti-art"/>
              <w:spacing w:before="0" w:after="0"/>
              <w:jc w:val="both"/>
              <w:rPr>
                <w:i w:val="0"/>
                <w:sz w:val="18"/>
                <w:szCs w:val="18"/>
                <w:lang w:val="ro-RO"/>
              </w:rPr>
            </w:pPr>
            <w:r w:rsidRPr="006F5136">
              <w:rPr>
                <w:i w:val="0"/>
                <w:sz w:val="18"/>
                <w:szCs w:val="18"/>
                <w:lang w:val="ro-RO"/>
              </w:rPr>
              <w:t>(d) contrapartea este situată în același stat membru ca și instituția;</w:t>
            </w:r>
          </w:p>
          <w:p w14:paraId="244F470F" w14:textId="77777777" w:rsidR="00B14E03" w:rsidRPr="006F5136" w:rsidRDefault="00B14E03" w:rsidP="005E4694">
            <w:pPr>
              <w:pStyle w:val="ti-art"/>
              <w:spacing w:before="0" w:after="0"/>
              <w:jc w:val="both"/>
              <w:rPr>
                <w:i w:val="0"/>
                <w:sz w:val="18"/>
                <w:szCs w:val="18"/>
                <w:lang w:val="ro-RO"/>
              </w:rPr>
            </w:pPr>
            <w:r w:rsidRPr="006F5136">
              <w:rPr>
                <w:i w:val="0"/>
                <w:sz w:val="18"/>
                <w:szCs w:val="18"/>
                <w:lang w:val="ro-RO"/>
              </w:rPr>
              <w:t xml:space="preserve">(e) nu există niciun impediment practic sau juridic semnificativ, actual sau potențial, în calea transferului prompt de fonduri proprii sau a rambursării rapide a datoriilor de către contraparte instituției. </w:t>
            </w:r>
          </w:p>
          <w:p w14:paraId="1065E318" w14:textId="77777777" w:rsidR="00B14E03" w:rsidRPr="006F5136" w:rsidRDefault="00B14E03" w:rsidP="005E4694">
            <w:pPr>
              <w:pStyle w:val="ti-art"/>
              <w:spacing w:before="0" w:after="0"/>
              <w:jc w:val="both"/>
              <w:rPr>
                <w:i w:val="0"/>
                <w:sz w:val="18"/>
                <w:szCs w:val="18"/>
                <w:lang w:val="ro-RO"/>
              </w:rPr>
            </w:pPr>
            <w:r w:rsidRPr="006F5136">
              <w:rPr>
                <w:i w:val="0"/>
                <w:sz w:val="18"/>
                <w:szCs w:val="18"/>
                <w:lang w:val="ro-RO"/>
              </w:rPr>
              <w:t>În cazul în care instituția este autorizată, în conformitate cu prezentul alineat, să nu aplice cerințele prevăzute la alineatul (1), aceasta poate atribui o pondere de risc de 0 %.</w:t>
            </w:r>
          </w:p>
        </w:tc>
        <w:tc>
          <w:tcPr>
            <w:tcW w:w="1661" w:type="pct"/>
            <w:shd w:val="clear" w:color="auto" w:fill="auto"/>
          </w:tcPr>
          <w:p w14:paraId="502ECEB9" w14:textId="77777777" w:rsidR="00B14E03" w:rsidRPr="006F5136" w:rsidRDefault="00B14E0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19. Cu excepția expunerilor care generează elemente de fonduri proprii de nivel 1 de bază, elemente de fonduri proprii de nivel 1 suplimentar sau elemente de fonduri proprii de nivel 2, o bancă poate decide, sub rezerva aprobării prealabile de către Banca Națională a Moldovei, să nu aplice cerințele prevăzute la punctul 12 pentru expunerile băncii respective față de o contraparte care este întreprinderea-mamă a acesteia, filiala acesteia, o filială a întreprinderii-mamă a acesteia.</w:t>
            </w:r>
          </w:p>
          <w:p w14:paraId="2EBD7DCD" w14:textId="77777777" w:rsidR="00B14E03" w:rsidRPr="006F5136" w:rsidRDefault="00B14E03" w:rsidP="005E4694">
            <w:pPr>
              <w:spacing w:after="0" w:line="240" w:lineRule="auto"/>
              <w:jc w:val="both"/>
              <w:rPr>
                <w:rFonts w:ascii="Times New Roman" w:hAnsi="Times New Roman" w:cs="Times New Roman"/>
                <w:sz w:val="18"/>
                <w:szCs w:val="18"/>
                <w:lang w:val="ro-RO"/>
              </w:rPr>
            </w:pPr>
          </w:p>
          <w:p w14:paraId="368FFF35" w14:textId="77777777" w:rsidR="00B14E03" w:rsidRPr="006F5136" w:rsidRDefault="00B14E0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 xml:space="preserve">20. Banca Națională a Moldovei acordă aprobarea, prevăzută la punctul 19, dacă sunt îndeplinite cumulativ următoarele condiții: </w:t>
            </w:r>
          </w:p>
          <w:p w14:paraId="4D3E7702" w14:textId="77777777" w:rsidR="00B14E03" w:rsidRPr="006F5136" w:rsidRDefault="00B14E0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1) contrapartea este o bancă, o societate de investiții, o societate financiară non-bancară sau o întreprindere prestatoare de servicii auxiliare care face obiectul unor cerințe prudențiale adecvate;</w:t>
            </w:r>
          </w:p>
          <w:p w14:paraId="70687100" w14:textId="77777777" w:rsidR="00B14E03" w:rsidRPr="006F5136" w:rsidRDefault="00B14E0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2) contrapartea este inclusă în aceeași arie de consolidare ca și banca, potrivit metodei consolidării globale;</w:t>
            </w:r>
          </w:p>
          <w:p w14:paraId="71C3EEB4" w14:textId="77777777" w:rsidR="00B14E03" w:rsidRPr="006F5136" w:rsidRDefault="00B14E0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3) contrapartea face obiectul acelorași proceduri de evaluare, de măsurare și de control al riscurilor ca și banca;</w:t>
            </w:r>
          </w:p>
          <w:p w14:paraId="04A96A34" w14:textId="77777777" w:rsidR="00B14E03" w:rsidRPr="006F5136" w:rsidRDefault="00B14E0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4) contrapartea este situată în Republica Moldova;</w:t>
            </w:r>
          </w:p>
          <w:p w14:paraId="725BF546" w14:textId="77777777" w:rsidR="00B14E03" w:rsidRPr="006F5136" w:rsidRDefault="00B14E0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5) nu există niciun impediment practic sau juridic semnificativ, actual sau potențial, pentru transferul prompt de fonduri proprii sau pentru rambursarea rapidă a datoriilor de către contraparte băncii.</w:t>
            </w:r>
          </w:p>
          <w:p w14:paraId="67C30502" w14:textId="77777777" w:rsidR="00B14E03" w:rsidRPr="006F5136" w:rsidRDefault="00B14E0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21. În cazul în care banca este autorizată, în conformitate cu punctele 19 și 20, să nu aplice cerințele prevăzute la punctul 12, aceasta atribuie expunerilor respective o pondere de risc de 0%.</w:t>
            </w:r>
          </w:p>
        </w:tc>
        <w:tc>
          <w:tcPr>
            <w:tcW w:w="503" w:type="pct"/>
          </w:tcPr>
          <w:p w14:paraId="3FA40F2B" w14:textId="77777777" w:rsidR="00B14E03" w:rsidRPr="006F5136" w:rsidRDefault="00B14E0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13E6BE9D" w14:textId="35366E7D" w:rsidR="00B14E03"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DD3C4C" w:rsidRPr="006F5136" w14:paraId="0CC37FB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18"/>
        </w:trPr>
        <w:tc>
          <w:tcPr>
            <w:tcW w:w="1924" w:type="pct"/>
          </w:tcPr>
          <w:p w14:paraId="063DCA85" w14:textId="77777777" w:rsidR="00DD3C4C" w:rsidRPr="006F5136" w:rsidRDefault="00DD3C4C" w:rsidP="005E4694">
            <w:pPr>
              <w:pStyle w:val="ti-art"/>
              <w:spacing w:before="0" w:after="0"/>
              <w:jc w:val="both"/>
              <w:rPr>
                <w:i w:val="0"/>
                <w:sz w:val="18"/>
                <w:szCs w:val="18"/>
                <w:lang w:val="ro-RO"/>
              </w:rPr>
            </w:pPr>
          </w:p>
        </w:tc>
        <w:tc>
          <w:tcPr>
            <w:tcW w:w="1661" w:type="pct"/>
            <w:shd w:val="clear" w:color="auto" w:fill="auto"/>
          </w:tcPr>
          <w:p w14:paraId="4797666B" w14:textId="77777777" w:rsidR="00DD3C4C" w:rsidRPr="006F5136" w:rsidRDefault="00DD3C4C"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22</w:t>
            </w:r>
            <w:r w:rsidRPr="006F5136">
              <w:rPr>
                <w:rFonts w:ascii="Times New Roman" w:hAnsi="Times New Roman" w:cs="Times New Roman"/>
                <w:sz w:val="18"/>
                <w:szCs w:val="18"/>
                <w:vertAlign w:val="superscript"/>
                <w:lang w:val="ro-RO"/>
              </w:rPr>
              <w:t>1</w:t>
            </w:r>
            <w:r w:rsidRPr="006F5136">
              <w:rPr>
                <w:rFonts w:ascii="Times New Roman" w:hAnsi="Times New Roman" w:cs="Times New Roman"/>
                <w:sz w:val="18"/>
                <w:szCs w:val="18"/>
                <w:lang w:val="ro-RO"/>
              </w:rPr>
              <w:t>. Termenul maxim de finalizare a procedurii de soluționare a solicitării adresate conform punctului 22 este de 30 de zile lucrătoare, calculat de la data depunerii cererii însoțite de toate documentele care trebuie prezentate Băncii Naționale a Moldovei. Termenul poate fi prelungit cu cel mult 10 zile, cu informarea ulterioară a băncii cu cel puțin 3 zile înainte de expirarea termenului de examinare a cererii.</w:t>
            </w:r>
          </w:p>
          <w:p w14:paraId="0B8F1302" w14:textId="4CA40958" w:rsidR="00DD3C4C" w:rsidRPr="006F5136" w:rsidRDefault="00DD3C4C" w:rsidP="005E4694">
            <w:pPr>
              <w:spacing w:after="0" w:line="240" w:lineRule="auto"/>
              <w:jc w:val="both"/>
              <w:rPr>
                <w:rFonts w:ascii="Times New Roman" w:hAnsi="Times New Roman" w:cs="Times New Roman"/>
                <w:i/>
                <w:iCs/>
                <w:sz w:val="18"/>
                <w:szCs w:val="18"/>
                <w:lang w:val="ro-RO"/>
              </w:rPr>
            </w:pPr>
            <w:r w:rsidRPr="006F5136">
              <w:rPr>
                <w:rFonts w:ascii="Times New Roman" w:hAnsi="Times New Roman" w:cs="Times New Roman"/>
                <w:i/>
                <w:iCs/>
                <w:sz w:val="18"/>
                <w:szCs w:val="18"/>
                <w:lang w:val="ro-RO"/>
              </w:rPr>
              <w:t>Proiectul HCE al BNM privind modificarea Regulamentului nr.111/2018</w:t>
            </w:r>
          </w:p>
        </w:tc>
        <w:tc>
          <w:tcPr>
            <w:tcW w:w="503" w:type="pct"/>
          </w:tcPr>
          <w:p w14:paraId="0AD8DA2B" w14:textId="47A0EB4A" w:rsidR="00DD3C4C" w:rsidRPr="006F5136" w:rsidRDefault="00914DC9" w:rsidP="005E4694">
            <w:pPr>
              <w:spacing w:after="0" w:line="240" w:lineRule="auto"/>
              <w:jc w:val="both"/>
              <w:rPr>
                <w:rFonts w:ascii="Times New Roman" w:hAnsi="Times New Roman" w:cs="Times New Roman"/>
                <w:iCs/>
                <w:sz w:val="18"/>
                <w:szCs w:val="18"/>
                <w:lang w:val="ro-RO"/>
              </w:rPr>
            </w:pPr>
            <w:r>
              <w:rPr>
                <w:rFonts w:ascii="Times New Roman" w:hAnsi="Times New Roman" w:cs="Times New Roman"/>
                <w:iCs/>
                <w:sz w:val="18"/>
                <w:szCs w:val="18"/>
                <w:lang w:val="ro-RO"/>
              </w:rPr>
              <w:t>Compatibil</w:t>
            </w:r>
          </w:p>
        </w:tc>
        <w:tc>
          <w:tcPr>
            <w:tcW w:w="912" w:type="pct"/>
          </w:tcPr>
          <w:p w14:paraId="0AF49787" w14:textId="77777777" w:rsidR="00DD3C4C" w:rsidRPr="006F5136" w:rsidRDefault="00DD3C4C"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Prevedere națională.</w:t>
            </w:r>
          </w:p>
          <w:p w14:paraId="3C365E11" w14:textId="35269F89" w:rsidR="00DD3C4C" w:rsidRPr="006F5136" w:rsidRDefault="00DD3C4C"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Are ca scop detalierea procedurii de aprobare.</w:t>
            </w:r>
          </w:p>
        </w:tc>
      </w:tr>
      <w:tr w:rsidR="00BB2F88" w:rsidRPr="006F5136" w14:paraId="2883C4E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9"/>
        </w:trPr>
        <w:tc>
          <w:tcPr>
            <w:tcW w:w="1924" w:type="pct"/>
          </w:tcPr>
          <w:p w14:paraId="09930215"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 xml:space="preserve">  (7)  Cu excepția expunerilor care generează elemente de fonduri proprii de nivel 1 de bază, elemente de fonduri proprii de nivel 1 suplimentar și elemente fonduri proprii de nivel 2, instituțiile pot, sub rezerva aprobării prealabile acordate de autoritățile competente, să nu aplice cerințele prevăzute la prezentul articol alineatul (1) pentru expunerile față de contrapărțile cu care instituțiile au intrat într-un sistem instituțional de protecție care constă într-un acord de stabilire contractuală sau legală a responsabilităților care protejează instituțiile respective și le asigură, în special, lichiditatea și solvabilitatea pentru a evita falimentul, în cazul în care este necesar. Autoritățile competente sunt împuternicite să acorde aprobarea dacă sunt îndeplinite următoarele condiții:</w:t>
            </w:r>
          </w:p>
          <w:p w14:paraId="67C390EE"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(a) cerințele prevăzute la alineatul (6) literele (a), (d) și (e) sunt respectate;</w:t>
            </w:r>
          </w:p>
          <w:p w14:paraId="549BE83B"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(b) acordurile încheiate asigură că sistemul instituțional de protecție poate acorda sprijinul necesar, în temeiul angajamentelor care stau la baza lui, din fonduri care îi sunt imediat disponibile;</w:t>
            </w:r>
          </w:p>
          <w:p w14:paraId="7C28FD3E"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(c) sistemul instituțional de protecție dispune de sisteme adecvate și uniformizate pentru monitorizarea și clasificarea riscurilor, oferind o imagine completă a situațiilor de risc ale tuturor membrilor, considerați individual, precum și a sistemului instituțional de protecție în ansamblul său, cu posibilitățile corespunzătoare de a-și exercita influența; sistemele în cauză permit monitorizarea adecvată a expunerilor în stare de nerambursare, în conformitate cu articolul 178 alineatul (1);</w:t>
            </w:r>
          </w:p>
          <w:p w14:paraId="4B881D3F"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(d) sistemul instituțional de protecție realizează propria analiză a riscurilor, pe care o comunică membrilor;</w:t>
            </w:r>
          </w:p>
          <w:p w14:paraId="3FD6DF1D"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(e) sistemul instituțional de protecție întocmește și publică anual un raport consolidat care cuprinde bilanțul, contul de profit și pierderi, raportul de situație și raportul privind riscurile cu privire la sistemul instituțional de protecție în ansamblul său, sau un raport care cuprinde bilanțul agregat, contul agregat de profit și pierderi, raportul de situație și raportul privind riscurile cu privire la sistemul instituțional de protecție în ansamblul său;</w:t>
            </w:r>
          </w:p>
          <w:p w14:paraId="313A4496"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(f) membrii sistemului instituțional de protecție sunt obligați să dea un preaviz de cel puțin 24 de luni în cazul în care doresc să pună capăt sistemului instituțional de protecție;</w:t>
            </w:r>
          </w:p>
          <w:p w14:paraId="2365FB4C"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(g) utilizarea multiplă a elementelor eligibile pentru calculul fondurilor proprii (denumită în continuare „multipla utilizare a fondurilor proprii”), precum și orice constituire inadecvată de fonduri proprii între membrii sistemului instituțional de protecție sunt excluse;</w:t>
            </w:r>
          </w:p>
          <w:p w14:paraId="1A664D0E"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(h) sistemul instituțional de protecție se bazează pe o largă participare a instituțiilor de credit cu un profil de activitate predominant omogen;</w:t>
            </w:r>
          </w:p>
          <w:p w14:paraId="61A6DFA3"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(i) adecvarea sistemelor menționate la literele (c) și (d) este aprobată și monitorizată la intervale regulate de către autoritățile competente relevante.</w:t>
            </w:r>
          </w:p>
          <w:p w14:paraId="59DE49FA"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În cazul în care instituția decide, în conformitate cu prezentul alineat, să nu aplice cerințele prevăzute la alineatul (1), aceasta poate atribui o pondere de risc de 0 %.</w:t>
            </w:r>
          </w:p>
        </w:tc>
        <w:tc>
          <w:tcPr>
            <w:tcW w:w="1661" w:type="pct"/>
            <w:shd w:val="clear" w:color="auto" w:fill="auto"/>
          </w:tcPr>
          <w:p w14:paraId="1A349DFA" w14:textId="77777777" w:rsidR="00395381" w:rsidRPr="006F5136" w:rsidRDefault="00395381" w:rsidP="005E4694">
            <w:pPr>
              <w:spacing w:after="0" w:line="240" w:lineRule="auto"/>
              <w:jc w:val="both"/>
              <w:rPr>
                <w:rFonts w:ascii="Times New Roman" w:hAnsi="Times New Roman" w:cs="Times New Roman"/>
                <w:sz w:val="18"/>
                <w:szCs w:val="18"/>
                <w:lang w:val="ro-RO"/>
              </w:rPr>
            </w:pPr>
          </w:p>
        </w:tc>
        <w:tc>
          <w:tcPr>
            <w:tcW w:w="503" w:type="pct"/>
          </w:tcPr>
          <w:p w14:paraId="6F9D4DAB" w14:textId="169EBBF7" w:rsidR="00395381" w:rsidRPr="006F5136" w:rsidRDefault="00B14E0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 xml:space="preserve">Norme UE </w:t>
            </w:r>
            <w:r w:rsidR="00BA159F" w:rsidRPr="006F5136">
              <w:rPr>
                <w:rFonts w:ascii="Times New Roman" w:hAnsi="Times New Roman" w:cs="Times New Roman"/>
                <w:iCs/>
                <w:sz w:val="18"/>
                <w:szCs w:val="18"/>
                <w:lang w:val="ro-RO"/>
              </w:rPr>
              <w:t>netranspuse</w:t>
            </w:r>
          </w:p>
        </w:tc>
        <w:tc>
          <w:tcPr>
            <w:tcW w:w="912" w:type="pct"/>
          </w:tcPr>
          <w:p w14:paraId="4F88977A" w14:textId="77777777"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Nu se transpune, deoarece legislația RM nu reglementează sistemele instituționale de protecție.</w:t>
            </w:r>
          </w:p>
          <w:p w14:paraId="00B98EC3" w14:textId="0AD2B0B0" w:rsidR="008C3E3E" w:rsidRPr="006F5136" w:rsidRDefault="008C3E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Urmează a fi transpuse ulterior.</w:t>
            </w:r>
          </w:p>
        </w:tc>
      </w:tr>
      <w:tr w:rsidR="00BB2F88" w:rsidRPr="006F5136" w14:paraId="686209F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4"/>
        </w:trPr>
        <w:tc>
          <w:tcPr>
            <w:tcW w:w="1924" w:type="pct"/>
          </w:tcPr>
          <w:p w14:paraId="3435F90C" w14:textId="77777777" w:rsidR="00395381" w:rsidRPr="006F5136" w:rsidRDefault="00395381" w:rsidP="005E4694">
            <w:pPr>
              <w:pStyle w:val="ti-art"/>
              <w:spacing w:before="0" w:after="0"/>
              <w:jc w:val="both"/>
              <w:rPr>
                <w:i w:val="0"/>
                <w:sz w:val="18"/>
                <w:szCs w:val="18"/>
                <w:lang w:val="ro-RO"/>
              </w:rPr>
            </w:pPr>
            <w:r w:rsidRPr="006F5136">
              <w:rPr>
                <w:i w:val="0"/>
                <w:sz w:val="18"/>
                <w:szCs w:val="18"/>
                <w:lang w:val="ro-RO"/>
              </w:rPr>
              <w:t xml:space="preserve">Secțiunea 2 </w:t>
            </w:r>
            <w:r w:rsidRPr="006F5136">
              <w:rPr>
                <w:b/>
                <w:i w:val="0"/>
                <w:sz w:val="18"/>
                <w:szCs w:val="18"/>
                <w:lang w:val="ro-RO"/>
              </w:rPr>
              <w:t>Ponderi de risc</w:t>
            </w:r>
          </w:p>
        </w:tc>
        <w:tc>
          <w:tcPr>
            <w:tcW w:w="1661" w:type="pct"/>
            <w:shd w:val="clear" w:color="auto" w:fill="auto"/>
          </w:tcPr>
          <w:p w14:paraId="38A257D3" w14:textId="77777777" w:rsidR="00395381" w:rsidRPr="006F5136" w:rsidRDefault="00395381" w:rsidP="005E4694">
            <w:pPr>
              <w:spacing w:after="0" w:line="240" w:lineRule="auto"/>
              <w:jc w:val="both"/>
              <w:rPr>
                <w:rFonts w:ascii="Times New Roman" w:hAnsi="Times New Roman" w:cs="Times New Roman"/>
                <w:sz w:val="18"/>
                <w:szCs w:val="18"/>
                <w:lang w:val="ro-RO"/>
              </w:rPr>
            </w:pPr>
          </w:p>
        </w:tc>
        <w:tc>
          <w:tcPr>
            <w:tcW w:w="503" w:type="pct"/>
          </w:tcPr>
          <w:p w14:paraId="470FFEA9" w14:textId="77777777" w:rsidR="00395381" w:rsidRPr="006F5136" w:rsidRDefault="00395381" w:rsidP="005E4694">
            <w:pPr>
              <w:spacing w:after="0" w:line="240" w:lineRule="auto"/>
              <w:jc w:val="both"/>
              <w:rPr>
                <w:rFonts w:ascii="Times New Roman" w:hAnsi="Times New Roman" w:cs="Times New Roman"/>
                <w:iCs/>
                <w:sz w:val="18"/>
                <w:szCs w:val="18"/>
                <w:lang w:val="ro-RO"/>
              </w:rPr>
            </w:pPr>
          </w:p>
        </w:tc>
        <w:tc>
          <w:tcPr>
            <w:tcW w:w="912" w:type="pct"/>
          </w:tcPr>
          <w:p w14:paraId="4BA97E66" w14:textId="5BC048B3" w:rsidR="00395381" w:rsidRPr="006F5136" w:rsidRDefault="00395381" w:rsidP="005E4694">
            <w:pPr>
              <w:spacing w:after="0" w:line="240" w:lineRule="auto"/>
              <w:jc w:val="both"/>
              <w:rPr>
                <w:rFonts w:ascii="Times New Roman" w:hAnsi="Times New Roman" w:cs="Times New Roman"/>
                <w:iCs/>
                <w:sz w:val="18"/>
                <w:szCs w:val="18"/>
                <w:lang w:val="ro-RO"/>
              </w:rPr>
            </w:pPr>
          </w:p>
        </w:tc>
      </w:tr>
      <w:tr w:rsidR="00B14E03" w:rsidRPr="006F5136" w14:paraId="39993CF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7"/>
        </w:trPr>
        <w:tc>
          <w:tcPr>
            <w:tcW w:w="1924" w:type="pct"/>
          </w:tcPr>
          <w:p w14:paraId="0E3FE01F" w14:textId="77777777" w:rsidR="00B14E03" w:rsidRPr="006F5136" w:rsidRDefault="00B14E03" w:rsidP="005E4694">
            <w:pPr>
              <w:pStyle w:val="ti-art"/>
              <w:spacing w:before="0" w:after="0"/>
              <w:jc w:val="both"/>
              <w:rPr>
                <w:b/>
                <w:i w:val="0"/>
                <w:sz w:val="18"/>
                <w:szCs w:val="18"/>
                <w:lang w:val="ro-RO"/>
              </w:rPr>
            </w:pPr>
            <w:r w:rsidRPr="006F5136">
              <w:rPr>
                <w:sz w:val="18"/>
                <w:szCs w:val="18"/>
                <w:lang w:val="ro-RO"/>
              </w:rPr>
              <w:t>Articolul 114</w:t>
            </w:r>
            <w:r w:rsidRPr="006F5136">
              <w:rPr>
                <w:i w:val="0"/>
                <w:sz w:val="18"/>
                <w:szCs w:val="18"/>
                <w:lang w:val="ro-RO"/>
              </w:rPr>
              <w:t xml:space="preserve"> </w:t>
            </w:r>
            <w:r w:rsidRPr="006F5136">
              <w:rPr>
                <w:b/>
                <w:i w:val="0"/>
                <w:sz w:val="18"/>
                <w:szCs w:val="18"/>
                <w:lang w:val="ro-RO"/>
              </w:rPr>
              <w:t>Expuneri față de administrații centrale sau bănci centrale</w:t>
            </w:r>
          </w:p>
          <w:p w14:paraId="4385CADF" w14:textId="77777777" w:rsidR="00B14E03" w:rsidRPr="006F5136" w:rsidRDefault="00B14E03" w:rsidP="005E4694">
            <w:pPr>
              <w:pStyle w:val="ti-art"/>
              <w:spacing w:before="0" w:after="0"/>
              <w:jc w:val="both"/>
              <w:rPr>
                <w:i w:val="0"/>
                <w:sz w:val="18"/>
                <w:szCs w:val="18"/>
                <w:lang w:val="ro-RO"/>
              </w:rPr>
            </w:pPr>
            <w:r w:rsidRPr="006F5136">
              <w:rPr>
                <w:i w:val="0"/>
                <w:sz w:val="18"/>
                <w:szCs w:val="18"/>
                <w:lang w:val="ro-RO"/>
              </w:rPr>
              <w:t>(1)  Expunerile față de administrații centrale și bănci centrale primesc o pondere de risc de 100 %, cu excepția cazului în care se aplică tratamentele prevăzute la alineatele (2)-(7).</w:t>
            </w:r>
          </w:p>
          <w:p w14:paraId="7EC49D08" w14:textId="77777777" w:rsidR="00B14E03" w:rsidRPr="006F5136" w:rsidRDefault="00B14E03" w:rsidP="005E4694">
            <w:pPr>
              <w:pStyle w:val="ti-art"/>
              <w:spacing w:before="0" w:after="0"/>
              <w:jc w:val="both"/>
              <w:rPr>
                <w:i w:val="0"/>
                <w:sz w:val="18"/>
                <w:szCs w:val="18"/>
                <w:lang w:val="ro-RO"/>
              </w:rPr>
            </w:pPr>
          </w:p>
        </w:tc>
        <w:tc>
          <w:tcPr>
            <w:tcW w:w="1661" w:type="pct"/>
            <w:shd w:val="clear" w:color="auto" w:fill="auto"/>
          </w:tcPr>
          <w:p w14:paraId="5E08506F" w14:textId="77777777" w:rsidR="00B14E03" w:rsidRPr="006F5136" w:rsidRDefault="00B14E0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Capitolul III. Ponderi de risc</w:t>
            </w:r>
          </w:p>
          <w:p w14:paraId="0002A32C" w14:textId="77777777" w:rsidR="00B14E03" w:rsidRPr="006F5136" w:rsidRDefault="00B14E0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 xml:space="preserve">Secțiunea 1. Expuneri față de administrații centrale sau bănci centrale </w:t>
            </w:r>
          </w:p>
          <w:p w14:paraId="003A713B" w14:textId="56BF5F64" w:rsidR="00B14E03" w:rsidRPr="006F5136" w:rsidRDefault="00B14E0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2</w:t>
            </w:r>
            <w:r w:rsidR="007E5FEC" w:rsidRPr="006F5136">
              <w:rPr>
                <w:rFonts w:ascii="Times New Roman" w:hAnsi="Times New Roman" w:cs="Times New Roman"/>
                <w:sz w:val="18"/>
                <w:szCs w:val="18"/>
                <w:lang w:val="ro-RO"/>
              </w:rPr>
              <w:t>9</w:t>
            </w:r>
            <w:r w:rsidRPr="006F5136">
              <w:rPr>
                <w:rFonts w:ascii="Times New Roman" w:hAnsi="Times New Roman" w:cs="Times New Roman"/>
                <w:sz w:val="18"/>
                <w:szCs w:val="18"/>
                <w:lang w:val="ro-RO"/>
              </w:rPr>
              <w:t>. Expunerile față de administrațiile centrale și băncile centrale primesc o pondere de risc de 100 %, cu excepția cazului în care se aplică prevederile punctelor 28-30.</w:t>
            </w:r>
          </w:p>
        </w:tc>
        <w:tc>
          <w:tcPr>
            <w:tcW w:w="503" w:type="pct"/>
          </w:tcPr>
          <w:p w14:paraId="5D169849" w14:textId="77777777" w:rsidR="00B14E03" w:rsidRPr="006F5136" w:rsidRDefault="00B14E0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46DD0481" w14:textId="2DA8B30C" w:rsidR="00B14E03"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B14E03" w:rsidRPr="006F5136" w14:paraId="61C6EFE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9F66553" w14:textId="77777777" w:rsidR="00B14E03" w:rsidRPr="006F5136" w:rsidRDefault="00B14E03"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(2)  Expunerile față de administrații centrale și bănci centrale pentru care este disponibilă o evaluare de credit efectuată de o instituție externă de evaluare a creditului desemnată primesc o pondere de risc în conformitate cu tabelul 1 care corespunde evaluării de credit emise de instituția externă de evaluare a creditului în conformitate cu articolul 136.</w:t>
            </w:r>
          </w:p>
          <w:p w14:paraId="5C99FE83" w14:textId="77777777" w:rsidR="00B14E03" w:rsidRPr="006F5136" w:rsidRDefault="00B14E03" w:rsidP="005E4694">
            <w:pPr>
              <w:pStyle w:val="CM4"/>
              <w:tabs>
                <w:tab w:val="left" w:pos="150"/>
              </w:tabs>
              <w:ind w:left="-43"/>
              <w:jc w:val="center"/>
              <w:rPr>
                <w:rFonts w:ascii="Times New Roman" w:hAnsi="Times New Roman"/>
                <w:iCs/>
                <w:sz w:val="18"/>
                <w:szCs w:val="18"/>
                <w:lang w:val="ro-RO"/>
              </w:rPr>
            </w:pPr>
            <w:r w:rsidRPr="006F5136">
              <w:rPr>
                <w:rFonts w:ascii="Times New Roman" w:hAnsi="Times New Roman"/>
                <w:iCs/>
                <w:sz w:val="18"/>
                <w:szCs w:val="18"/>
                <w:lang w:val="ro-RO"/>
              </w:rPr>
              <w:t>Tabelul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077"/>
              <w:gridCol w:w="447"/>
              <w:gridCol w:w="534"/>
              <w:gridCol w:w="534"/>
              <w:gridCol w:w="619"/>
              <w:gridCol w:w="619"/>
              <w:gridCol w:w="619"/>
            </w:tblGrid>
            <w:tr w:rsidR="00B14E03" w:rsidRPr="006F5136" w14:paraId="14041EAB" w14:textId="77777777" w:rsidTr="00977E5E">
              <w:trPr>
                <w:jc w:val="center"/>
              </w:trPr>
              <w:tc>
                <w:tcPr>
                  <w:tcW w:w="1264" w:type="dxa"/>
                  <w:shd w:val="clear" w:color="auto" w:fill="FFFFFF"/>
                  <w:tcMar>
                    <w:top w:w="30" w:type="dxa"/>
                    <w:left w:w="75" w:type="dxa"/>
                    <w:bottom w:w="30" w:type="dxa"/>
                    <w:right w:w="30" w:type="dxa"/>
                  </w:tcMar>
                  <w:hideMark/>
                </w:tcPr>
                <w:p w14:paraId="1AC5CDDF" w14:textId="77777777" w:rsidR="00B14E03" w:rsidRPr="006F5136" w:rsidRDefault="00B14E03"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Nivel de calitate a creditului</w:t>
                  </w:r>
                </w:p>
              </w:tc>
              <w:tc>
                <w:tcPr>
                  <w:tcW w:w="272" w:type="dxa"/>
                  <w:shd w:val="clear" w:color="auto" w:fill="FFFFFF"/>
                  <w:tcMar>
                    <w:top w:w="30" w:type="dxa"/>
                    <w:left w:w="75" w:type="dxa"/>
                    <w:bottom w:w="30" w:type="dxa"/>
                    <w:right w:w="30" w:type="dxa"/>
                  </w:tcMar>
                  <w:hideMark/>
                </w:tcPr>
                <w:p w14:paraId="3177952A" w14:textId="77777777" w:rsidR="00B14E03" w:rsidRPr="006F5136" w:rsidRDefault="00B14E03"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1</w:t>
                  </w:r>
                </w:p>
              </w:tc>
              <w:tc>
                <w:tcPr>
                  <w:tcW w:w="325" w:type="dxa"/>
                  <w:shd w:val="clear" w:color="auto" w:fill="FFFFFF"/>
                  <w:tcMar>
                    <w:top w:w="30" w:type="dxa"/>
                    <w:left w:w="75" w:type="dxa"/>
                    <w:bottom w:w="30" w:type="dxa"/>
                    <w:right w:w="30" w:type="dxa"/>
                  </w:tcMar>
                  <w:hideMark/>
                </w:tcPr>
                <w:p w14:paraId="53A24C17" w14:textId="77777777" w:rsidR="00B14E03" w:rsidRPr="006F5136" w:rsidRDefault="00B14E03"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2</w:t>
                  </w:r>
                </w:p>
              </w:tc>
              <w:tc>
                <w:tcPr>
                  <w:tcW w:w="325" w:type="dxa"/>
                  <w:shd w:val="clear" w:color="auto" w:fill="FFFFFF"/>
                  <w:tcMar>
                    <w:top w:w="30" w:type="dxa"/>
                    <w:left w:w="75" w:type="dxa"/>
                    <w:bottom w:w="30" w:type="dxa"/>
                    <w:right w:w="30" w:type="dxa"/>
                  </w:tcMar>
                  <w:hideMark/>
                </w:tcPr>
                <w:p w14:paraId="144DF469" w14:textId="77777777" w:rsidR="00B14E03" w:rsidRPr="006F5136" w:rsidRDefault="00B14E03"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3</w:t>
                  </w:r>
                </w:p>
              </w:tc>
              <w:tc>
                <w:tcPr>
                  <w:tcW w:w="377" w:type="dxa"/>
                  <w:shd w:val="clear" w:color="auto" w:fill="FFFFFF"/>
                  <w:tcMar>
                    <w:top w:w="30" w:type="dxa"/>
                    <w:left w:w="75" w:type="dxa"/>
                    <w:bottom w:w="30" w:type="dxa"/>
                    <w:right w:w="30" w:type="dxa"/>
                  </w:tcMar>
                  <w:hideMark/>
                </w:tcPr>
                <w:p w14:paraId="0DA622C2" w14:textId="77777777" w:rsidR="00B14E03" w:rsidRPr="006F5136" w:rsidRDefault="00B14E03"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4</w:t>
                  </w:r>
                </w:p>
              </w:tc>
              <w:tc>
                <w:tcPr>
                  <w:tcW w:w="377" w:type="dxa"/>
                  <w:shd w:val="clear" w:color="auto" w:fill="FFFFFF"/>
                  <w:tcMar>
                    <w:top w:w="30" w:type="dxa"/>
                    <w:left w:w="75" w:type="dxa"/>
                    <w:bottom w:w="30" w:type="dxa"/>
                    <w:right w:w="30" w:type="dxa"/>
                  </w:tcMar>
                  <w:hideMark/>
                </w:tcPr>
                <w:p w14:paraId="3990324F" w14:textId="77777777" w:rsidR="00B14E03" w:rsidRPr="006F5136" w:rsidRDefault="00B14E03"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5</w:t>
                  </w:r>
                </w:p>
              </w:tc>
              <w:tc>
                <w:tcPr>
                  <w:tcW w:w="377" w:type="dxa"/>
                  <w:shd w:val="clear" w:color="auto" w:fill="FFFFFF"/>
                  <w:tcMar>
                    <w:top w:w="30" w:type="dxa"/>
                    <w:left w:w="75" w:type="dxa"/>
                    <w:bottom w:w="30" w:type="dxa"/>
                    <w:right w:w="30" w:type="dxa"/>
                  </w:tcMar>
                  <w:hideMark/>
                </w:tcPr>
                <w:p w14:paraId="6BE6E5A0" w14:textId="77777777" w:rsidR="00B14E03" w:rsidRPr="006F5136" w:rsidRDefault="00B14E03"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6</w:t>
                  </w:r>
                </w:p>
              </w:tc>
            </w:tr>
            <w:tr w:rsidR="00B14E03" w:rsidRPr="006F5136" w14:paraId="57051014" w14:textId="77777777" w:rsidTr="00977E5E">
              <w:trPr>
                <w:jc w:val="center"/>
              </w:trPr>
              <w:tc>
                <w:tcPr>
                  <w:tcW w:w="1264" w:type="dxa"/>
                  <w:shd w:val="clear" w:color="auto" w:fill="FFFFFF"/>
                  <w:tcMar>
                    <w:top w:w="30" w:type="dxa"/>
                    <w:left w:w="75" w:type="dxa"/>
                    <w:bottom w:w="30" w:type="dxa"/>
                    <w:right w:w="30" w:type="dxa"/>
                  </w:tcMar>
                  <w:hideMark/>
                </w:tcPr>
                <w:p w14:paraId="7D193D31" w14:textId="77777777" w:rsidR="00B14E03" w:rsidRPr="006F5136" w:rsidRDefault="00B14E03"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Pondere de risc</w:t>
                  </w:r>
                </w:p>
              </w:tc>
              <w:tc>
                <w:tcPr>
                  <w:tcW w:w="272" w:type="dxa"/>
                  <w:shd w:val="clear" w:color="auto" w:fill="FFFFFF"/>
                  <w:tcMar>
                    <w:top w:w="30" w:type="dxa"/>
                    <w:left w:w="75" w:type="dxa"/>
                    <w:bottom w:w="30" w:type="dxa"/>
                    <w:right w:w="30" w:type="dxa"/>
                  </w:tcMar>
                  <w:hideMark/>
                </w:tcPr>
                <w:p w14:paraId="4C4D6E0C" w14:textId="77777777" w:rsidR="00B14E03" w:rsidRPr="006F5136" w:rsidRDefault="00B14E03"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0 %</w:t>
                  </w:r>
                </w:p>
              </w:tc>
              <w:tc>
                <w:tcPr>
                  <w:tcW w:w="325" w:type="dxa"/>
                  <w:shd w:val="clear" w:color="auto" w:fill="FFFFFF"/>
                  <w:tcMar>
                    <w:top w:w="30" w:type="dxa"/>
                    <w:left w:w="75" w:type="dxa"/>
                    <w:bottom w:w="30" w:type="dxa"/>
                    <w:right w:w="30" w:type="dxa"/>
                  </w:tcMar>
                  <w:hideMark/>
                </w:tcPr>
                <w:p w14:paraId="518395E7" w14:textId="77777777" w:rsidR="00B14E03" w:rsidRPr="006F5136" w:rsidRDefault="00B14E03"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20 %</w:t>
                  </w:r>
                </w:p>
              </w:tc>
              <w:tc>
                <w:tcPr>
                  <w:tcW w:w="325" w:type="dxa"/>
                  <w:shd w:val="clear" w:color="auto" w:fill="FFFFFF"/>
                  <w:tcMar>
                    <w:top w:w="30" w:type="dxa"/>
                    <w:left w:w="75" w:type="dxa"/>
                    <w:bottom w:w="30" w:type="dxa"/>
                    <w:right w:w="30" w:type="dxa"/>
                  </w:tcMar>
                  <w:hideMark/>
                </w:tcPr>
                <w:p w14:paraId="401AAD10" w14:textId="77777777" w:rsidR="00B14E03" w:rsidRPr="006F5136" w:rsidRDefault="00B14E03"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50 %</w:t>
                  </w:r>
                </w:p>
              </w:tc>
              <w:tc>
                <w:tcPr>
                  <w:tcW w:w="377" w:type="dxa"/>
                  <w:shd w:val="clear" w:color="auto" w:fill="FFFFFF"/>
                  <w:tcMar>
                    <w:top w:w="30" w:type="dxa"/>
                    <w:left w:w="75" w:type="dxa"/>
                    <w:bottom w:w="30" w:type="dxa"/>
                    <w:right w:w="30" w:type="dxa"/>
                  </w:tcMar>
                  <w:hideMark/>
                </w:tcPr>
                <w:p w14:paraId="5A6E191A" w14:textId="77777777" w:rsidR="00B14E03" w:rsidRPr="006F5136" w:rsidRDefault="00B14E03"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100 %</w:t>
                  </w:r>
                </w:p>
              </w:tc>
              <w:tc>
                <w:tcPr>
                  <w:tcW w:w="377" w:type="dxa"/>
                  <w:shd w:val="clear" w:color="auto" w:fill="FFFFFF"/>
                  <w:tcMar>
                    <w:top w:w="30" w:type="dxa"/>
                    <w:left w:w="75" w:type="dxa"/>
                    <w:bottom w:w="30" w:type="dxa"/>
                    <w:right w:w="30" w:type="dxa"/>
                  </w:tcMar>
                  <w:hideMark/>
                </w:tcPr>
                <w:p w14:paraId="4CC5CF90" w14:textId="77777777" w:rsidR="00B14E03" w:rsidRPr="006F5136" w:rsidRDefault="00B14E03"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100 %</w:t>
                  </w:r>
                </w:p>
              </w:tc>
              <w:tc>
                <w:tcPr>
                  <w:tcW w:w="377" w:type="dxa"/>
                  <w:shd w:val="clear" w:color="auto" w:fill="FFFFFF"/>
                  <w:tcMar>
                    <w:top w:w="30" w:type="dxa"/>
                    <w:left w:w="75" w:type="dxa"/>
                    <w:bottom w:w="30" w:type="dxa"/>
                    <w:right w:w="30" w:type="dxa"/>
                  </w:tcMar>
                  <w:hideMark/>
                </w:tcPr>
                <w:p w14:paraId="5BB8AE56" w14:textId="77777777" w:rsidR="00B14E03" w:rsidRPr="006F5136" w:rsidRDefault="00B14E03"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150 %</w:t>
                  </w:r>
                </w:p>
              </w:tc>
            </w:tr>
          </w:tbl>
          <w:p w14:paraId="7846AC40" w14:textId="77777777" w:rsidR="00B14E03" w:rsidRPr="006F5136" w:rsidRDefault="00B14E03" w:rsidP="005E4694">
            <w:pPr>
              <w:pStyle w:val="CM4"/>
              <w:tabs>
                <w:tab w:val="left" w:pos="150"/>
              </w:tabs>
              <w:ind w:left="-43"/>
              <w:jc w:val="both"/>
              <w:rPr>
                <w:rFonts w:ascii="Times New Roman" w:hAnsi="Times New Roman"/>
                <w:iCs/>
                <w:sz w:val="18"/>
                <w:szCs w:val="18"/>
                <w:lang w:val="ro-RO"/>
              </w:rPr>
            </w:pPr>
          </w:p>
          <w:p w14:paraId="4A4AFD0C" w14:textId="77777777" w:rsidR="00B14E03" w:rsidRPr="006F5136" w:rsidRDefault="00B14E03" w:rsidP="005E4694">
            <w:pPr>
              <w:pStyle w:val="ti-art"/>
              <w:spacing w:before="0" w:after="0"/>
              <w:jc w:val="both"/>
              <w:rPr>
                <w:i w:val="0"/>
                <w:sz w:val="18"/>
                <w:szCs w:val="18"/>
                <w:lang w:val="ro-RO"/>
              </w:rPr>
            </w:pPr>
          </w:p>
        </w:tc>
        <w:tc>
          <w:tcPr>
            <w:tcW w:w="1661" w:type="pct"/>
            <w:shd w:val="clear" w:color="auto" w:fill="auto"/>
          </w:tcPr>
          <w:p w14:paraId="1371C9A6" w14:textId="4D770A6C" w:rsidR="00B14E03" w:rsidRPr="006F5136" w:rsidRDefault="007E5FEC" w:rsidP="005E4694">
            <w:pPr>
              <w:pStyle w:val="CM4"/>
              <w:tabs>
                <w:tab w:val="left" w:pos="150"/>
              </w:tabs>
              <w:ind w:left="-43"/>
              <w:jc w:val="both"/>
              <w:rPr>
                <w:rFonts w:ascii="Times New Roman" w:hAnsi="Times New Roman"/>
                <w:i/>
                <w:iCs/>
                <w:sz w:val="18"/>
                <w:szCs w:val="18"/>
                <w:lang w:val="ro-RO"/>
              </w:rPr>
            </w:pPr>
            <w:r w:rsidRPr="006F5136">
              <w:rPr>
                <w:rFonts w:ascii="Times New Roman" w:hAnsi="Times New Roman"/>
                <w:sz w:val="18"/>
                <w:szCs w:val="18"/>
                <w:lang w:val="ro-RO" w:eastAsia="ru-RU"/>
              </w:rPr>
              <w:t>30</w:t>
            </w:r>
            <w:r w:rsidR="00B14E03" w:rsidRPr="006F5136">
              <w:rPr>
                <w:rFonts w:ascii="Times New Roman" w:hAnsi="Times New Roman"/>
                <w:sz w:val="18"/>
                <w:szCs w:val="18"/>
                <w:lang w:val="ro-RO" w:eastAsia="ru-RU"/>
              </w:rPr>
              <w:t xml:space="preserve">. </w:t>
            </w:r>
            <w:r w:rsidRPr="006F5136">
              <w:rPr>
                <w:rFonts w:ascii="Times New Roman" w:hAnsi="Times New Roman"/>
                <w:sz w:val="18"/>
                <w:szCs w:val="18"/>
                <w:lang w:val="ro-RO" w:eastAsia="ru-RU"/>
              </w:rPr>
              <w:t>Sub rezerva prevederilor din punctele 31 și 33, expunerile față de administrațiile centrale și băncile centrale, pentru care este disponibilă o evaluare de credit realizată de o ECAI desemnată, primesc o pondere de risc în conformitate cu tabelul nr.1 care corespunde evaluării de credit realizate de ECAI, conform concordanței efectuate de Banca Națională a Moldovei în baza punctului 100.</w:t>
            </w:r>
          </w:p>
          <w:p w14:paraId="0F51903E" w14:textId="77777777" w:rsidR="00B14E03" w:rsidRPr="006F5136" w:rsidRDefault="00B14E03" w:rsidP="005E4694">
            <w:pPr>
              <w:pStyle w:val="CM4"/>
              <w:tabs>
                <w:tab w:val="left" w:pos="150"/>
              </w:tabs>
              <w:ind w:left="-43"/>
              <w:jc w:val="center"/>
              <w:rPr>
                <w:rFonts w:ascii="Times New Roman" w:hAnsi="Times New Roman"/>
                <w:sz w:val="18"/>
                <w:szCs w:val="18"/>
                <w:lang w:val="ro-RO" w:eastAsia="ru-RU"/>
              </w:rPr>
            </w:pPr>
            <w:r w:rsidRPr="006F5136">
              <w:rPr>
                <w:rFonts w:ascii="Times New Roman" w:hAnsi="Times New Roman"/>
                <w:sz w:val="18"/>
                <w:szCs w:val="18"/>
                <w:lang w:val="ro-RO" w:eastAsia="ru-RU"/>
              </w:rPr>
              <w:t>Tabelul nr.1</w:t>
            </w:r>
          </w:p>
          <w:tbl>
            <w:tblPr>
              <w:tblW w:w="3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089"/>
              <w:gridCol w:w="305"/>
              <w:gridCol w:w="321"/>
              <w:gridCol w:w="307"/>
              <w:gridCol w:w="365"/>
              <w:gridCol w:w="324"/>
              <w:gridCol w:w="386"/>
            </w:tblGrid>
            <w:tr w:rsidR="00B14E03" w:rsidRPr="006F5136" w14:paraId="656E4540" w14:textId="77777777" w:rsidTr="00977E5E">
              <w:trPr>
                <w:jc w:val="center"/>
              </w:trPr>
              <w:tc>
                <w:tcPr>
                  <w:tcW w:w="2463" w:type="dxa"/>
                  <w:shd w:val="clear" w:color="auto" w:fill="FFFFFF"/>
                  <w:tcMar>
                    <w:top w:w="30" w:type="dxa"/>
                    <w:left w:w="75" w:type="dxa"/>
                    <w:bottom w:w="30" w:type="dxa"/>
                    <w:right w:w="30" w:type="dxa"/>
                  </w:tcMar>
                  <w:hideMark/>
                </w:tcPr>
                <w:p w14:paraId="47175112" w14:textId="77777777" w:rsidR="00B14E03" w:rsidRPr="006F5136" w:rsidRDefault="00B14E03" w:rsidP="005E4694">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Nivel de calitate a creditului</w:t>
                  </w:r>
                </w:p>
              </w:tc>
              <w:tc>
                <w:tcPr>
                  <w:tcW w:w="562" w:type="dxa"/>
                  <w:shd w:val="clear" w:color="auto" w:fill="FFFFFF"/>
                  <w:tcMar>
                    <w:top w:w="30" w:type="dxa"/>
                    <w:left w:w="75" w:type="dxa"/>
                    <w:bottom w:w="30" w:type="dxa"/>
                    <w:right w:w="30" w:type="dxa"/>
                  </w:tcMar>
                  <w:hideMark/>
                </w:tcPr>
                <w:p w14:paraId="648E025E" w14:textId="77777777" w:rsidR="00B14E03" w:rsidRPr="006F5136" w:rsidRDefault="00B14E03" w:rsidP="005E4694">
                  <w:pPr>
                    <w:pStyle w:val="CM4"/>
                    <w:tabs>
                      <w:tab w:val="left" w:pos="150"/>
                    </w:tabs>
                    <w:ind w:left="-43"/>
                    <w:jc w:val="center"/>
                    <w:rPr>
                      <w:rFonts w:ascii="Times New Roman" w:hAnsi="Times New Roman"/>
                      <w:sz w:val="18"/>
                      <w:szCs w:val="18"/>
                      <w:lang w:val="ro-RO" w:eastAsia="ru-RU"/>
                    </w:rPr>
                  </w:pPr>
                  <w:r w:rsidRPr="006F5136">
                    <w:rPr>
                      <w:rFonts w:ascii="Times New Roman" w:hAnsi="Times New Roman"/>
                      <w:sz w:val="18"/>
                      <w:szCs w:val="18"/>
                      <w:lang w:val="ro-RO" w:eastAsia="ru-RU"/>
                    </w:rPr>
                    <w:t>1</w:t>
                  </w:r>
                </w:p>
              </w:tc>
              <w:tc>
                <w:tcPr>
                  <w:tcW w:w="602" w:type="dxa"/>
                  <w:shd w:val="clear" w:color="auto" w:fill="FFFFFF"/>
                  <w:tcMar>
                    <w:top w:w="30" w:type="dxa"/>
                    <w:left w:w="75" w:type="dxa"/>
                    <w:bottom w:w="30" w:type="dxa"/>
                    <w:right w:w="30" w:type="dxa"/>
                  </w:tcMar>
                  <w:hideMark/>
                </w:tcPr>
                <w:p w14:paraId="36FDC064" w14:textId="77777777" w:rsidR="00B14E03" w:rsidRPr="006F5136" w:rsidRDefault="00B14E03" w:rsidP="005E4694">
                  <w:pPr>
                    <w:pStyle w:val="CM4"/>
                    <w:tabs>
                      <w:tab w:val="left" w:pos="150"/>
                    </w:tabs>
                    <w:ind w:left="-43"/>
                    <w:jc w:val="center"/>
                    <w:rPr>
                      <w:rFonts w:ascii="Times New Roman" w:hAnsi="Times New Roman"/>
                      <w:sz w:val="18"/>
                      <w:szCs w:val="18"/>
                      <w:lang w:val="ro-RO" w:eastAsia="ru-RU"/>
                    </w:rPr>
                  </w:pPr>
                  <w:r w:rsidRPr="006F5136">
                    <w:rPr>
                      <w:rFonts w:ascii="Times New Roman" w:hAnsi="Times New Roman"/>
                      <w:sz w:val="18"/>
                      <w:szCs w:val="18"/>
                      <w:lang w:val="ro-RO" w:eastAsia="ru-RU"/>
                    </w:rPr>
                    <w:t>2</w:t>
                  </w:r>
                </w:p>
              </w:tc>
              <w:tc>
                <w:tcPr>
                  <w:tcW w:w="567" w:type="dxa"/>
                  <w:shd w:val="clear" w:color="auto" w:fill="FFFFFF"/>
                  <w:tcMar>
                    <w:top w:w="30" w:type="dxa"/>
                    <w:left w:w="75" w:type="dxa"/>
                    <w:bottom w:w="30" w:type="dxa"/>
                    <w:right w:w="30" w:type="dxa"/>
                  </w:tcMar>
                  <w:hideMark/>
                </w:tcPr>
                <w:p w14:paraId="3FCA99EA" w14:textId="77777777" w:rsidR="00B14E03" w:rsidRPr="006F5136" w:rsidRDefault="00B14E03" w:rsidP="005E4694">
                  <w:pPr>
                    <w:pStyle w:val="CM4"/>
                    <w:tabs>
                      <w:tab w:val="left" w:pos="150"/>
                    </w:tabs>
                    <w:ind w:left="-43"/>
                    <w:jc w:val="center"/>
                    <w:rPr>
                      <w:rFonts w:ascii="Times New Roman" w:hAnsi="Times New Roman"/>
                      <w:sz w:val="18"/>
                      <w:szCs w:val="18"/>
                      <w:lang w:val="ro-RO" w:eastAsia="ru-RU"/>
                    </w:rPr>
                  </w:pPr>
                  <w:r w:rsidRPr="006F5136">
                    <w:rPr>
                      <w:rFonts w:ascii="Times New Roman" w:hAnsi="Times New Roman"/>
                      <w:sz w:val="18"/>
                      <w:szCs w:val="18"/>
                      <w:lang w:val="ro-RO" w:eastAsia="ru-RU"/>
                    </w:rPr>
                    <w:t>3</w:t>
                  </w:r>
                </w:p>
              </w:tc>
              <w:tc>
                <w:tcPr>
                  <w:tcW w:w="709" w:type="dxa"/>
                  <w:shd w:val="clear" w:color="auto" w:fill="FFFFFF"/>
                  <w:tcMar>
                    <w:top w:w="30" w:type="dxa"/>
                    <w:left w:w="75" w:type="dxa"/>
                    <w:bottom w:w="30" w:type="dxa"/>
                    <w:right w:w="30" w:type="dxa"/>
                  </w:tcMar>
                  <w:hideMark/>
                </w:tcPr>
                <w:p w14:paraId="5A7F7AD3" w14:textId="77777777" w:rsidR="00B14E03" w:rsidRPr="006F5136" w:rsidRDefault="00B14E03" w:rsidP="005E4694">
                  <w:pPr>
                    <w:pStyle w:val="CM4"/>
                    <w:tabs>
                      <w:tab w:val="left" w:pos="150"/>
                    </w:tabs>
                    <w:ind w:left="-43"/>
                    <w:jc w:val="center"/>
                    <w:rPr>
                      <w:rFonts w:ascii="Times New Roman" w:hAnsi="Times New Roman"/>
                      <w:sz w:val="18"/>
                      <w:szCs w:val="18"/>
                      <w:lang w:val="ro-RO" w:eastAsia="ru-RU"/>
                    </w:rPr>
                  </w:pPr>
                  <w:r w:rsidRPr="006F5136">
                    <w:rPr>
                      <w:rFonts w:ascii="Times New Roman" w:hAnsi="Times New Roman"/>
                      <w:sz w:val="18"/>
                      <w:szCs w:val="18"/>
                      <w:lang w:val="ro-RO" w:eastAsia="ru-RU"/>
                    </w:rPr>
                    <w:t>4</w:t>
                  </w:r>
                </w:p>
              </w:tc>
              <w:tc>
                <w:tcPr>
                  <w:tcW w:w="609" w:type="dxa"/>
                  <w:shd w:val="clear" w:color="auto" w:fill="FFFFFF"/>
                  <w:tcMar>
                    <w:top w:w="30" w:type="dxa"/>
                    <w:left w:w="75" w:type="dxa"/>
                    <w:bottom w:w="30" w:type="dxa"/>
                    <w:right w:w="30" w:type="dxa"/>
                  </w:tcMar>
                  <w:hideMark/>
                </w:tcPr>
                <w:p w14:paraId="6797E22B" w14:textId="77777777" w:rsidR="00B14E03" w:rsidRPr="006F5136" w:rsidRDefault="00B14E03" w:rsidP="005E4694">
                  <w:pPr>
                    <w:pStyle w:val="CM4"/>
                    <w:tabs>
                      <w:tab w:val="left" w:pos="150"/>
                    </w:tabs>
                    <w:ind w:left="-43"/>
                    <w:jc w:val="center"/>
                    <w:rPr>
                      <w:rFonts w:ascii="Times New Roman" w:hAnsi="Times New Roman"/>
                      <w:sz w:val="18"/>
                      <w:szCs w:val="18"/>
                      <w:lang w:val="ro-RO" w:eastAsia="ru-RU"/>
                    </w:rPr>
                  </w:pPr>
                  <w:r w:rsidRPr="006F5136">
                    <w:rPr>
                      <w:rFonts w:ascii="Times New Roman" w:hAnsi="Times New Roman"/>
                      <w:sz w:val="18"/>
                      <w:szCs w:val="18"/>
                      <w:lang w:val="ro-RO" w:eastAsia="ru-RU"/>
                    </w:rPr>
                    <w:t>5</w:t>
                  </w:r>
                </w:p>
              </w:tc>
              <w:tc>
                <w:tcPr>
                  <w:tcW w:w="759" w:type="dxa"/>
                  <w:shd w:val="clear" w:color="auto" w:fill="FFFFFF"/>
                  <w:tcMar>
                    <w:top w:w="30" w:type="dxa"/>
                    <w:left w:w="75" w:type="dxa"/>
                    <w:bottom w:w="30" w:type="dxa"/>
                    <w:right w:w="30" w:type="dxa"/>
                  </w:tcMar>
                  <w:hideMark/>
                </w:tcPr>
                <w:p w14:paraId="48CC6C94" w14:textId="77777777" w:rsidR="00B14E03" w:rsidRPr="006F5136" w:rsidRDefault="00B14E03" w:rsidP="005E4694">
                  <w:pPr>
                    <w:pStyle w:val="CM4"/>
                    <w:tabs>
                      <w:tab w:val="left" w:pos="150"/>
                    </w:tabs>
                    <w:ind w:left="-43"/>
                    <w:jc w:val="center"/>
                    <w:rPr>
                      <w:rFonts w:ascii="Times New Roman" w:hAnsi="Times New Roman"/>
                      <w:sz w:val="18"/>
                      <w:szCs w:val="18"/>
                      <w:lang w:val="ro-RO" w:eastAsia="ru-RU"/>
                    </w:rPr>
                  </w:pPr>
                  <w:r w:rsidRPr="006F5136">
                    <w:rPr>
                      <w:rFonts w:ascii="Times New Roman" w:hAnsi="Times New Roman"/>
                      <w:sz w:val="18"/>
                      <w:szCs w:val="18"/>
                      <w:lang w:val="ro-RO" w:eastAsia="ru-RU"/>
                    </w:rPr>
                    <w:t>6</w:t>
                  </w:r>
                </w:p>
              </w:tc>
            </w:tr>
            <w:tr w:rsidR="00B14E03" w:rsidRPr="006F5136" w14:paraId="1F4CD076" w14:textId="77777777" w:rsidTr="00977E5E">
              <w:trPr>
                <w:jc w:val="center"/>
              </w:trPr>
              <w:tc>
                <w:tcPr>
                  <w:tcW w:w="2463" w:type="dxa"/>
                  <w:shd w:val="clear" w:color="auto" w:fill="FFFFFF"/>
                  <w:tcMar>
                    <w:top w:w="30" w:type="dxa"/>
                    <w:left w:w="75" w:type="dxa"/>
                    <w:bottom w:w="30" w:type="dxa"/>
                    <w:right w:w="30" w:type="dxa"/>
                  </w:tcMar>
                  <w:hideMark/>
                </w:tcPr>
                <w:p w14:paraId="5263A022" w14:textId="77777777" w:rsidR="00B14E03" w:rsidRPr="006F5136" w:rsidRDefault="00B14E03" w:rsidP="005E4694">
                  <w:pPr>
                    <w:pStyle w:val="CM4"/>
                    <w:tabs>
                      <w:tab w:val="left" w:pos="150"/>
                    </w:tabs>
                    <w:ind w:left="-43"/>
                    <w:rPr>
                      <w:rFonts w:ascii="Times New Roman" w:hAnsi="Times New Roman"/>
                      <w:sz w:val="18"/>
                      <w:szCs w:val="18"/>
                      <w:lang w:val="ro-RO" w:eastAsia="ru-RU"/>
                    </w:rPr>
                  </w:pPr>
                  <w:r w:rsidRPr="006F5136">
                    <w:rPr>
                      <w:rFonts w:ascii="Times New Roman" w:hAnsi="Times New Roman"/>
                      <w:sz w:val="18"/>
                      <w:szCs w:val="18"/>
                      <w:lang w:val="ro-RO" w:eastAsia="ru-RU"/>
                    </w:rPr>
                    <w:t>Pondere de risc</w:t>
                  </w:r>
                </w:p>
              </w:tc>
              <w:tc>
                <w:tcPr>
                  <w:tcW w:w="562" w:type="dxa"/>
                  <w:shd w:val="clear" w:color="auto" w:fill="FFFFFF"/>
                  <w:tcMar>
                    <w:top w:w="30" w:type="dxa"/>
                    <w:left w:w="75" w:type="dxa"/>
                    <w:bottom w:w="30" w:type="dxa"/>
                    <w:right w:w="30" w:type="dxa"/>
                  </w:tcMar>
                  <w:hideMark/>
                </w:tcPr>
                <w:p w14:paraId="53032A2B" w14:textId="77777777" w:rsidR="00B14E03" w:rsidRPr="006F5136" w:rsidRDefault="00B14E03" w:rsidP="005E4694">
                  <w:pPr>
                    <w:pStyle w:val="CM4"/>
                    <w:tabs>
                      <w:tab w:val="left" w:pos="150"/>
                    </w:tabs>
                    <w:ind w:left="-43"/>
                    <w:jc w:val="center"/>
                    <w:rPr>
                      <w:rFonts w:ascii="Times New Roman" w:hAnsi="Times New Roman"/>
                      <w:sz w:val="18"/>
                      <w:szCs w:val="18"/>
                      <w:lang w:val="ro-RO" w:eastAsia="ru-RU"/>
                    </w:rPr>
                  </w:pPr>
                  <w:r w:rsidRPr="006F5136">
                    <w:rPr>
                      <w:rFonts w:ascii="Times New Roman" w:hAnsi="Times New Roman"/>
                      <w:sz w:val="18"/>
                      <w:szCs w:val="18"/>
                      <w:lang w:val="ro-RO" w:eastAsia="ru-RU"/>
                    </w:rPr>
                    <w:t>0 %</w:t>
                  </w:r>
                </w:p>
              </w:tc>
              <w:tc>
                <w:tcPr>
                  <w:tcW w:w="602" w:type="dxa"/>
                  <w:shd w:val="clear" w:color="auto" w:fill="FFFFFF"/>
                  <w:tcMar>
                    <w:top w:w="30" w:type="dxa"/>
                    <w:left w:w="75" w:type="dxa"/>
                    <w:bottom w:w="30" w:type="dxa"/>
                    <w:right w:w="30" w:type="dxa"/>
                  </w:tcMar>
                  <w:hideMark/>
                </w:tcPr>
                <w:p w14:paraId="3B758A17" w14:textId="77777777" w:rsidR="00B14E03" w:rsidRPr="006F5136" w:rsidRDefault="00B14E03" w:rsidP="005E4694">
                  <w:pPr>
                    <w:pStyle w:val="CM4"/>
                    <w:tabs>
                      <w:tab w:val="left" w:pos="150"/>
                    </w:tabs>
                    <w:ind w:left="-43"/>
                    <w:jc w:val="center"/>
                    <w:rPr>
                      <w:rFonts w:ascii="Times New Roman" w:hAnsi="Times New Roman"/>
                      <w:sz w:val="18"/>
                      <w:szCs w:val="18"/>
                      <w:lang w:val="ro-RO" w:eastAsia="ru-RU"/>
                    </w:rPr>
                  </w:pPr>
                  <w:r w:rsidRPr="006F5136">
                    <w:rPr>
                      <w:rFonts w:ascii="Times New Roman" w:hAnsi="Times New Roman"/>
                      <w:sz w:val="18"/>
                      <w:szCs w:val="18"/>
                      <w:lang w:val="ro-RO" w:eastAsia="ru-RU"/>
                    </w:rPr>
                    <w:t>20 %</w:t>
                  </w:r>
                </w:p>
              </w:tc>
              <w:tc>
                <w:tcPr>
                  <w:tcW w:w="567" w:type="dxa"/>
                  <w:shd w:val="clear" w:color="auto" w:fill="FFFFFF"/>
                  <w:tcMar>
                    <w:top w:w="30" w:type="dxa"/>
                    <w:left w:w="75" w:type="dxa"/>
                    <w:bottom w:w="30" w:type="dxa"/>
                    <w:right w:w="30" w:type="dxa"/>
                  </w:tcMar>
                  <w:hideMark/>
                </w:tcPr>
                <w:p w14:paraId="273F5F5C" w14:textId="77777777" w:rsidR="00B14E03" w:rsidRPr="006F5136" w:rsidRDefault="00B14E03" w:rsidP="005E4694">
                  <w:pPr>
                    <w:pStyle w:val="CM4"/>
                    <w:tabs>
                      <w:tab w:val="left" w:pos="150"/>
                    </w:tabs>
                    <w:ind w:left="-43"/>
                    <w:jc w:val="center"/>
                    <w:rPr>
                      <w:rFonts w:ascii="Times New Roman" w:hAnsi="Times New Roman"/>
                      <w:sz w:val="18"/>
                      <w:szCs w:val="18"/>
                      <w:lang w:val="ro-RO" w:eastAsia="ru-RU"/>
                    </w:rPr>
                  </w:pPr>
                  <w:r w:rsidRPr="006F5136">
                    <w:rPr>
                      <w:rFonts w:ascii="Times New Roman" w:hAnsi="Times New Roman"/>
                      <w:sz w:val="18"/>
                      <w:szCs w:val="18"/>
                      <w:lang w:val="ro-RO" w:eastAsia="ru-RU"/>
                    </w:rPr>
                    <w:t>50 %</w:t>
                  </w:r>
                </w:p>
              </w:tc>
              <w:tc>
                <w:tcPr>
                  <w:tcW w:w="709" w:type="dxa"/>
                  <w:shd w:val="clear" w:color="auto" w:fill="FFFFFF"/>
                  <w:tcMar>
                    <w:top w:w="30" w:type="dxa"/>
                    <w:left w:w="75" w:type="dxa"/>
                    <w:bottom w:w="30" w:type="dxa"/>
                    <w:right w:w="30" w:type="dxa"/>
                  </w:tcMar>
                  <w:hideMark/>
                </w:tcPr>
                <w:p w14:paraId="453A1F71" w14:textId="77777777" w:rsidR="00B14E03" w:rsidRPr="006F5136" w:rsidRDefault="00B14E03" w:rsidP="005E4694">
                  <w:pPr>
                    <w:pStyle w:val="CM4"/>
                    <w:tabs>
                      <w:tab w:val="left" w:pos="150"/>
                    </w:tabs>
                    <w:ind w:left="-43"/>
                    <w:jc w:val="center"/>
                    <w:rPr>
                      <w:rFonts w:ascii="Times New Roman" w:hAnsi="Times New Roman"/>
                      <w:sz w:val="18"/>
                      <w:szCs w:val="18"/>
                      <w:lang w:val="ro-RO" w:eastAsia="ru-RU"/>
                    </w:rPr>
                  </w:pPr>
                  <w:r w:rsidRPr="006F5136">
                    <w:rPr>
                      <w:rFonts w:ascii="Times New Roman" w:hAnsi="Times New Roman"/>
                      <w:sz w:val="18"/>
                      <w:szCs w:val="18"/>
                      <w:lang w:val="ro-RO" w:eastAsia="ru-RU"/>
                    </w:rPr>
                    <w:t>100 %</w:t>
                  </w:r>
                </w:p>
              </w:tc>
              <w:tc>
                <w:tcPr>
                  <w:tcW w:w="609" w:type="dxa"/>
                  <w:shd w:val="clear" w:color="auto" w:fill="FFFFFF"/>
                  <w:tcMar>
                    <w:top w:w="30" w:type="dxa"/>
                    <w:left w:w="75" w:type="dxa"/>
                    <w:bottom w:w="30" w:type="dxa"/>
                    <w:right w:w="30" w:type="dxa"/>
                  </w:tcMar>
                  <w:hideMark/>
                </w:tcPr>
                <w:p w14:paraId="61D515C7" w14:textId="77777777" w:rsidR="00B14E03" w:rsidRPr="006F5136" w:rsidRDefault="00B14E03" w:rsidP="005E4694">
                  <w:pPr>
                    <w:pStyle w:val="CM4"/>
                    <w:tabs>
                      <w:tab w:val="left" w:pos="150"/>
                    </w:tabs>
                    <w:ind w:left="-43"/>
                    <w:jc w:val="center"/>
                    <w:rPr>
                      <w:rFonts w:ascii="Times New Roman" w:hAnsi="Times New Roman"/>
                      <w:sz w:val="18"/>
                      <w:szCs w:val="18"/>
                      <w:lang w:val="ro-RO" w:eastAsia="ru-RU"/>
                    </w:rPr>
                  </w:pPr>
                  <w:r w:rsidRPr="006F5136">
                    <w:rPr>
                      <w:rFonts w:ascii="Times New Roman" w:hAnsi="Times New Roman"/>
                      <w:sz w:val="18"/>
                      <w:szCs w:val="18"/>
                      <w:lang w:val="ro-RO" w:eastAsia="ru-RU"/>
                    </w:rPr>
                    <w:t>100 %</w:t>
                  </w:r>
                </w:p>
              </w:tc>
              <w:tc>
                <w:tcPr>
                  <w:tcW w:w="759" w:type="dxa"/>
                  <w:shd w:val="clear" w:color="auto" w:fill="FFFFFF"/>
                  <w:tcMar>
                    <w:top w:w="30" w:type="dxa"/>
                    <w:left w:w="75" w:type="dxa"/>
                    <w:bottom w:w="30" w:type="dxa"/>
                    <w:right w:w="30" w:type="dxa"/>
                  </w:tcMar>
                  <w:hideMark/>
                </w:tcPr>
                <w:p w14:paraId="46B16A6E" w14:textId="77777777" w:rsidR="00B14E03" w:rsidRPr="006F5136" w:rsidRDefault="00B14E03" w:rsidP="005E4694">
                  <w:pPr>
                    <w:pStyle w:val="CM4"/>
                    <w:tabs>
                      <w:tab w:val="left" w:pos="150"/>
                    </w:tabs>
                    <w:ind w:left="-43"/>
                    <w:jc w:val="center"/>
                    <w:rPr>
                      <w:rFonts w:ascii="Times New Roman" w:hAnsi="Times New Roman"/>
                      <w:sz w:val="18"/>
                      <w:szCs w:val="18"/>
                      <w:lang w:val="ro-RO" w:eastAsia="ru-RU"/>
                    </w:rPr>
                  </w:pPr>
                  <w:r w:rsidRPr="006F5136">
                    <w:rPr>
                      <w:rFonts w:ascii="Times New Roman" w:hAnsi="Times New Roman"/>
                      <w:sz w:val="18"/>
                      <w:szCs w:val="18"/>
                      <w:lang w:val="ro-RO" w:eastAsia="ru-RU"/>
                    </w:rPr>
                    <w:t>150 %</w:t>
                  </w:r>
                </w:p>
              </w:tc>
            </w:tr>
          </w:tbl>
          <w:p w14:paraId="60E5F1D1" w14:textId="77777777" w:rsidR="00B14E03" w:rsidRPr="006F5136" w:rsidRDefault="00B14E03" w:rsidP="005E4694">
            <w:pPr>
              <w:spacing w:after="0" w:line="240" w:lineRule="auto"/>
              <w:jc w:val="both"/>
              <w:rPr>
                <w:rFonts w:ascii="Times New Roman" w:hAnsi="Times New Roman" w:cs="Times New Roman"/>
                <w:sz w:val="18"/>
                <w:szCs w:val="18"/>
                <w:lang w:val="ro-RO"/>
              </w:rPr>
            </w:pPr>
          </w:p>
        </w:tc>
        <w:tc>
          <w:tcPr>
            <w:tcW w:w="503" w:type="pct"/>
          </w:tcPr>
          <w:p w14:paraId="707ACC8B" w14:textId="77777777" w:rsidR="00B14E03" w:rsidRPr="006F5136" w:rsidRDefault="00B14E0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3205E6BC" w14:textId="0A34026A" w:rsidR="00B14E03"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BB2F88" w:rsidRPr="006F5136" w14:paraId="20EE367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1FCAAFF" w14:textId="77777777" w:rsidR="00395381" w:rsidRPr="006F5136" w:rsidRDefault="00395381"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(3)  Expunerilor față de BCE li se aplică o pondere de risc de 0 %.</w:t>
            </w:r>
          </w:p>
        </w:tc>
        <w:tc>
          <w:tcPr>
            <w:tcW w:w="1661" w:type="pct"/>
            <w:shd w:val="clear" w:color="auto" w:fill="auto"/>
          </w:tcPr>
          <w:p w14:paraId="2FF523BC" w14:textId="77777777" w:rsidR="00395381" w:rsidRPr="006F5136" w:rsidRDefault="00395381" w:rsidP="005E4694">
            <w:pPr>
              <w:pStyle w:val="CM4"/>
              <w:tabs>
                <w:tab w:val="left" w:pos="150"/>
              </w:tabs>
              <w:ind w:left="-43" w:firstLine="43"/>
              <w:jc w:val="both"/>
              <w:rPr>
                <w:rFonts w:ascii="Times New Roman" w:hAnsi="Times New Roman"/>
                <w:sz w:val="18"/>
                <w:szCs w:val="18"/>
                <w:lang w:val="ro-RO" w:eastAsia="ru-RU"/>
              </w:rPr>
            </w:pPr>
          </w:p>
        </w:tc>
        <w:tc>
          <w:tcPr>
            <w:tcW w:w="503" w:type="pct"/>
          </w:tcPr>
          <w:p w14:paraId="6A68B471" w14:textId="6C193138" w:rsidR="00395381" w:rsidRPr="006F5136" w:rsidRDefault="0046148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Norme UE neaplicabile</w:t>
            </w:r>
          </w:p>
        </w:tc>
        <w:tc>
          <w:tcPr>
            <w:tcW w:w="912" w:type="pct"/>
          </w:tcPr>
          <w:p w14:paraId="4DDF4863" w14:textId="1BA63178" w:rsidR="00395381" w:rsidRPr="006F5136" w:rsidRDefault="007E5FEC"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Vizează</w:t>
            </w:r>
            <w:r w:rsidR="00395381" w:rsidRPr="006F5136">
              <w:rPr>
                <w:rFonts w:ascii="Times New Roman" w:hAnsi="Times New Roman" w:cs="Times New Roman"/>
                <w:iCs/>
                <w:sz w:val="18"/>
                <w:szCs w:val="18"/>
                <w:lang w:val="ro-RO"/>
              </w:rPr>
              <w:t xml:space="preserve"> Banca Centrală Europeană</w:t>
            </w:r>
          </w:p>
        </w:tc>
      </w:tr>
      <w:tr w:rsidR="00BB2F88" w:rsidRPr="006F5136" w14:paraId="6968464E"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04B2346" w14:textId="77777777" w:rsidR="00395381" w:rsidRPr="006F5136" w:rsidRDefault="00395381"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(4)  Expunerilor față de administrațiile centrale și băncile centrale ale statelor membre, denominate și finanțate în moneda națională a respectivei administrații centrale sau bănci centrale li se aplică o pondere de risc de 0 %.</w:t>
            </w:r>
          </w:p>
        </w:tc>
        <w:tc>
          <w:tcPr>
            <w:tcW w:w="1661" w:type="pct"/>
            <w:shd w:val="clear" w:color="auto" w:fill="auto"/>
          </w:tcPr>
          <w:p w14:paraId="77A7F640" w14:textId="77777777" w:rsidR="00E652FF" w:rsidRPr="006F5136" w:rsidRDefault="00E652FF" w:rsidP="005E4694">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31. Expunerilor față de administrația centrală a Republicii Moldova și Banca Națională a Moldovei exprimate și finanțate în lei moldovenești li se aplică o pondere de risc de 0%.</w:t>
            </w:r>
          </w:p>
          <w:p w14:paraId="7EF112AE" w14:textId="019EF11C" w:rsidR="00395381" w:rsidRPr="006F5136" w:rsidRDefault="00E652FF" w:rsidP="005E4694">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32. Expunerilor față de Banca Națională a Moldovei sub formă de rezerve obligatorii li se aplică o pondere de risc de 0%.</w:t>
            </w:r>
          </w:p>
        </w:tc>
        <w:tc>
          <w:tcPr>
            <w:tcW w:w="503" w:type="pct"/>
          </w:tcPr>
          <w:p w14:paraId="016690FB" w14:textId="77777777"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p w14:paraId="56D492B9" w14:textId="77777777" w:rsidR="00395381" w:rsidRPr="006F5136" w:rsidRDefault="00395381" w:rsidP="005E4694">
            <w:pPr>
              <w:spacing w:after="0" w:line="240" w:lineRule="auto"/>
              <w:jc w:val="both"/>
              <w:rPr>
                <w:rFonts w:ascii="Times New Roman" w:hAnsi="Times New Roman" w:cs="Times New Roman"/>
                <w:iCs/>
                <w:sz w:val="18"/>
                <w:szCs w:val="18"/>
                <w:lang w:val="ro-RO"/>
              </w:rPr>
            </w:pPr>
          </w:p>
        </w:tc>
        <w:tc>
          <w:tcPr>
            <w:tcW w:w="912" w:type="pct"/>
          </w:tcPr>
          <w:p w14:paraId="340D9D20" w14:textId="1C0A654E" w:rsidR="00395381"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BB2F88" w:rsidRPr="006F5136" w14:paraId="4DEDBDE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F53C75D" w14:textId="36C5B374" w:rsidR="00395381" w:rsidRPr="006F5136" w:rsidRDefault="00395381"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M10</w:t>
            </w:r>
          </w:p>
          <w:p w14:paraId="15E84715" w14:textId="1ADF998A" w:rsidR="00395381" w:rsidRPr="006F5136" w:rsidRDefault="004B6F2B"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 xml:space="preserve">Alin </w:t>
            </w:r>
            <w:r w:rsidR="00410063" w:rsidRPr="006F5136">
              <w:rPr>
                <w:rFonts w:ascii="Times New Roman" w:hAnsi="Times New Roman"/>
                <w:iCs/>
                <w:sz w:val="18"/>
                <w:szCs w:val="18"/>
                <w:lang w:val="ro-RO"/>
              </w:rPr>
              <w:t xml:space="preserve">(5) și </w:t>
            </w:r>
            <w:r w:rsidR="00395381" w:rsidRPr="006F5136">
              <w:rPr>
                <w:rFonts w:ascii="Times New Roman" w:hAnsi="Times New Roman"/>
                <w:iCs/>
                <w:sz w:val="18"/>
                <w:szCs w:val="18"/>
                <w:lang w:val="ro-RO"/>
              </w:rPr>
              <w:t xml:space="preserve">(6) </w:t>
            </w:r>
            <w:r w:rsidRPr="006F5136">
              <w:rPr>
                <w:rFonts w:ascii="Times New Roman" w:hAnsi="Times New Roman"/>
                <w:iCs/>
                <w:sz w:val="18"/>
                <w:szCs w:val="18"/>
                <w:lang w:val="ro-RO"/>
              </w:rPr>
              <w:t>abrogat</w:t>
            </w:r>
          </w:p>
        </w:tc>
        <w:tc>
          <w:tcPr>
            <w:tcW w:w="1661" w:type="pct"/>
            <w:shd w:val="clear" w:color="auto" w:fill="auto"/>
          </w:tcPr>
          <w:p w14:paraId="732F6D57" w14:textId="77777777" w:rsidR="00395381" w:rsidRPr="006F5136" w:rsidRDefault="00395381" w:rsidP="005E4694">
            <w:pPr>
              <w:pStyle w:val="CM4"/>
              <w:tabs>
                <w:tab w:val="left" w:pos="150"/>
              </w:tabs>
              <w:ind w:left="-43" w:firstLine="43"/>
              <w:jc w:val="both"/>
              <w:rPr>
                <w:rFonts w:ascii="Times New Roman" w:hAnsi="Times New Roman"/>
                <w:sz w:val="18"/>
                <w:szCs w:val="18"/>
                <w:lang w:val="ro-RO" w:eastAsia="ru-RU"/>
              </w:rPr>
            </w:pPr>
          </w:p>
        </w:tc>
        <w:tc>
          <w:tcPr>
            <w:tcW w:w="503" w:type="pct"/>
          </w:tcPr>
          <w:p w14:paraId="7D829192" w14:textId="6D1B3FC0" w:rsidR="00395381" w:rsidRPr="006F5136" w:rsidRDefault="00395381" w:rsidP="005E4694">
            <w:pPr>
              <w:spacing w:after="0" w:line="240" w:lineRule="auto"/>
              <w:jc w:val="both"/>
              <w:rPr>
                <w:rFonts w:ascii="Times New Roman" w:hAnsi="Times New Roman" w:cs="Times New Roman"/>
                <w:iCs/>
                <w:sz w:val="18"/>
                <w:szCs w:val="18"/>
                <w:lang w:val="ro-RO"/>
              </w:rPr>
            </w:pPr>
          </w:p>
        </w:tc>
        <w:tc>
          <w:tcPr>
            <w:tcW w:w="912" w:type="pct"/>
          </w:tcPr>
          <w:p w14:paraId="15178EB2" w14:textId="496994A6" w:rsidR="00395381" w:rsidRPr="006F5136" w:rsidRDefault="00395381" w:rsidP="005E4694">
            <w:pPr>
              <w:spacing w:after="0" w:line="240" w:lineRule="auto"/>
              <w:jc w:val="both"/>
              <w:rPr>
                <w:rFonts w:ascii="Times New Roman" w:hAnsi="Times New Roman" w:cs="Times New Roman"/>
                <w:iCs/>
                <w:sz w:val="18"/>
                <w:szCs w:val="18"/>
                <w:lang w:val="ro-RO"/>
              </w:rPr>
            </w:pPr>
          </w:p>
        </w:tc>
      </w:tr>
      <w:tr w:rsidR="00BB2F88" w:rsidRPr="006F5136" w14:paraId="77650D10"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436C830" w14:textId="77777777" w:rsidR="00395381" w:rsidRPr="006F5136" w:rsidRDefault="00395381"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 xml:space="preserve">  (7)  În cazul în care autoritățile competente dintr-o țară terță, care aplică dispoziții de supraveghere și reglementare cel puțin echivalente cu dispozițiile aplicate în Uniune, aplică o pondere de risc mai mică decât cea indicată la alineatele (1) și (2) pentru expunerile față de propria administrație centrală și propria bancă centrale, denominate și finanțate în moneda națională, instituțiile pot să aplice expunerilor respective aceeași pondere de risc.</w:t>
            </w:r>
          </w:p>
        </w:tc>
        <w:tc>
          <w:tcPr>
            <w:tcW w:w="1661" w:type="pct"/>
            <w:shd w:val="clear" w:color="auto" w:fill="auto"/>
          </w:tcPr>
          <w:p w14:paraId="7FC14999" w14:textId="61AA4096" w:rsidR="00395381" w:rsidRPr="006F5136" w:rsidRDefault="00A704EC" w:rsidP="005E4694">
            <w:pPr>
              <w:pStyle w:val="CM4"/>
              <w:tabs>
                <w:tab w:val="left" w:pos="150"/>
              </w:tabs>
              <w:ind w:left="-43" w:firstLine="43"/>
              <w:jc w:val="both"/>
              <w:rPr>
                <w:rFonts w:ascii="Times New Roman" w:hAnsi="Times New Roman"/>
                <w:sz w:val="18"/>
                <w:szCs w:val="18"/>
                <w:lang w:val="ro-RO" w:eastAsia="ru-RU"/>
              </w:rPr>
            </w:pPr>
            <w:r w:rsidRPr="006F5136">
              <w:rPr>
                <w:rFonts w:ascii="Times New Roman" w:hAnsi="Times New Roman"/>
                <w:sz w:val="18"/>
                <w:szCs w:val="18"/>
                <w:lang w:val="ro-RO" w:eastAsia="ru-RU"/>
              </w:rPr>
              <w:t>33. În cazul în care autoritățile competente dintr-un stat străin, care aplică dispozițiile de supraveghere și reglementare prudențială cel puțin echivalente cu cele aplicate în Republica Moldova în privința băncilor conform anexei nr.5, atribuie o pondere de risc mai mică decât cea indicată la punctele 29 și 30 pentru expunerile față de propria administrație centrală și propria bancă centrală, exprimate și finanțate în moneda națională a acestei administrații /băncii centrale, băncile pot să aplice expunerilor respective ponderea de risc stabilită de autoritatea competentă a statului respectiv.</w:t>
            </w:r>
          </w:p>
        </w:tc>
        <w:tc>
          <w:tcPr>
            <w:tcW w:w="503" w:type="pct"/>
          </w:tcPr>
          <w:p w14:paraId="35315EC8" w14:textId="77777777"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p w14:paraId="420DDD39" w14:textId="77777777" w:rsidR="00395381" w:rsidRPr="006F5136" w:rsidRDefault="00395381" w:rsidP="005E4694">
            <w:pPr>
              <w:spacing w:after="0" w:line="240" w:lineRule="auto"/>
              <w:jc w:val="both"/>
              <w:rPr>
                <w:rFonts w:ascii="Times New Roman" w:hAnsi="Times New Roman" w:cs="Times New Roman"/>
                <w:iCs/>
                <w:sz w:val="18"/>
                <w:szCs w:val="18"/>
                <w:lang w:val="ro-RO"/>
              </w:rPr>
            </w:pPr>
          </w:p>
        </w:tc>
        <w:tc>
          <w:tcPr>
            <w:tcW w:w="912" w:type="pct"/>
          </w:tcPr>
          <w:p w14:paraId="28ECA0E3" w14:textId="1D5D4245" w:rsidR="00395381"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BB2F88" w:rsidRPr="006F5136" w14:paraId="40EDC18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5914493" w14:textId="1CBECC6B" w:rsidR="00395381" w:rsidRPr="006F5136" w:rsidRDefault="00395381"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În sensul prezentului alineat, Comisia poate adopta, prin intermediul actelor de punere în aplicare și sub rezerva procedurii de examinare prevăzute la articolul 464 alineatul (2), o decizie prin care să stabilească dacă o țară terță aplică dispoziții de supraveghere și reglementare cel puțin echivalente cu cele aplicate în Uniune. În absența unei astfel de decizii, până la 1 ianuarie 2015, instituțiile pot continua să aplice tratamentul prevăzut la prezentul alineat pentru expunerile față de administrația centrală sau față de banca centrală dintr-o țară terță, dacă autoritățile competente relevante au declarat țara terță respectivă ca fiind eligibilă pentru acest tratament, înainte de 1 ianuarie 2014.</w:t>
            </w:r>
          </w:p>
        </w:tc>
        <w:tc>
          <w:tcPr>
            <w:tcW w:w="1661" w:type="pct"/>
            <w:shd w:val="clear" w:color="auto" w:fill="auto"/>
          </w:tcPr>
          <w:p w14:paraId="401F298A" w14:textId="77777777" w:rsidR="00395381" w:rsidRPr="006F5136" w:rsidRDefault="00395381" w:rsidP="005E4694">
            <w:pPr>
              <w:pStyle w:val="CM4"/>
              <w:tabs>
                <w:tab w:val="left" w:pos="150"/>
              </w:tabs>
              <w:ind w:left="-43" w:firstLine="43"/>
              <w:jc w:val="both"/>
              <w:rPr>
                <w:rFonts w:ascii="Times New Roman" w:hAnsi="Times New Roman"/>
                <w:sz w:val="18"/>
                <w:szCs w:val="18"/>
                <w:lang w:val="ro-RO" w:eastAsia="ru-RU"/>
              </w:rPr>
            </w:pPr>
          </w:p>
        </w:tc>
        <w:tc>
          <w:tcPr>
            <w:tcW w:w="503" w:type="pct"/>
          </w:tcPr>
          <w:p w14:paraId="06896017" w14:textId="15197432" w:rsidR="00395381" w:rsidRPr="006F5136" w:rsidRDefault="0046148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Norme UE neaplicabile</w:t>
            </w:r>
          </w:p>
        </w:tc>
        <w:tc>
          <w:tcPr>
            <w:tcW w:w="912" w:type="pct"/>
          </w:tcPr>
          <w:p w14:paraId="5F37F45F" w14:textId="33032DED"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Nu este transpusă - prevederea se referă la acțiunile autorităților din UE.</w:t>
            </w:r>
          </w:p>
        </w:tc>
      </w:tr>
      <w:tr w:rsidR="00BB2F88" w:rsidRPr="006F5136" w14:paraId="0EC02952"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7"/>
        </w:trPr>
        <w:tc>
          <w:tcPr>
            <w:tcW w:w="1924" w:type="pct"/>
          </w:tcPr>
          <w:p w14:paraId="5A05D457" w14:textId="77777777" w:rsidR="00395381" w:rsidRPr="006F5136" w:rsidRDefault="00395381"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
                <w:iCs/>
                <w:sz w:val="18"/>
                <w:szCs w:val="18"/>
                <w:lang w:val="ro-RO"/>
              </w:rPr>
              <w:t>Articolul 115</w:t>
            </w:r>
            <w:r w:rsidRPr="006F5136">
              <w:rPr>
                <w:rFonts w:ascii="Times New Roman" w:hAnsi="Times New Roman"/>
                <w:iCs/>
                <w:sz w:val="18"/>
                <w:szCs w:val="18"/>
                <w:lang w:val="ro-RO"/>
              </w:rPr>
              <w:t xml:space="preserve"> </w:t>
            </w:r>
            <w:r w:rsidRPr="006F5136">
              <w:rPr>
                <w:rFonts w:ascii="Times New Roman" w:hAnsi="Times New Roman"/>
                <w:b/>
                <w:iCs/>
                <w:sz w:val="18"/>
                <w:szCs w:val="18"/>
                <w:lang w:val="ro-RO"/>
              </w:rPr>
              <w:t>Expuneri față de administrații regionale sau autorități locale</w:t>
            </w:r>
          </w:p>
          <w:p w14:paraId="4B79DE51" w14:textId="2A1DE490" w:rsidR="001972EA" w:rsidRPr="006F5136" w:rsidRDefault="001F226E" w:rsidP="005E4694">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hAnsi="Times New Roman" w:cs="Times New Roman"/>
                <w:iCs/>
                <w:sz w:val="18"/>
                <w:szCs w:val="18"/>
                <w:lang w:val="ro-RO"/>
              </w:rPr>
              <w:t>(-1)   Expunerile față de administrații regionale sau autorități locale pentru care este disponibilă o evaluare de credit efectuată de o ECAI desemnată primesc o pondere de risc în conformitate cu tabelul 1, care corespunde evaluării de credit emise de ECAI în conformitate cu articolul 136.</w:t>
            </w:r>
          </w:p>
          <w:p w14:paraId="0895BF20" w14:textId="77777777" w:rsidR="001972EA" w:rsidRPr="006F5136" w:rsidRDefault="001972EA" w:rsidP="005E4694">
            <w:pPr>
              <w:shd w:val="clear" w:color="auto" w:fill="FFFFFF"/>
              <w:spacing w:after="0" w:line="240" w:lineRule="auto"/>
              <w:jc w:val="center"/>
              <w:rPr>
                <w:rFonts w:ascii="Times New Roman" w:eastAsia="Times New Roman" w:hAnsi="Times New Roman" w:cs="Times New Roman"/>
                <w:b/>
                <w:bCs/>
                <w:sz w:val="18"/>
                <w:szCs w:val="18"/>
                <w:lang w:eastAsia="ro-MD"/>
              </w:rPr>
            </w:pPr>
            <w:r w:rsidRPr="006F5136">
              <w:rPr>
                <w:rFonts w:ascii="Times New Roman" w:eastAsia="Times New Roman" w:hAnsi="Times New Roman" w:cs="Times New Roman"/>
                <w:b/>
                <w:bCs/>
                <w:color w:val="000000" w:themeColor="text1"/>
                <w:sz w:val="18"/>
                <w:szCs w:val="18"/>
                <w:lang w:eastAsia="ro-MD"/>
              </w:rPr>
              <w:t xml:space="preserve">Tabelul </w:t>
            </w:r>
            <w:r w:rsidRPr="006F5136">
              <w:rPr>
                <w:rFonts w:ascii="Times New Roman" w:eastAsia="Times New Roman" w:hAnsi="Times New Roman" w:cs="Times New Roman"/>
                <w:b/>
                <w:bCs/>
                <w:sz w:val="18"/>
                <w:szCs w:val="18"/>
                <w:lang w:eastAsia="ro-MD"/>
              </w:rPr>
              <w:t>1</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326"/>
              <w:gridCol w:w="477"/>
              <w:gridCol w:w="477"/>
              <w:gridCol w:w="477"/>
              <w:gridCol w:w="577"/>
              <w:gridCol w:w="577"/>
              <w:gridCol w:w="577"/>
            </w:tblGrid>
            <w:tr w:rsidR="001972EA" w:rsidRPr="006F5136" w14:paraId="699E74B2" w14:textId="77777777" w:rsidTr="00771776">
              <w:trPr>
                <w:jc w:val="center"/>
              </w:trPr>
              <w:tc>
                <w:tcPr>
                  <w:tcW w:w="2326" w:type="dxa"/>
                  <w:tcBorders>
                    <w:top w:val="outset" w:sz="6" w:space="0" w:color="auto"/>
                    <w:left w:val="outset" w:sz="6" w:space="0" w:color="auto"/>
                    <w:bottom w:val="outset" w:sz="6" w:space="0" w:color="auto"/>
                    <w:right w:val="outset" w:sz="6" w:space="0" w:color="auto"/>
                  </w:tcBorders>
                  <w:shd w:val="clear" w:color="auto" w:fill="auto"/>
                  <w:hideMark/>
                </w:tcPr>
                <w:p w14:paraId="73D1E911" w14:textId="77777777" w:rsidR="001972EA" w:rsidRPr="006F5136" w:rsidRDefault="001972E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Nivel de calitate a creditului</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56E72517" w14:textId="77777777" w:rsidR="001972EA" w:rsidRPr="006F5136" w:rsidRDefault="001972E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7C86BD31" w14:textId="77777777" w:rsidR="001972EA" w:rsidRPr="006F5136" w:rsidRDefault="001972E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2</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5814F8D6" w14:textId="77777777" w:rsidR="001972EA" w:rsidRPr="006F5136" w:rsidRDefault="001972E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3</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379B0348" w14:textId="77777777" w:rsidR="001972EA" w:rsidRPr="006F5136" w:rsidRDefault="001972E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4</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50D9BD51" w14:textId="77777777" w:rsidR="001972EA" w:rsidRPr="006F5136" w:rsidRDefault="001972E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5</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4C40B64D" w14:textId="77777777" w:rsidR="001972EA" w:rsidRPr="006F5136" w:rsidRDefault="001972E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6</w:t>
                  </w:r>
                </w:p>
              </w:tc>
            </w:tr>
            <w:tr w:rsidR="001972EA" w:rsidRPr="006F5136" w14:paraId="52DD576E" w14:textId="77777777" w:rsidTr="00771776">
              <w:trPr>
                <w:jc w:val="center"/>
              </w:trPr>
              <w:tc>
                <w:tcPr>
                  <w:tcW w:w="2326" w:type="dxa"/>
                  <w:tcBorders>
                    <w:top w:val="outset" w:sz="6" w:space="0" w:color="auto"/>
                    <w:left w:val="outset" w:sz="6" w:space="0" w:color="auto"/>
                    <w:bottom w:val="outset" w:sz="6" w:space="0" w:color="auto"/>
                    <w:right w:val="outset" w:sz="6" w:space="0" w:color="auto"/>
                  </w:tcBorders>
                  <w:shd w:val="clear" w:color="auto" w:fill="auto"/>
                  <w:hideMark/>
                </w:tcPr>
                <w:p w14:paraId="7EEFD0DD" w14:textId="77777777" w:rsidR="001972EA" w:rsidRPr="006F5136" w:rsidRDefault="001972E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Pondere de risc</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512CA652" w14:textId="77777777" w:rsidR="001972EA" w:rsidRPr="006F5136" w:rsidRDefault="001972E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20 %</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38F57154" w14:textId="77777777" w:rsidR="001972EA" w:rsidRPr="006F5136" w:rsidRDefault="001972E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50 %</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3B097FAE" w14:textId="77777777" w:rsidR="001972EA" w:rsidRPr="006F5136" w:rsidRDefault="001972E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50 %</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7673F9B8" w14:textId="77777777" w:rsidR="001972EA" w:rsidRPr="006F5136" w:rsidRDefault="001972E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100 %</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5A3FFAEF" w14:textId="77777777" w:rsidR="001972EA" w:rsidRPr="006F5136" w:rsidRDefault="001972E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100 %</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638A7CA9" w14:textId="77777777" w:rsidR="001972EA" w:rsidRPr="006F5136" w:rsidRDefault="001972E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150 %</w:t>
                  </w:r>
                </w:p>
              </w:tc>
            </w:tr>
          </w:tbl>
          <w:p w14:paraId="4CA0F206" w14:textId="106FF05B" w:rsidR="00395381" w:rsidRPr="006F5136" w:rsidRDefault="00395381" w:rsidP="005E4694">
            <w:pPr>
              <w:spacing w:after="0" w:line="240" w:lineRule="auto"/>
              <w:rPr>
                <w:rFonts w:ascii="Times New Roman" w:hAnsi="Times New Roman" w:cs="Times New Roman"/>
                <w:sz w:val="18"/>
                <w:szCs w:val="18"/>
                <w:lang w:val="ro-RO"/>
              </w:rPr>
            </w:pPr>
          </w:p>
        </w:tc>
        <w:tc>
          <w:tcPr>
            <w:tcW w:w="1661" w:type="pct"/>
            <w:shd w:val="clear" w:color="auto" w:fill="auto"/>
          </w:tcPr>
          <w:p w14:paraId="067FDD61" w14:textId="77777777" w:rsidR="00395381" w:rsidRPr="006F5136" w:rsidRDefault="00395381" w:rsidP="005E4694">
            <w:pPr>
              <w:pStyle w:val="CM4"/>
              <w:tabs>
                <w:tab w:val="left" w:pos="150"/>
              </w:tabs>
              <w:ind w:left="-43" w:firstLine="43"/>
              <w:jc w:val="both"/>
              <w:rPr>
                <w:rFonts w:ascii="Times New Roman" w:hAnsi="Times New Roman"/>
                <w:sz w:val="18"/>
                <w:szCs w:val="18"/>
                <w:lang w:val="ro-RO" w:eastAsia="ru-RU"/>
              </w:rPr>
            </w:pPr>
            <w:r w:rsidRPr="006F5136">
              <w:rPr>
                <w:rFonts w:ascii="Times New Roman" w:hAnsi="Times New Roman"/>
                <w:sz w:val="18"/>
                <w:szCs w:val="18"/>
                <w:lang w:val="ro-RO" w:eastAsia="ru-RU"/>
              </w:rPr>
              <w:t>Secțiunea a 2-a. Expuneri față de administrații regionale sau autorități locale</w:t>
            </w:r>
          </w:p>
          <w:p w14:paraId="6052085F" w14:textId="49C74E85" w:rsidR="00395381" w:rsidRPr="006F5136" w:rsidRDefault="00395381" w:rsidP="005E4694">
            <w:pPr>
              <w:pStyle w:val="CM4"/>
              <w:tabs>
                <w:tab w:val="left" w:pos="150"/>
              </w:tabs>
              <w:ind w:left="-43" w:firstLine="43"/>
              <w:jc w:val="both"/>
              <w:rPr>
                <w:rFonts w:ascii="Times New Roman" w:hAnsi="Times New Roman"/>
                <w:sz w:val="18"/>
                <w:szCs w:val="18"/>
                <w:lang w:val="ro-RO" w:eastAsia="ru-RU"/>
              </w:rPr>
            </w:pPr>
            <w:r w:rsidRPr="006F5136">
              <w:rPr>
                <w:rFonts w:ascii="Times New Roman" w:hAnsi="Times New Roman"/>
                <w:sz w:val="18"/>
                <w:szCs w:val="18"/>
                <w:lang w:val="ro-RO" w:eastAsia="ru-RU"/>
              </w:rPr>
              <w:t>3</w:t>
            </w:r>
            <w:r w:rsidR="002D472B" w:rsidRPr="006F5136">
              <w:rPr>
                <w:rFonts w:ascii="Times New Roman" w:hAnsi="Times New Roman"/>
                <w:sz w:val="18"/>
                <w:szCs w:val="18"/>
                <w:lang w:val="ro-RO" w:eastAsia="ru-RU"/>
              </w:rPr>
              <w:t>4</w:t>
            </w:r>
            <w:r w:rsidRPr="006F5136">
              <w:rPr>
                <w:rFonts w:ascii="Times New Roman" w:hAnsi="Times New Roman"/>
                <w:sz w:val="18"/>
                <w:szCs w:val="18"/>
                <w:lang w:val="ro-RO" w:eastAsia="ru-RU"/>
              </w:rPr>
              <w:t xml:space="preserve">. </w:t>
            </w:r>
            <w:r w:rsidR="002D472B" w:rsidRPr="006F5136">
              <w:rPr>
                <w:rFonts w:ascii="Times New Roman" w:hAnsi="Times New Roman"/>
                <w:sz w:val="18"/>
                <w:szCs w:val="18"/>
                <w:lang w:val="ro-RO" w:eastAsia="ru-RU"/>
              </w:rPr>
              <w:t>Expunerile față de administrațiile regionale sau autoritățile locale pentru care este disponibilă o evaluare de credit realizată de o ECAI desemnată, primesc o pondere de risc în conformitate cu tabelul nr.11, care corespunde evaluării de credit emise de ECAI, conform concordanței efectuate de Banca Națională a Moldovei în baza punctului 100.</w:t>
            </w:r>
          </w:p>
          <w:p w14:paraId="080440F3" w14:textId="27BDFB63" w:rsidR="002D472B" w:rsidRPr="006F5136" w:rsidRDefault="002D472B" w:rsidP="005E4694">
            <w:pPr>
              <w:shd w:val="clear" w:color="auto" w:fill="FFFFFF"/>
              <w:spacing w:after="0" w:line="240" w:lineRule="auto"/>
              <w:jc w:val="center"/>
              <w:rPr>
                <w:rFonts w:ascii="Times New Roman" w:eastAsia="Times New Roman" w:hAnsi="Times New Roman" w:cs="Times New Roman"/>
                <w:b/>
                <w:bCs/>
                <w:sz w:val="18"/>
                <w:szCs w:val="18"/>
                <w:lang w:eastAsia="ro-MD"/>
              </w:rPr>
            </w:pPr>
            <w:proofErr w:type="gramStart"/>
            <w:r w:rsidRPr="006F5136">
              <w:rPr>
                <w:rFonts w:ascii="Times New Roman" w:eastAsia="Times New Roman" w:hAnsi="Times New Roman" w:cs="Times New Roman"/>
                <w:b/>
                <w:bCs/>
                <w:color w:val="000000" w:themeColor="text1"/>
                <w:sz w:val="18"/>
                <w:szCs w:val="18"/>
                <w:lang w:eastAsia="ro-MD"/>
              </w:rPr>
              <w:t>Tabelul  nr</w:t>
            </w:r>
            <w:proofErr w:type="gramEnd"/>
            <w:r w:rsidRPr="006F5136">
              <w:rPr>
                <w:rFonts w:ascii="Times New Roman" w:eastAsia="Times New Roman" w:hAnsi="Times New Roman" w:cs="Times New Roman"/>
                <w:b/>
                <w:bCs/>
                <w:color w:val="000000" w:themeColor="text1"/>
                <w:sz w:val="18"/>
                <w:szCs w:val="18"/>
                <w:lang w:eastAsia="ro-MD"/>
              </w:rPr>
              <w:t xml:space="preserve">. </w:t>
            </w:r>
            <w:r w:rsidRPr="006F5136">
              <w:rPr>
                <w:rFonts w:ascii="Times New Roman" w:eastAsia="Times New Roman" w:hAnsi="Times New Roman" w:cs="Times New Roman"/>
                <w:b/>
                <w:bCs/>
                <w:sz w:val="18"/>
                <w:szCs w:val="18"/>
                <w:lang w:eastAsia="ro-MD"/>
              </w:rPr>
              <w:t>1</w:t>
            </w:r>
            <w:r w:rsidRPr="006F5136">
              <w:rPr>
                <w:rFonts w:ascii="Times New Roman" w:eastAsia="Times New Roman" w:hAnsi="Times New Roman" w:cs="Times New Roman"/>
                <w:b/>
                <w:bCs/>
                <w:sz w:val="18"/>
                <w:szCs w:val="18"/>
                <w:vertAlign w:val="superscript"/>
                <w:lang w:eastAsia="ro-MD"/>
              </w:rPr>
              <w:t>1</w:t>
            </w:r>
          </w:p>
          <w:tbl>
            <w:tblPr>
              <w:tblW w:w="4654"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975"/>
              <w:gridCol w:w="404"/>
              <w:gridCol w:w="404"/>
              <w:gridCol w:w="404"/>
              <w:gridCol w:w="489"/>
              <w:gridCol w:w="489"/>
              <w:gridCol w:w="489"/>
            </w:tblGrid>
            <w:tr w:rsidR="002D472B" w:rsidRPr="006F5136" w14:paraId="63717B63" w14:textId="77777777" w:rsidTr="002D472B">
              <w:trPr>
                <w:trHeight w:val="347"/>
              </w:trPr>
              <w:tc>
                <w:tcPr>
                  <w:tcW w:w="1975" w:type="dxa"/>
                  <w:tcBorders>
                    <w:top w:val="outset" w:sz="6" w:space="0" w:color="auto"/>
                    <w:left w:val="outset" w:sz="6" w:space="0" w:color="auto"/>
                    <w:bottom w:val="outset" w:sz="6" w:space="0" w:color="auto"/>
                    <w:right w:val="outset" w:sz="6" w:space="0" w:color="auto"/>
                  </w:tcBorders>
                  <w:shd w:val="clear" w:color="auto" w:fill="auto"/>
                  <w:hideMark/>
                </w:tcPr>
                <w:p w14:paraId="263C52E4" w14:textId="77777777" w:rsidR="002D472B" w:rsidRPr="006F5136" w:rsidRDefault="002D472B"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Nivel de calitate a creditului</w:t>
                  </w:r>
                </w:p>
              </w:tc>
              <w:tc>
                <w:tcPr>
                  <w:tcW w:w="404" w:type="dxa"/>
                  <w:tcBorders>
                    <w:top w:val="outset" w:sz="6" w:space="0" w:color="auto"/>
                    <w:left w:val="outset" w:sz="6" w:space="0" w:color="auto"/>
                    <w:bottom w:val="outset" w:sz="6" w:space="0" w:color="auto"/>
                    <w:right w:val="outset" w:sz="6" w:space="0" w:color="auto"/>
                  </w:tcBorders>
                  <w:shd w:val="clear" w:color="auto" w:fill="auto"/>
                  <w:hideMark/>
                </w:tcPr>
                <w:p w14:paraId="7344B989" w14:textId="77777777" w:rsidR="002D472B" w:rsidRPr="006F5136" w:rsidRDefault="002D472B"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w:t>
                  </w:r>
                </w:p>
              </w:tc>
              <w:tc>
                <w:tcPr>
                  <w:tcW w:w="404" w:type="dxa"/>
                  <w:tcBorders>
                    <w:top w:val="outset" w:sz="6" w:space="0" w:color="auto"/>
                    <w:left w:val="outset" w:sz="6" w:space="0" w:color="auto"/>
                    <w:bottom w:val="outset" w:sz="6" w:space="0" w:color="auto"/>
                    <w:right w:val="outset" w:sz="6" w:space="0" w:color="auto"/>
                  </w:tcBorders>
                  <w:shd w:val="clear" w:color="auto" w:fill="auto"/>
                  <w:hideMark/>
                </w:tcPr>
                <w:p w14:paraId="2E8EAC44" w14:textId="77777777" w:rsidR="002D472B" w:rsidRPr="006F5136" w:rsidRDefault="002D472B"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2</w:t>
                  </w:r>
                </w:p>
              </w:tc>
              <w:tc>
                <w:tcPr>
                  <w:tcW w:w="404" w:type="dxa"/>
                  <w:tcBorders>
                    <w:top w:val="outset" w:sz="6" w:space="0" w:color="auto"/>
                    <w:left w:val="outset" w:sz="6" w:space="0" w:color="auto"/>
                    <w:bottom w:val="outset" w:sz="6" w:space="0" w:color="auto"/>
                    <w:right w:val="outset" w:sz="6" w:space="0" w:color="auto"/>
                  </w:tcBorders>
                  <w:shd w:val="clear" w:color="auto" w:fill="auto"/>
                  <w:hideMark/>
                </w:tcPr>
                <w:p w14:paraId="32736AF8" w14:textId="77777777" w:rsidR="002D472B" w:rsidRPr="006F5136" w:rsidRDefault="002D472B"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3</w:t>
                  </w:r>
                </w:p>
              </w:tc>
              <w:tc>
                <w:tcPr>
                  <w:tcW w:w="489" w:type="dxa"/>
                  <w:tcBorders>
                    <w:top w:val="outset" w:sz="6" w:space="0" w:color="auto"/>
                    <w:left w:val="outset" w:sz="6" w:space="0" w:color="auto"/>
                    <w:bottom w:val="outset" w:sz="6" w:space="0" w:color="auto"/>
                    <w:right w:val="outset" w:sz="6" w:space="0" w:color="auto"/>
                  </w:tcBorders>
                  <w:shd w:val="clear" w:color="auto" w:fill="auto"/>
                  <w:hideMark/>
                </w:tcPr>
                <w:p w14:paraId="10DB83C3" w14:textId="77777777" w:rsidR="002D472B" w:rsidRPr="006F5136" w:rsidRDefault="002D472B"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4</w:t>
                  </w:r>
                </w:p>
              </w:tc>
              <w:tc>
                <w:tcPr>
                  <w:tcW w:w="489" w:type="dxa"/>
                  <w:tcBorders>
                    <w:top w:val="outset" w:sz="6" w:space="0" w:color="auto"/>
                    <w:left w:val="outset" w:sz="6" w:space="0" w:color="auto"/>
                    <w:bottom w:val="outset" w:sz="6" w:space="0" w:color="auto"/>
                    <w:right w:val="outset" w:sz="6" w:space="0" w:color="auto"/>
                  </w:tcBorders>
                  <w:shd w:val="clear" w:color="auto" w:fill="auto"/>
                  <w:hideMark/>
                </w:tcPr>
                <w:p w14:paraId="505A973F" w14:textId="77777777" w:rsidR="002D472B" w:rsidRPr="006F5136" w:rsidRDefault="002D472B"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5</w:t>
                  </w:r>
                </w:p>
              </w:tc>
              <w:tc>
                <w:tcPr>
                  <w:tcW w:w="489" w:type="dxa"/>
                  <w:tcBorders>
                    <w:top w:val="outset" w:sz="6" w:space="0" w:color="auto"/>
                    <w:left w:val="outset" w:sz="6" w:space="0" w:color="auto"/>
                    <w:bottom w:val="outset" w:sz="6" w:space="0" w:color="auto"/>
                    <w:right w:val="outset" w:sz="6" w:space="0" w:color="auto"/>
                  </w:tcBorders>
                  <w:shd w:val="clear" w:color="auto" w:fill="auto"/>
                  <w:hideMark/>
                </w:tcPr>
                <w:p w14:paraId="3E6929B3" w14:textId="77777777" w:rsidR="002D472B" w:rsidRPr="006F5136" w:rsidRDefault="002D472B"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6</w:t>
                  </w:r>
                </w:p>
              </w:tc>
            </w:tr>
            <w:tr w:rsidR="002D472B" w:rsidRPr="006F5136" w14:paraId="56DE6590" w14:textId="77777777" w:rsidTr="002D472B">
              <w:trPr>
                <w:trHeight w:val="347"/>
              </w:trPr>
              <w:tc>
                <w:tcPr>
                  <w:tcW w:w="1975" w:type="dxa"/>
                  <w:tcBorders>
                    <w:top w:val="outset" w:sz="6" w:space="0" w:color="auto"/>
                    <w:left w:val="outset" w:sz="6" w:space="0" w:color="auto"/>
                    <w:bottom w:val="outset" w:sz="6" w:space="0" w:color="auto"/>
                    <w:right w:val="outset" w:sz="6" w:space="0" w:color="auto"/>
                  </w:tcBorders>
                  <w:shd w:val="clear" w:color="auto" w:fill="auto"/>
                  <w:hideMark/>
                </w:tcPr>
                <w:p w14:paraId="13976A1F" w14:textId="77777777" w:rsidR="002D472B" w:rsidRPr="006F5136" w:rsidRDefault="002D472B"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Pondere de risc</w:t>
                  </w:r>
                </w:p>
              </w:tc>
              <w:tc>
                <w:tcPr>
                  <w:tcW w:w="404" w:type="dxa"/>
                  <w:tcBorders>
                    <w:top w:val="outset" w:sz="6" w:space="0" w:color="auto"/>
                    <w:left w:val="outset" w:sz="6" w:space="0" w:color="auto"/>
                    <w:bottom w:val="outset" w:sz="6" w:space="0" w:color="auto"/>
                    <w:right w:val="outset" w:sz="6" w:space="0" w:color="auto"/>
                  </w:tcBorders>
                  <w:shd w:val="clear" w:color="auto" w:fill="auto"/>
                  <w:hideMark/>
                </w:tcPr>
                <w:p w14:paraId="32CEE2FB" w14:textId="77777777" w:rsidR="002D472B" w:rsidRPr="006F5136" w:rsidRDefault="002D472B"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20 %</w:t>
                  </w:r>
                </w:p>
              </w:tc>
              <w:tc>
                <w:tcPr>
                  <w:tcW w:w="404" w:type="dxa"/>
                  <w:tcBorders>
                    <w:top w:val="outset" w:sz="6" w:space="0" w:color="auto"/>
                    <w:left w:val="outset" w:sz="6" w:space="0" w:color="auto"/>
                    <w:bottom w:val="outset" w:sz="6" w:space="0" w:color="auto"/>
                    <w:right w:val="outset" w:sz="6" w:space="0" w:color="auto"/>
                  </w:tcBorders>
                  <w:shd w:val="clear" w:color="auto" w:fill="auto"/>
                  <w:hideMark/>
                </w:tcPr>
                <w:p w14:paraId="45E6881B" w14:textId="77777777" w:rsidR="002D472B" w:rsidRPr="006F5136" w:rsidRDefault="002D472B"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50 %</w:t>
                  </w:r>
                </w:p>
              </w:tc>
              <w:tc>
                <w:tcPr>
                  <w:tcW w:w="404" w:type="dxa"/>
                  <w:tcBorders>
                    <w:top w:val="outset" w:sz="6" w:space="0" w:color="auto"/>
                    <w:left w:val="outset" w:sz="6" w:space="0" w:color="auto"/>
                    <w:bottom w:val="outset" w:sz="6" w:space="0" w:color="auto"/>
                    <w:right w:val="outset" w:sz="6" w:space="0" w:color="auto"/>
                  </w:tcBorders>
                  <w:shd w:val="clear" w:color="auto" w:fill="auto"/>
                  <w:hideMark/>
                </w:tcPr>
                <w:p w14:paraId="3800543E" w14:textId="77777777" w:rsidR="002D472B" w:rsidRPr="006F5136" w:rsidRDefault="002D472B"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50 %</w:t>
                  </w:r>
                </w:p>
              </w:tc>
              <w:tc>
                <w:tcPr>
                  <w:tcW w:w="489" w:type="dxa"/>
                  <w:tcBorders>
                    <w:top w:val="outset" w:sz="6" w:space="0" w:color="auto"/>
                    <w:left w:val="outset" w:sz="6" w:space="0" w:color="auto"/>
                    <w:bottom w:val="outset" w:sz="6" w:space="0" w:color="auto"/>
                    <w:right w:val="outset" w:sz="6" w:space="0" w:color="auto"/>
                  </w:tcBorders>
                  <w:shd w:val="clear" w:color="auto" w:fill="auto"/>
                  <w:hideMark/>
                </w:tcPr>
                <w:p w14:paraId="7FAC9F98" w14:textId="77777777" w:rsidR="002D472B" w:rsidRPr="006F5136" w:rsidRDefault="002D472B"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100 %</w:t>
                  </w:r>
                </w:p>
              </w:tc>
              <w:tc>
                <w:tcPr>
                  <w:tcW w:w="489" w:type="dxa"/>
                  <w:tcBorders>
                    <w:top w:val="outset" w:sz="6" w:space="0" w:color="auto"/>
                    <w:left w:val="outset" w:sz="6" w:space="0" w:color="auto"/>
                    <w:bottom w:val="outset" w:sz="6" w:space="0" w:color="auto"/>
                    <w:right w:val="outset" w:sz="6" w:space="0" w:color="auto"/>
                  </w:tcBorders>
                  <w:shd w:val="clear" w:color="auto" w:fill="auto"/>
                  <w:hideMark/>
                </w:tcPr>
                <w:p w14:paraId="1C737897" w14:textId="77777777" w:rsidR="002D472B" w:rsidRPr="006F5136" w:rsidRDefault="002D472B"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100 %</w:t>
                  </w:r>
                </w:p>
              </w:tc>
              <w:tc>
                <w:tcPr>
                  <w:tcW w:w="489" w:type="dxa"/>
                  <w:tcBorders>
                    <w:top w:val="outset" w:sz="6" w:space="0" w:color="auto"/>
                    <w:left w:val="outset" w:sz="6" w:space="0" w:color="auto"/>
                    <w:bottom w:val="outset" w:sz="6" w:space="0" w:color="auto"/>
                    <w:right w:val="outset" w:sz="6" w:space="0" w:color="auto"/>
                  </w:tcBorders>
                  <w:shd w:val="clear" w:color="auto" w:fill="auto"/>
                  <w:hideMark/>
                </w:tcPr>
                <w:p w14:paraId="14E601C3" w14:textId="77777777" w:rsidR="002D472B" w:rsidRPr="006F5136" w:rsidRDefault="002D472B"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150 %</w:t>
                  </w:r>
                </w:p>
              </w:tc>
            </w:tr>
          </w:tbl>
          <w:p w14:paraId="682DC0D5" w14:textId="48BCFBA5" w:rsidR="002D472B" w:rsidRPr="006F5136" w:rsidRDefault="001B271D" w:rsidP="005E4694">
            <w:pPr>
              <w:spacing w:after="0" w:line="240" w:lineRule="auto"/>
              <w:rPr>
                <w:rFonts w:ascii="Times New Roman" w:eastAsia="Times New Roman" w:hAnsi="Times New Roman" w:cs="Times New Roman"/>
                <w:i/>
                <w:iCs/>
                <w:sz w:val="18"/>
                <w:szCs w:val="18"/>
                <w:lang w:val="ro-RO" w:eastAsia="ru-RU"/>
              </w:rPr>
            </w:pPr>
            <w:r w:rsidRPr="006F5136">
              <w:rPr>
                <w:rFonts w:ascii="Times New Roman" w:eastAsia="Times New Roman" w:hAnsi="Times New Roman" w:cs="Times New Roman"/>
                <w:i/>
                <w:iCs/>
                <w:sz w:val="18"/>
                <w:szCs w:val="18"/>
                <w:lang w:val="ro-RO" w:eastAsia="ru-RU"/>
              </w:rPr>
              <w:t>Modificat prin Proiectul HCE al BNM privind modificarea Regulamentului nr.111/2018.</w:t>
            </w:r>
          </w:p>
          <w:p w14:paraId="4617FBF4" w14:textId="321FDF9E" w:rsidR="00395381" w:rsidRPr="006F5136" w:rsidRDefault="00395381" w:rsidP="005E4694">
            <w:pPr>
              <w:pStyle w:val="CM4"/>
              <w:tabs>
                <w:tab w:val="left" w:pos="150"/>
              </w:tabs>
              <w:ind w:left="-43" w:firstLine="43"/>
              <w:jc w:val="both"/>
              <w:rPr>
                <w:rFonts w:ascii="Times New Roman" w:hAnsi="Times New Roman"/>
                <w:sz w:val="18"/>
                <w:szCs w:val="18"/>
                <w:lang w:val="ro-RO"/>
              </w:rPr>
            </w:pPr>
          </w:p>
        </w:tc>
        <w:tc>
          <w:tcPr>
            <w:tcW w:w="503" w:type="pct"/>
          </w:tcPr>
          <w:p w14:paraId="21299882" w14:textId="77777777"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2534DCA5" w14:textId="08CEA20B" w:rsidR="00F02CF4"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p w14:paraId="53CC7709" w14:textId="0BD27DF4" w:rsidR="00395381" w:rsidRPr="006F5136" w:rsidRDefault="00395381" w:rsidP="005E4694">
            <w:pPr>
              <w:spacing w:after="0" w:line="240" w:lineRule="auto"/>
              <w:jc w:val="both"/>
              <w:rPr>
                <w:rFonts w:ascii="Times New Roman" w:hAnsi="Times New Roman" w:cs="Times New Roman"/>
                <w:iCs/>
                <w:sz w:val="18"/>
                <w:szCs w:val="18"/>
                <w:lang w:val="ro-RO"/>
              </w:rPr>
            </w:pPr>
          </w:p>
        </w:tc>
      </w:tr>
      <w:tr w:rsidR="00914DC9" w:rsidRPr="006F5136" w14:paraId="440CD1F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681AA30" w14:textId="77777777" w:rsidR="00914DC9" w:rsidRPr="006F5136" w:rsidRDefault="00914DC9" w:rsidP="00914DC9">
            <w:pPr>
              <w:shd w:val="clear" w:color="auto" w:fill="FFFFFF"/>
              <w:spacing w:after="0" w:line="240" w:lineRule="auto"/>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   </w:t>
            </w:r>
            <w:bookmarkStart w:id="5" w:name="_Hlk195786810"/>
            <w:r w:rsidRPr="006F5136">
              <w:rPr>
                <w:rFonts w:ascii="Times New Roman" w:eastAsia="Times New Roman" w:hAnsi="Times New Roman" w:cs="Times New Roman"/>
                <w:color w:val="000000" w:themeColor="text1"/>
                <w:sz w:val="18"/>
                <w:szCs w:val="18"/>
                <w:lang w:eastAsia="ro-MD"/>
              </w:rPr>
              <w:t xml:space="preserve">Expunerile față de administrații regionale </w:t>
            </w:r>
            <w:r w:rsidRPr="006F5136">
              <w:rPr>
                <w:rFonts w:ascii="Times New Roman" w:eastAsia="Times New Roman" w:hAnsi="Times New Roman" w:cs="Times New Roman"/>
                <w:sz w:val="18"/>
                <w:szCs w:val="18"/>
                <w:lang w:eastAsia="ro-MD"/>
              </w:rPr>
              <w:t>sau autorități locale pentru care nu este disponibilă o evaluare de credit efectuată de o ECAI desemnată primesc o pondere de risc în conformitate cu nivelul de calitate a creditului atribuit expunerilor față de administrația centrală a jurisdicției de care aparțin administrațiile regionale sau autoritățile locale în conformitate cu tabelul 2.</w:t>
            </w:r>
          </w:p>
          <w:bookmarkEnd w:id="5"/>
          <w:p w14:paraId="3DEE17DA" w14:textId="77777777" w:rsidR="00914DC9" w:rsidRPr="006F5136" w:rsidRDefault="00914DC9" w:rsidP="00914DC9">
            <w:pPr>
              <w:shd w:val="clear" w:color="auto" w:fill="FFFFFF"/>
              <w:spacing w:after="0" w:line="240" w:lineRule="auto"/>
              <w:jc w:val="center"/>
              <w:rPr>
                <w:rFonts w:ascii="Times New Roman" w:eastAsia="Times New Roman" w:hAnsi="Times New Roman" w:cs="Times New Roman"/>
                <w:b/>
                <w:bCs/>
                <w:sz w:val="18"/>
                <w:szCs w:val="18"/>
                <w:lang w:eastAsia="ro-MD"/>
              </w:rPr>
            </w:pPr>
            <w:r w:rsidRPr="006F5136">
              <w:rPr>
                <w:rFonts w:ascii="Times New Roman" w:eastAsia="Times New Roman" w:hAnsi="Times New Roman" w:cs="Times New Roman"/>
                <w:b/>
                <w:bCs/>
                <w:sz w:val="18"/>
                <w:szCs w:val="18"/>
                <w:lang w:eastAsia="ro-MD"/>
              </w:rPr>
              <w:t>Tabelul 2</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326"/>
              <w:gridCol w:w="477"/>
              <w:gridCol w:w="477"/>
              <w:gridCol w:w="577"/>
              <w:gridCol w:w="577"/>
              <w:gridCol w:w="577"/>
              <w:gridCol w:w="577"/>
            </w:tblGrid>
            <w:tr w:rsidR="00914DC9" w:rsidRPr="006F5136" w14:paraId="44FB561A" w14:textId="77777777" w:rsidTr="00771776">
              <w:trPr>
                <w:jc w:val="center"/>
              </w:trPr>
              <w:tc>
                <w:tcPr>
                  <w:tcW w:w="2326" w:type="dxa"/>
                  <w:tcBorders>
                    <w:top w:val="outset" w:sz="6" w:space="0" w:color="auto"/>
                    <w:left w:val="outset" w:sz="6" w:space="0" w:color="auto"/>
                    <w:bottom w:val="outset" w:sz="6" w:space="0" w:color="auto"/>
                    <w:right w:val="outset" w:sz="6" w:space="0" w:color="auto"/>
                  </w:tcBorders>
                  <w:shd w:val="clear" w:color="auto" w:fill="auto"/>
                  <w:hideMark/>
                </w:tcPr>
                <w:p w14:paraId="7215CD73"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Nivel de calitate a creditului</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4977AB04"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0EE88435"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2</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0924B13C"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3</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5FB00550"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4</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7EC8C8F1"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5</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77D1C18E"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6</w:t>
                  </w:r>
                </w:p>
              </w:tc>
            </w:tr>
            <w:tr w:rsidR="00914DC9" w:rsidRPr="006F5136" w14:paraId="106C43B8" w14:textId="77777777" w:rsidTr="00771776">
              <w:trPr>
                <w:jc w:val="center"/>
              </w:trPr>
              <w:tc>
                <w:tcPr>
                  <w:tcW w:w="2326" w:type="dxa"/>
                  <w:tcBorders>
                    <w:top w:val="outset" w:sz="6" w:space="0" w:color="auto"/>
                    <w:left w:val="outset" w:sz="6" w:space="0" w:color="auto"/>
                    <w:bottom w:val="outset" w:sz="6" w:space="0" w:color="auto"/>
                    <w:right w:val="outset" w:sz="6" w:space="0" w:color="auto"/>
                  </w:tcBorders>
                  <w:shd w:val="clear" w:color="auto" w:fill="auto"/>
                  <w:hideMark/>
                </w:tcPr>
                <w:p w14:paraId="79230479"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Pondere de risc</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4F6F9EC7"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20 %</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082B05D9"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50 %</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758C093B"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100 %</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184B0D81"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100 %</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1251C517"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100 %</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6602B1CF"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150 %</w:t>
                  </w:r>
                </w:p>
              </w:tc>
            </w:tr>
          </w:tbl>
          <w:p w14:paraId="44E3271F" w14:textId="77777777" w:rsidR="00914DC9" w:rsidRPr="006F5136" w:rsidRDefault="00914DC9" w:rsidP="00914DC9">
            <w:pPr>
              <w:shd w:val="clear" w:color="auto" w:fill="FFFFFF"/>
              <w:spacing w:after="0" w:line="240" w:lineRule="auto"/>
              <w:jc w:val="both"/>
              <w:rPr>
                <w:rFonts w:ascii="Times New Roman" w:hAnsi="Times New Roman" w:cs="Times New Roman"/>
                <w:i/>
                <w:iCs/>
                <w:sz w:val="18"/>
                <w:szCs w:val="18"/>
              </w:rPr>
            </w:pPr>
          </w:p>
        </w:tc>
        <w:tc>
          <w:tcPr>
            <w:tcW w:w="1661" w:type="pct"/>
            <w:shd w:val="clear" w:color="auto" w:fill="auto"/>
          </w:tcPr>
          <w:p w14:paraId="0CE90819" w14:textId="4EF18656"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35.</w:t>
            </w:r>
            <w:r w:rsidRPr="006F5136">
              <w:rPr>
                <w:rFonts w:ascii="Times New Roman" w:eastAsia="Times New Roman" w:hAnsi="Times New Roman" w:cs="Times New Roman"/>
                <w:sz w:val="18"/>
                <w:szCs w:val="18"/>
                <w:lang w:val="ro-RO" w:eastAsia="ro-MD"/>
              </w:rPr>
              <w:t xml:space="preserve"> Expunerile față de administrații regionale sau autorități locale pentru care nu este disponibilă o evaluare de credit realizată de o ECAI desemnată primesc o pondere de risc</w:t>
            </w:r>
            <w:r w:rsidRPr="006F5136">
              <w:rPr>
                <w:rFonts w:ascii="Times New Roman" w:hAnsi="Times New Roman" w:cs="Times New Roman"/>
                <w:sz w:val="18"/>
                <w:szCs w:val="18"/>
              </w:rPr>
              <w:t xml:space="preserve"> </w:t>
            </w:r>
            <w:r w:rsidRPr="006F5136">
              <w:rPr>
                <w:rFonts w:ascii="Times New Roman" w:eastAsia="Times New Roman" w:hAnsi="Times New Roman" w:cs="Times New Roman"/>
                <w:sz w:val="18"/>
                <w:szCs w:val="18"/>
                <w:lang w:val="ro-RO" w:eastAsia="ro-MD"/>
              </w:rPr>
              <w:t>în conformitate cu nivelul de calitate a creditului atribuit expunerilor față de administrația centrală a jurisdicției de care aparțin administrațiile regionale sau autoritățile locale, în conformitate cu tabelul nr.1</w:t>
            </w:r>
            <w:r w:rsidRPr="006F5136">
              <w:rPr>
                <w:rFonts w:ascii="Times New Roman" w:eastAsia="Times New Roman" w:hAnsi="Times New Roman" w:cs="Times New Roman"/>
                <w:sz w:val="18"/>
                <w:szCs w:val="18"/>
                <w:vertAlign w:val="superscript"/>
                <w:lang w:val="ro-RO" w:eastAsia="ro-MD"/>
              </w:rPr>
              <w:t>2</w:t>
            </w:r>
            <w:r w:rsidRPr="006F5136">
              <w:rPr>
                <w:rFonts w:ascii="Times New Roman" w:eastAsia="Times New Roman" w:hAnsi="Times New Roman" w:cs="Times New Roman"/>
                <w:sz w:val="18"/>
                <w:szCs w:val="18"/>
                <w:lang w:val="ro-RO" w:eastAsia="ro-MD"/>
              </w:rPr>
              <w:t>, care corespunde evaluării de credit emise de ECAI, conform concordanței efectuate de Banca Națională a Moldovei în baza punctului 100.</w:t>
            </w:r>
          </w:p>
          <w:p w14:paraId="62E870F6" w14:textId="77777777" w:rsidR="00914DC9" w:rsidRPr="006F5136" w:rsidRDefault="00914DC9" w:rsidP="00914DC9">
            <w:pPr>
              <w:spacing w:after="0" w:line="240" w:lineRule="auto"/>
              <w:ind w:firstLine="567"/>
              <w:jc w:val="both"/>
              <w:rPr>
                <w:rFonts w:ascii="Times New Roman" w:eastAsia="Times New Roman" w:hAnsi="Times New Roman" w:cs="Times New Roman"/>
                <w:sz w:val="18"/>
                <w:szCs w:val="18"/>
                <w:lang w:val="ro-RO" w:eastAsia="ro-MD"/>
              </w:rPr>
            </w:pPr>
          </w:p>
          <w:tbl>
            <w:tblPr>
              <w:tblW w:w="3688" w:type="pct"/>
              <w:jc w:val="center"/>
              <w:tblLayout w:type="fixed"/>
              <w:tblCellMar>
                <w:top w:w="15" w:type="dxa"/>
                <w:left w:w="15" w:type="dxa"/>
                <w:bottom w:w="15" w:type="dxa"/>
                <w:right w:w="15" w:type="dxa"/>
              </w:tblCellMar>
              <w:tblLook w:val="04A0" w:firstRow="1" w:lastRow="0" w:firstColumn="1" w:lastColumn="0" w:noHBand="0" w:noVBand="1"/>
            </w:tblPr>
            <w:tblGrid>
              <w:gridCol w:w="1176"/>
              <w:gridCol w:w="338"/>
              <w:gridCol w:w="338"/>
              <w:gridCol w:w="399"/>
              <w:gridCol w:w="399"/>
              <w:gridCol w:w="399"/>
              <w:gridCol w:w="404"/>
            </w:tblGrid>
            <w:tr w:rsidR="00914DC9" w:rsidRPr="006F5136" w14:paraId="7D756504" w14:textId="77777777" w:rsidTr="00464FFE">
              <w:trPr>
                <w:trHeight w:val="531"/>
                <w:jc w:val="center"/>
              </w:trPr>
              <w:tc>
                <w:tcPr>
                  <w:tcW w:w="3454" w:type="dxa"/>
                  <w:gridSpan w:val="7"/>
                  <w:tcBorders>
                    <w:top w:val="nil"/>
                    <w:left w:val="nil"/>
                    <w:bottom w:val="nil"/>
                    <w:right w:val="nil"/>
                  </w:tcBorders>
                  <w:tcMar>
                    <w:top w:w="24" w:type="dxa"/>
                    <w:left w:w="48" w:type="dxa"/>
                    <w:bottom w:w="24" w:type="dxa"/>
                    <w:right w:w="48" w:type="dxa"/>
                  </w:tcMar>
                  <w:hideMark/>
                </w:tcPr>
                <w:p w14:paraId="0A426AF5" w14:textId="77777777" w:rsidR="00914DC9" w:rsidRPr="006F5136" w:rsidRDefault="00914DC9" w:rsidP="00914DC9">
                  <w:pPr>
                    <w:spacing w:after="0" w:line="240" w:lineRule="auto"/>
                    <w:jc w:val="right"/>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i/>
                      <w:iCs/>
                      <w:sz w:val="18"/>
                      <w:szCs w:val="18"/>
                      <w:lang w:val="ro-RO" w:eastAsia="ro-MD"/>
                    </w:rPr>
                    <w:t>Tabelul nr.1</w:t>
                  </w:r>
                  <w:r w:rsidRPr="006F5136">
                    <w:rPr>
                      <w:rFonts w:ascii="Times New Roman" w:eastAsia="Times New Roman" w:hAnsi="Times New Roman" w:cs="Times New Roman"/>
                      <w:i/>
                      <w:iCs/>
                      <w:sz w:val="18"/>
                      <w:szCs w:val="18"/>
                      <w:vertAlign w:val="superscript"/>
                      <w:lang w:val="ro-RO" w:eastAsia="ro-MD"/>
                    </w:rPr>
                    <w:t>2</w:t>
                  </w:r>
                </w:p>
                <w:p w14:paraId="310DE776" w14:textId="77777777" w:rsidR="00914DC9" w:rsidRPr="006F5136" w:rsidRDefault="00914DC9" w:rsidP="00914DC9">
                  <w:pPr>
                    <w:spacing w:after="0" w:line="240" w:lineRule="auto"/>
                    <w:ind w:firstLine="567"/>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w:t>
                  </w:r>
                </w:p>
              </w:tc>
            </w:tr>
            <w:tr w:rsidR="00914DC9" w:rsidRPr="006F5136" w14:paraId="6FC45FCC" w14:textId="77777777" w:rsidTr="00464FFE">
              <w:trPr>
                <w:trHeight w:val="257"/>
                <w:jc w:val="center"/>
              </w:trPr>
              <w:tc>
                <w:tcPr>
                  <w:tcW w:w="117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B151C7" w14:textId="77777777" w:rsidR="00914DC9" w:rsidRPr="006F5136" w:rsidRDefault="00914DC9" w:rsidP="00914DC9">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Nivel de calitate a creditului</w:t>
                  </w:r>
                </w:p>
              </w:tc>
              <w:tc>
                <w:tcPr>
                  <w:tcW w:w="33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9AF490" w14:textId="77777777" w:rsidR="00914DC9" w:rsidRPr="006F5136" w:rsidRDefault="00914DC9" w:rsidP="00914DC9">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1</w:t>
                  </w:r>
                </w:p>
              </w:tc>
              <w:tc>
                <w:tcPr>
                  <w:tcW w:w="33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A53E22" w14:textId="77777777" w:rsidR="00914DC9" w:rsidRPr="006F5136" w:rsidRDefault="00914DC9" w:rsidP="00914DC9">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2</w:t>
                  </w:r>
                </w:p>
              </w:tc>
              <w:tc>
                <w:tcPr>
                  <w:tcW w:w="39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4D8813" w14:textId="77777777" w:rsidR="00914DC9" w:rsidRPr="006F5136" w:rsidRDefault="00914DC9" w:rsidP="00914DC9">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3</w:t>
                  </w:r>
                </w:p>
              </w:tc>
              <w:tc>
                <w:tcPr>
                  <w:tcW w:w="39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6A260D" w14:textId="77777777" w:rsidR="00914DC9" w:rsidRPr="006F5136" w:rsidRDefault="00914DC9" w:rsidP="00914DC9">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4</w:t>
                  </w:r>
                </w:p>
              </w:tc>
              <w:tc>
                <w:tcPr>
                  <w:tcW w:w="39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42C92A" w14:textId="77777777" w:rsidR="00914DC9" w:rsidRPr="006F5136" w:rsidRDefault="00914DC9" w:rsidP="00914DC9">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5</w:t>
                  </w:r>
                </w:p>
              </w:tc>
              <w:tc>
                <w:tcPr>
                  <w:tcW w:w="40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2C479E" w14:textId="77777777" w:rsidR="00914DC9" w:rsidRPr="006F5136" w:rsidRDefault="00914DC9" w:rsidP="00914DC9">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6</w:t>
                  </w:r>
                </w:p>
              </w:tc>
            </w:tr>
            <w:tr w:rsidR="00914DC9" w:rsidRPr="006F5136" w14:paraId="0CDE2E81" w14:textId="77777777" w:rsidTr="00464FFE">
              <w:trPr>
                <w:trHeight w:val="257"/>
                <w:jc w:val="center"/>
              </w:trPr>
              <w:tc>
                <w:tcPr>
                  <w:tcW w:w="117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C086C"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Pondere de risc</w:t>
                  </w:r>
                </w:p>
              </w:tc>
              <w:tc>
                <w:tcPr>
                  <w:tcW w:w="3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C060F"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20%</w:t>
                  </w:r>
                </w:p>
              </w:tc>
              <w:tc>
                <w:tcPr>
                  <w:tcW w:w="3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1135D"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50%</w:t>
                  </w:r>
                </w:p>
              </w:tc>
              <w:tc>
                <w:tcPr>
                  <w:tcW w:w="39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0AD2E"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100%</w:t>
                  </w:r>
                </w:p>
              </w:tc>
              <w:tc>
                <w:tcPr>
                  <w:tcW w:w="39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081C0"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100%</w:t>
                  </w:r>
                </w:p>
              </w:tc>
              <w:tc>
                <w:tcPr>
                  <w:tcW w:w="39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E5386"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100%</w:t>
                  </w:r>
                </w:p>
              </w:tc>
              <w:tc>
                <w:tcPr>
                  <w:tcW w:w="4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74566"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150%</w:t>
                  </w:r>
                </w:p>
              </w:tc>
            </w:tr>
          </w:tbl>
          <w:p w14:paraId="42AAB32D" w14:textId="77777777" w:rsidR="00914DC9" w:rsidRPr="006F5136" w:rsidRDefault="00914DC9" w:rsidP="00914DC9">
            <w:pPr>
              <w:spacing w:after="0" w:line="240" w:lineRule="auto"/>
              <w:ind w:firstLine="567"/>
              <w:jc w:val="both"/>
              <w:rPr>
                <w:rFonts w:ascii="Times New Roman" w:eastAsia="Times New Roman" w:hAnsi="Times New Roman" w:cs="Times New Roman"/>
                <w:sz w:val="18"/>
                <w:szCs w:val="18"/>
                <w:lang w:val="ro-RO" w:eastAsia="ro-MD"/>
              </w:rPr>
            </w:pPr>
          </w:p>
          <w:p w14:paraId="5960AB86" w14:textId="10476114" w:rsidR="00914DC9" w:rsidRPr="006F5136" w:rsidRDefault="00914DC9" w:rsidP="00914DC9">
            <w:pPr>
              <w:pStyle w:val="CM4"/>
              <w:tabs>
                <w:tab w:val="left" w:pos="150"/>
              </w:tabs>
              <w:ind w:left="-43" w:firstLine="43"/>
              <w:jc w:val="both"/>
              <w:rPr>
                <w:rFonts w:ascii="Times New Roman" w:hAnsi="Times New Roman"/>
                <w:i/>
                <w:iCs/>
                <w:sz w:val="18"/>
                <w:szCs w:val="18"/>
                <w:lang w:val="ro-RO" w:eastAsia="ru-RU"/>
              </w:rPr>
            </w:pPr>
            <w:r w:rsidRPr="006F5136">
              <w:rPr>
                <w:rFonts w:ascii="Times New Roman" w:hAnsi="Times New Roman"/>
                <w:i/>
                <w:iCs/>
                <w:sz w:val="18"/>
                <w:szCs w:val="18"/>
                <w:lang w:val="ro-RO" w:eastAsia="ru-RU"/>
              </w:rPr>
              <w:t>Proiectul HCE al BNM privind modificarea Regulamentului nr.111/2018</w:t>
            </w:r>
          </w:p>
        </w:tc>
        <w:tc>
          <w:tcPr>
            <w:tcW w:w="503" w:type="pct"/>
          </w:tcPr>
          <w:p w14:paraId="6CA116A8" w14:textId="1B7C4252"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7AEF2935" w14:textId="09090701"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5D008102"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5555C9F" w14:textId="074041B9" w:rsidR="00914DC9" w:rsidRPr="006F5136" w:rsidRDefault="00914DC9" w:rsidP="00914DC9">
            <w:pPr>
              <w:shd w:val="clear" w:color="auto" w:fill="FFFFFF"/>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Pentru expunerile menționate la primul paragraf, se atribuie o pondere de risc de 100 % în cazul în care administrația centrală a jurisdicției de care aparțin administrațiile regionale sau autoritățile locale nu beneficiază de rating.</w:t>
            </w:r>
          </w:p>
        </w:tc>
        <w:tc>
          <w:tcPr>
            <w:tcW w:w="1661" w:type="pct"/>
            <w:shd w:val="clear" w:color="auto" w:fill="auto"/>
          </w:tcPr>
          <w:p w14:paraId="4E441654"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35</w:t>
            </w:r>
            <w:r w:rsidRPr="006F5136">
              <w:rPr>
                <w:rFonts w:ascii="Times New Roman" w:eastAsia="Times New Roman" w:hAnsi="Times New Roman" w:cs="Times New Roman"/>
                <w:b/>
                <w:bCs/>
                <w:sz w:val="18"/>
                <w:szCs w:val="18"/>
                <w:vertAlign w:val="superscript"/>
                <w:lang w:val="ro-RO" w:eastAsia="ro-MD"/>
              </w:rPr>
              <w:t>1</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Pentru expunerile menționate la punctul 35, se atribuie o pondere de risc de 100 % în cazul în care administrația centrală a jurisdicției de care aparțin administrațiile regionale sau autoritățile locale nu beneficiază de rating.</w:t>
            </w:r>
          </w:p>
          <w:p w14:paraId="06CF03F3" w14:textId="2519800A" w:rsidR="00914DC9" w:rsidRPr="006F5136" w:rsidRDefault="00914DC9" w:rsidP="00914DC9">
            <w:pPr>
              <w:spacing w:after="0" w:line="240" w:lineRule="auto"/>
              <w:jc w:val="both"/>
              <w:rPr>
                <w:rFonts w:ascii="Times New Roman" w:eastAsia="Times New Roman" w:hAnsi="Times New Roman" w:cs="Times New Roman"/>
                <w:b/>
                <w:bCs/>
                <w:sz w:val="18"/>
                <w:szCs w:val="18"/>
                <w:lang w:val="ro-RO"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4ED73FFE" w14:textId="51EAC24E"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32BECE63" w14:textId="362CFA83"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59B8930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89"/>
        </w:trPr>
        <w:tc>
          <w:tcPr>
            <w:tcW w:w="1924" w:type="pct"/>
          </w:tcPr>
          <w:p w14:paraId="096AF180" w14:textId="431A0DE5" w:rsidR="00914DC9" w:rsidRPr="006F5136" w:rsidRDefault="00914DC9" w:rsidP="00914DC9">
            <w:pPr>
              <w:pStyle w:val="CM4"/>
              <w:tabs>
                <w:tab w:val="left" w:pos="150"/>
              </w:tabs>
              <w:ind w:left="-43"/>
              <w:jc w:val="both"/>
              <w:rPr>
                <w:rFonts w:ascii="Times New Roman" w:hAnsi="Times New Roman"/>
                <w:sz w:val="18"/>
                <w:szCs w:val="18"/>
                <w:lang w:val="ro-RO"/>
              </w:rPr>
            </w:pPr>
            <w:r w:rsidRPr="006F5136">
              <w:rPr>
                <w:rFonts w:ascii="Times New Roman" w:hAnsi="Times New Roman"/>
                <w:iCs/>
                <w:sz w:val="18"/>
                <w:szCs w:val="18"/>
                <w:lang w:val="ro-RO"/>
              </w:rPr>
              <w:t xml:space="preserve">(2)  </w:t>
            </w:r>
            <w:bookmarkStart w:id="6" w:name="_Hlk195787816"/>
            <w:r w:rsidRPr="006F5136">
              <w:rPr>
                <w:rFonts w:ascii="Times New Roman" w:hAnsi="Times New Roman"/>
                <w:sz w:val="18"/>
                <w:szCs w:val="18"/>
                <w:lang w:eastAsia="ro-MD"/>
              </w:rPr>
              <w:t>Prin derogare de la alineatele (-1) și (1), expunerile față de administrații regionale sau</w:t>
            </w:r>
            <w:r w:rsidRPr="006F5136">
              <w:rPr>
                <w:rFonts w:ascii="Times New Roman" w:hAnsi="Times New Roman"/>
                <w:color w:val="000000" w:themeColor="text1"/>
                <w:sz w:val="18"/>
                <w:szCs w:val="18"/>
                <w:lang w:eastAsia="ro-MD"/>
              </w:rPr>
              <w:t xml:space="preserve"> autorități locale sunt tratate ca expuneri față de administrația centrală sub a</w:t>
            </w:r>
            <w:r w:rsidRPr="006F5136">
              <w:rPr>
                <w:rFonts w:ascii="Times New Roman" w:hAnsi="Times New Roman"/>
                <w:sz w:val="18"/>
                <w:szCs w:val="18"/>
                <w:lang w:eastAsia="ro-MD"/>
              </w:rPr>
              <w:t> </w:t>
            </w:r>
            <w:r w:rsidRPr="006F5136">
              <w:rPr>
                <w:rFonts w:ascii="Times New Roman" w:hAnsi="Times New Roman"/>
                <w:color w:val="000000" w:themeColor="text1"/>
                <w:sz w:val="18"/>
                <w:szCs w:val="18"/>
                <w:lang w:eastAsia="ro-MD"/>
              </w:rPr>
              <w:t>cărei jurisdicție sunt instituite</w:t>
            </w:r>
            <w:r w:rsidRPr="006F5136">
              <w:rPr>
                <w:rFonts w:ascii="Times New Roman" w:hAnsi="Times New Roman"/>
                <w:sz w:val="18"/>
                <w:szCs w:val="18"/>
                <w:lang w:eastAsia="ro-MD"/>
              </w:rPr>
              <w:t xml:space="preserve"> acestea</w:t>
            </w:r>
            <w:r w:rsidRPr="006F5136">
              <w:rPr>
                <w:rFonts w:ascii="Times New Roman" w:hAnsi="Times New Roman"/>
                <w:color w:val="000000" w:themeColor="text1"/>
                <w:sz w:val="18"/>
                <w:szCs w:val="18"/>
                <w:lang w:eastAsia="ro-MD"/>
              </w:rPr>
              <w:t xml:space="preserve"> dacă nu există nicio diferență de risc între expunerile respective ca urmare a</w:t>
            </w:r>
            <w:r w:rsidRPr="006F5136">
              <w:rPr>
                <w:rFonts w:ascii="Times New Roman" w:hAnsi="Times New Roman"/>
                <w:sz w:val="18"/>
                <w:szCs w:val="18"/>
                <w:lang w:eastAsia="ro-MD"/>
              </w:rPr>
              <w:t> </w:t>
            </w:r>
            <w:r w:rsidRPr="006F5136">
              <w:rPr>
                <w:rFonts w:ascii="Times New Roman" w:hAnsi="Times New Roman"/>
                <w:color w:val="000000" w:themeColor="text1"/>
                <w:sz w:val="18"/>
                <w:szCs w:val="18"/>
                <w:lang w:eastAsia="ro-MD"/>
              </w:rPr>
              <w:t>competențelor specifice de colectare de venituri ale administrațiilor regionale și ale autorităților locale și a</w:t>
            </w:r>
            <w:r w:rsidRPr="006F5136">
              <w:rPr>
                <w:rFonts w:ascii="Times New Roman" w:hAnsi="Times New Roman"/>
                <w:sz w:val="18"/>
                <w:szCs w:val="18"/>
                <w:lang w:eastAsia="ro-MD"/>
              </w:rPr>
              <w:t> </w:t>
            </w:r>
            <w:r w:rsidRPr="006F5136">
              <w:rPr>
                <w:rFonts w:ascii="Times New Roman" w:hAnsi="Times New Roman"/>
                <w:color w:val="000000" w:themeColor="text1"/>
                <w:sz w:val="18"/>
                <w:szCs w:val="18"/>
                <w:lang w:eastAsia="ro-MD"/>
              </w:rPr>
              <w:t xml:space="preserve">existenței unor </w:t>
            </w:r>
            <w:r w:rsidRPr="006F5136">
              <w:rPr>
                <w:rFonts w:ascii="Times New Roman" w:hAnsi="Times New Roman"/>
                <w:sz w:val="18"/>
                <w:szCs w:val="18"/>
                <w:lang w:eastAsia="ro-MD"/>
              </w:rPr>
              <w:t>dispoziții</w:t>
            </w:r>
            <w:r w:rsidRPr="006F5136">
              <w:rPr>
                <w:rFonts w:ascii="Times New Roman" w:hAnsi="Times New Roman"/>
                <w:color w:val="000000" w:themeColor="text1"/>
                <w:sz w:val="18"/>
                <w:szCs w:val="18"/>
                <w:lang w:eastAsia="ro-MD"/>
              </w:rPr>
              <w:t xml:space="preserve"> instituționale specifice care au ca efect diminuarea riscului de nerambursare</w:t>
            </w:r>
            <w:bookmarkEnd w:id="6"/>
            <w:r w:rsidRPr="006F5136">
              <w:rPr>
                <w:rFonts w:ascii="Times New Roman" w:hAnsi="Times New Roman"/>
                <w:color w:val="000000" w:themeColor="text1"/>
                <w:sz w:val="18"/>
                <w:szCs w:val="18"/>
                <w:lang w:eastAsia="ro-MD"/>
              </w:rPr>
              <w:t>.</w:t>
            </w:r>
          </w:p>
          <w:p w14:paraId="66BF6768" w14:textId="029A91B1" w:rsidR="00914DC9" w:rsidRPr="006F5136" w:rsidRDefault="00914DC9" w:rsidP="00914DC9">
            <w:pPr>
              <w:pStyle w:val="CM4"/>
              <w:tabs>
                <w:tab w:val="left" w:pos="150"/>
              </w:tabs>
              <w:ind w:left="-43"/>
              <w:jc w:val="both"/>
              <w:rPr>
                <w:rFonts w:ascii="Times New Roman" w:hAnsi="Times New Roman"/>
                <w:iCs/>
                <w:sz w:val="18"/>
                <w:szCs w:val="18"/>
                <w:lang w:val="ro-RO"/>
              </w:rPr>
            </w:pPr>
          </w:p>
        </w:tc>
        <w:tc>
          <w:tcPr>
            <w:tcW w:w="1661" w:type="pct"/>
            <w:shd w:val="clear" w:color="auto" w:fill="auto"/>
          </w:tcPr>
          <w:p w14:paraId="3DD4CE1B" w14:textId="77777777" w:rsidR="00914DC9" w:rsidRPr="006F5136" w:rsidRDefault="00914DC9" w:rsidP="00914DC9">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35</w:t>
            </w:r>
            <w:r w:rsidRPr="006F5136">
              <w:rPr>
                <w:rFonts w:ascii="Times New Roman" w:eastAsia="Times New Roman" w:hAnsi="Times New Roman" w:cs="Times New Roman"/>
                <w:b/>
                <w:bCs/>
                <w:sz w:val="18"/>
                <w:szCs w:val="18"/>
                <w:vertAlign w:val="superscript"/>
                <w:lang w:val="ro-RO" w:eastAsia="ro-MD"/>
              </w:rPr>
              <w:t>2</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Prin derogare de la punctele 34 și 35, expunerile față de administrații regionale sau autorități locale sunt tratate ca expuneri față de administrația centrală sub a cărei jurisdicție sunt instituite acestea, dacă nu există nicio diferență de risc între expunerile respective ca urmare a  competențelor specifice de colectare de venituri ale administrațiilor regionale și ale autorităților locale și a  existenței unor dispoziții instituționale specifice care au ca efect diminuarea riscului de nerambursare.</w:t>
            </w:r>
          </w:p>
          <w:p w14:paraId="44B434AE" w14:textId="27F3C08A"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5055D612" w14:textId="0B8EEC89"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080248BC" w14:textId="0514F8AC"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F27910" w:rsidRPr="006F5136" w14:paraId="2285E9D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62"/>
        </w:trPr>
        <w:tc>
          <w:tcPr>
            <w:tcW w:w="1924" w:type="pct"/>
          </w:tcPr>
          <w:p w14:paraId="06686BA5" w14:textId="77777777" w:rsidR="00F27910" w:rsidRPr="006F5136" w:rsidRDefault="00F27910" w:rsidP="005E4694">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ABE menține o bază de date publică a tuturor administrațiilor regionale și autorităților locale din Uniune pe care autoritățile competente relevante le tratează ca expuneri față de administrațiile lor centrale.</w:t>
            </w:r>
          </w:p>
          <w:p w14:paraId="0761C5DC" w14:textId="77777777" w:rsidR="00F27910" w:rsidRPr="006F5136" w:rsidRDefault="00F27910" w:rsidP="005E4694">
            <w:pPr>
              <w:pStyle w:val="CM4"/>
              <w:tabs>
                <w:tab w:val="left" w:pos="150"/>
              </w:tabs>
              <w:jc w:val="both"/>
              <w:rPr>
                <w:rFonts w:ascii="Times New Roman" w:hAnsi="Times New Roman"/>
                <w:iCs/>
                <w:sz w:val="18"/>
                <w:szCs w:val="18"/>
              </w:rPr>
            </w:pPr>
          </w:p>
        </w:tc>
        <w:tc>
          <w:tcPr>
            <w:tcW w:w="1661" w:type="pct"/>
            <w:shd w:val="clear" w:color="auto" w:fill="auto"/>
          </w:tcPr>
          <w:p w14:paraId="4CF04850" w14:textId="77777777" w:rsidR="00F27910" w:rsidRPr="006F5136" w:rsidRDefault="00F27910" w:rsidP="005E4694">
            <w:pPr>
              <w:spacing w:after="0" w:line="240" w:lineRule="auto"/>
              <w:rPr>
                <w:rFonts w:ascii="Times New Roman" w:eastAsia="Times New Roman" w:hAnsi="Times New Roman" w:cs="Times New Roman"/>
                <w:b/>
                <w:bCs/>
                <w:sz w:val="18"/>
                <w:szCs w:val="18"/>
                <w:lang w:val="ro-RO" w:eastAsia="ro-MD"/>
              </w:rPr>
            </w:pPr>
          </w:p>
        </w:tc>
        <w:tc>
          <w:tcPr>
            <w:tcW w:w="503" w:type="pct"/>
          </w:tcPr>
          <w:p w14:paraId="3912F22A" w14:textId="551588C2" w:rsidR="00F27910" w:rsidRPr="006F5136" w:rsidDel="00307025" w:rsidRDefault="00187F15"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Norme UE neaplicabile</w:t>
            </w:r>
          </w:p>
        </w:tc>
        <w:tc>
          <w:tcPr>
            <w:tcW w:w="912" w:type="pct"/>
          </w:tcPr>
          <w:p w14:paraId="26E10B94" w14:textId="77777777" w:rsidR="00F27910" w:rsidRPr="006F5136" w:rsidRDefault="00F27910" w:rsidP="005E4694">
            <w:pPr>
              <w:spacing w:after="0" w:line="240" w:lineRule="auto"/>
              <w:jc w:val="both"/>
              <w:rPr>
                <w:rFonts w:ascii="Times New Roman" w:hAnsi="Times New Roman" w:cs="Times New Roman"/>
                <w:iCs/>
                <w:sz w:val="18"/>
                <w:szCs w:val="18"/>
                <w:lang w:val="ro-RO"/>
              </w:rPr>
            </w:pPr>
          </w:p>
        </w:tc>
      </w:tr>
      <w:tr w:rsidR="00914DC9" w:rsidRPr="006F5136" w14:paraId="775C568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D179852" w14:textId="79752670"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hAnsi="Times New Roman" w:cs="Times New Roman"/>
                <w:iCs/>
                <w:sz w:val="18"/>
                <w:szCs w:val="18"/>
                <w:lang w:val="ro-RO"/>
              </w:rPr>
              <w:t xml:space="preserve">(3)  </w:t>
            </w:r>
            <w:r w:rsidRPr="006F5136">
              <w:rPr>
                <w:rFonts w:ascii="Times New Roman" w:eastAsia="Times New Roman" w:hAnsi="Times New Roman" w:cs="Times New Roman"/>
                <w:color w:val="000000" w:themeColor="text1"/>
                <w:sz w:val="18"/>
                <w:szCs w:val="18"/>
                <w:lang w:eastAsia="ro-MD"/>
              </w:rPr>
              <w:t xml:space="preserve">Expunerile față de biserici și comunități religioase constituite ca persoane juridice de drept public, în măsura în care percep taxe în conformitate cu </w:t>
            </w:r>
            <w:r w:rsidRPr="006F5136">
              <w:rPr>
                <w:rFonts w:ascii="Times New Roman" w:eastAsia="Times New Roman" w:hAnsi="Times New Roman" w:cs="Times New Roman"/>
                <w:sz w:val="18"/>
                <w:szCs w:val="18"/>
                <w:lang w:eastAsia="ro-MD"/>
              </w:rPr>
              <w:t>acte juridice</w:t>
            </w:r>
            <w:r w:rsidRPr="006F5136">
              <w:rPr>
                <w:rFonts w:ascii="Times New Roman" w:eastAsia="Times New Roman" w:hAnsi="Times New Roman" w:cs="Times New Roman"/>
                <w:color w:val="000000" w:themeColor="text1"/>
                <w:sz w:val="18"/>
                <w:szCs w:val="18"/>
                <w:lang w:eastAsia="ro-MD"/>
              </w:rPr>
              <w:t xml:space="preserve"> care le acordă acest drept, sunt tratate ca expuneri față de administrații regionale și autorități locale. În acest caz, alineatul</w:t>
            </w:r>
            <w:r w:rsidRPr="006F5136">
              <w:rPr>
                <w:rFonts w:ascii="Times New Roman" w:eastAsia="Times New Roman" w:hAnsi="Times New Roman" w:cs="Times New Roman"/>
                <w:sz w:val="18"/>
                <w:szCs w:val="18"/>
                <w:lang w:eastAsia="ro-MD"/>
              </w:rPr>
              <w:t> </w:t>
            </w:r>
            <w:r w:rsidRPr="006F5136">
              <w:rPr>
                <w:rFonts w:ascii="Times New Roman" w:eastAsia="Times New Roman" w:hAnsi="Times New Roman" w:cs="Times New Roman"/>
                <w:color w:val="000000" w:themeColor="text1"/>
                <w:sz w:val="18"/>
                <w:szCs w:val="18"/>
                <w:lang w:eastAsia="ro-MD"/>
              </w:rPr>
              <w:t>(2) nu se aplică.</w:t>
            </w:r>
          </w:p>
        </w:tc>
        <w:tc>
          <w:tcPr>
            <w:tcW w:w="1661" w:type="pct"/>
            <w:shd w:val="clear" w:color="auto" w:fill="auto"/>
          </w:tcPr>
          <w:p w14:paraId="021E1A1F" w14:textId="77777777" w:rsidR="00914DC9" w:rsidRPr="006F5136" w:rsidRDefault="00914DC9" w:rsidP="00914DC9">
            <w:pPr>
              <w:pStyle w:val="CM4"/>
              <w:tabs>
                <w:tab w:val="left" w:pos="150"/>
              </w:tabs>
              <w:ind w:left="-43" w:firstLine="43"/>
              <w:jc w:val="both"/>
              <w:rPr>
                <w:rFonts w:ascii="Times New Roman" w:hAnsi="Times New Roman"/>
                <w:sz w:val="18"/>
                <w:szCs w:val="18"/>
                <w:lang w:val="ro-RO" w:eastAsia="ro-MD"/>
              </w:rPr>
            </w:pPr>
            <w:r w:rsidRPr="006F5136">
              <w:rPr>
                <w:rFonts w:ascii="Times New Roman" w:hAnsi="Times New Roman"/>
                <w:b/>
                <w:bCs/>
                <w:sz w:val="18"/>
                <w:szCs w:val="18"/>
                <w:lang w:val="ro-RO" w:eastAsia="ro-MD"/>
              </w:rPr>
              <w:t>35</w:t>
            </w:r>
            <w:r w:rsidRPr="006F5136">
              <w:rPr>
                <w:rFonts w:ascii="Times New Roman" w:hAnsi="Times New Roman"/>
                <w:b/>
                <w:bCs/>
                <w:sz w:val="18"/>
                <w:szCs w:val="18"/>
                <w:vertAlign w:val="superscript"/>
                <w:lang w:val="ro-RO" w:eastAsia="ro-MD"/>
              </w:rPr>
              <w:t>3</w:t>
            </w:r>
            <w:r w:rsidRPr="006F5136">
              <w:rPr>
                <w:rFonts w:ascii="Times New Roman" w:hAnsi="Times New Roman"/>
                <w:b/>
                <w:bCs/>
                <w:sz w:val="18"/>
                <w:szCs w:val="18"/>
                <w:lang w:val="ro-RO" w:eastAsia="ro-MD"/>
              </w:rPr>
              <w:t>.</w:t>
            </w:r>
            <w:r w:rsidRPr="006F5136">
              <w:rPr>
                <w:rFonts w:ascii="Times New Roman" w:hAnsi="Times New Roman"/>
                <w:sz w:val="18"/>
                <w:szCs w:val="18"/>
                <w:lang w:val="ro-RO" w:eastAsia="ro-MD"/>
              </w:rPr>
              <w:t xml:space="preserve"> Expunerile față de biserici și comunități religioase constituite ca persoane juridice de drept public, în măsura în care percep taxe în conformitate cu acte juridice care le acordă acest drept, sunt tratate ca expuneri față de administrații regionale și autorități locale. În acest caz, punctul 35</w:t>
            </w:r>
            <w:r w:rsidRPr="006F5136">
              <w:rPr>
                <w:rFonts w:ascii="Times New Roman" w:hAnsi="Times New Roman"/>
                <w:sz w:val="18"/>
                <w:szCs w:val="18"/>
                <w:vertAlign w:val="superscript"/>
                <w:lang w:val="ro-RO" w:eastAsia="ro-MD"/>
              </w:rPr>
              <w:t>2</w:t>
            </w:r>
            <w:r w:rsidRPr="006F5136">
              <w:rPr>
                <w:rFonts w:ascii="Times New Roman" w:hAnsi="Times New Roman"/>
                <w:sz w:val="18"/>
                <w:szCs w:val="18"/>
                <w:lang w:val="ro-RO" w:eastAsia="ro-MD"/>
              </w:rPr>
              <w:t xml:space="preserve"> nu se aplică.</w:t>
            </w:r>
          </w:p>
          <w:p w14:paraId="68FD83BF" w14:textId="6D97C2DF" w:rsidR="00914DC9" w:rsidRPr="006F5136" w:rsidRDefault="00914DC9" w:rsidP="00914DC9">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60B4159E" w14:textId="7E07A054"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77AE496D" w14:textId="059EBC1E"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914DC9" w:rsidRPr="006F5136" w14:paraId="4F9202E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3"/>
        </w:trPr>
        <w:tc>
          <w:tcPr>
            <w:tcW w:w="1924" w:type="pct"/>
          </w:tcPr>
          <w:p w14:paraId="73F5C231" w14:textId="2DBCFFDC"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hAnsi="Times New Roman" w:cs="Times New Roman"/>
                <w:iCs/>
                <w:sz w:val="18"/>
                <w:szCs w:val="18"/>
                <w:lang w:val="ro-RO"/>
              </w:rPr>
              <w:t xml:space="preserve">(4)  </w:t>
            </w:r>
            <w:r w:rsidRPr="006F5136">
              <w:rPr>
                <w:rFonts w:ascii="Times New Roman" w:eastAsia="Times New Roman" w:hAnsi="Times New Roman" w:cs="Times New Roman"/>
                <w:sz w:val="18"/>
                <w:szCs w:val="18"/>
                <w:lang w:eastAsia="ro-MD"/>
              </w:rPr>
              <w:t xml:space="preserve">Prin derogare de la alineatele (– 1) și (1), când </w:t>
            </w:r>
            <w:r w:rsidRPr="006F5136">
              <w:rPr>
                <w:rFonts w:ascii="Times New Roman" w:eastAsia="Times New Roman" w:hAnsi="Times New Roman" w:cs="Times New Roman"/>
                <w:color w:val="000000" w:themeColor="text1"/>
                <w:sz w:val="18"/>
                <w:szCs w:val="18"/>
                <w:lang w:eastAsia="ro-MD"/>
              </w:rPr>
              <w:t xml:space="preserve"> autoritățile competente </w:t>
            </w:r>
            <w:r w:rsidRPr="006F5136">
              <w:rPr>
                <w:rFonts w:ascii="Times New Roman" w:eastAsia="Times New Roman" w:hAnsi="Times New Roman" w:cs="Times New Roman"/>
                <w:sz w:val="18"/>
                <w:szCs w:val="18"/>
                <w:lang w:eastAsia="ro-MD"/>
              </w:rPr>
              <w:t>ale</w:t>
            </w:r>
            <w:r w:rsidRPr="006F5136">
              <w:rPr>
                <w:rFonts w:ascii="Times New Roman" w:eastAsia="Times New Roman" w:hAnsi="Times New Roman" w:cs="Times New Roman"/>
                <w:color w:val="000000" w:themeColor="text1"/>
                <w:sz w:val="18"/>
                <w:szCs w:val="18"/>
                <w:lang w:eastAsia="ro-MD"/>
              </w:rPr>
              <w:t xml:space="preserve"> unei țări terțe care aplică dispoziții de supraveghere și de reglementare cel puțin echivalente cu cele aplicate în </w:t>
            </w:r>
            <w:r w:rsidRPr="006F5136">
              <w:rPr>
                <w:rFonts w:ascii="Times New Roman" w:eastAsia="Times New Roman" w:hAnsi="Times New Roman" w:cs="Times New Roman"/>
                <w:sz w:val="18"/>
                <w:szCs w:val="18"/>
                <w:lang w:eastAsia="ro-MD"/>
              </w:rPr>
              <w:t>Uniune</w:t>
            </w:r>
            <w:r w:rsidRPr="006F5136">
              <w:rPr>
                <w:rFonts w:ascii="Times New Roman" w:eastAsia="Times New Roman" w:hAnsi="Times New Roman" w:cs="Times New Roman"/>
                <w:color w:val="000000" w:themeColor="text1"/>
                <w:sz w:val="18"/>
                <w:szCs w:val="18"/>
                <w:lang w:eastAsia="ro-MD"/>
              </w:rPr>
              <w:t xml:space="preserve"> tratează expunerile față de administrații regionale sau autorități locale în același mod ca și expunerile față de propria administrație centrală și nu există nicio diferență de risc între aceste expuneri, datorită competențelor specifice de colectare de venituri ale administrațiilor regionale sau autorităților locale și datorită acordurilor instituționale specifice de reducere a</w:t>
            </w:r>
            <w:r w:rsidRPr="006F5136">
              <w:rPr>
                <w:rFonts w:ascii="Times New Roman" w:eastAsia="Times New Roman" w:hAnsi="Times New Roman" w:cs="Times New Roman"/>
                <w:sz w:val="18"/>
                <w:szCs w:val="18"/>
                <w:lang w:eastAsia="ro-MD"/>
              </w:rPr>
              <w:t> </w:t>
            </w:r>
            <w:r w:rsidRPr="006F5136">
              <w:rPr>
                <w:rFonts w:ascii="Times New Roman" w:eastAsia="Times New Roman" w:hAnsi="Times New Roman" w:cs="Times New Roman"/>
                <w:color w:val="000000" w:themeColor="text1"/>
                <w:sz w:val="18"/>
                <w:szCs w:val="18"/>
                <w:lang w:eastAsia="ro-MD"/>
              </w:rPr>
              <w:t>riscului de nerambursare, instituțiile pot să aplice expunerilor față de astfel de administrații regionale și autorități locale aceleași ponderi de risc.</w:t>
            </w:r>
            <w:r w:rsidRPr="006F5136">
              <w:rPr>
                <w:rFonts w:ascii="Times New Roman" w:eastAsia="Times New Roman" w:hAnsi="Times New Roman" w:cs="Times New Roman"/>
                <w:b/>
                <w:bCs/>
                <w:sz w:val="18"/>
                <w:szCs w:val="18"/>
                <w:lang w:eastAsia="ro-MD"/>
              </w:rPr>
              <w:t> ◄</w:t>
            </w:r>
          </w:p>
          <w:p w14:paraId="55567BF6" w14:textId="3627C21F" w:rsidR="00914DC9" w:rsidRPr="006F5136" w:rsidRDefault="00914DC9" w:rsidP="00914DC9">
            <w:pPr>
              <w:pStyle w:val="CM4"/>
              <w:tabs>
                <w:tab w:val="left" w:pos="150"/>
              </w:tabs>
              <w:ind w:left="-43"/>
              <w:jc w:val="both"/>
              <w:rPr>
                <w:rFonts w:ascii="Times New Roman" w:hAnsi="Times New Roman"/>
                <w:iCs/>
                <w:sz w:val="18"/>
                <w:szCs w:val="18"/>
                <w:lang w:val="ro-RO"/>
              </w:rPr>
            </w:pPr>
          </w:p>
        </w:tc>
        <w:tc>
          <w:tcPr>
            <w:tcW w:w="1661" w:type="pct"/>
            <w:shd w:val="clear" w:color="auto" w:fill="auto"/>
          </w:tcPr>
          <w:p w14:paraId="123FBB77" w14:textId="77777777" w:rsidR="00914DC9" w:rsidRPr="006F5136" w:rsidRDefault="00914DC9" w:rsidP="00914DC9">
            <w:pPr>
              <w:pStyle w:val="CM4"/>
              <w:tabs>
                <w:tab w:val="left" w:pos="150"/>
              </w:tabs>
              <w:ind w:left="-43" w:firstLine="43"/>
              <w:jc w:val="both"/>
              <w:rPr>
                <w:rFonts w:ascii="Times New Roman" w:hAnsi="Times New Roman"/>
                <w:sz w:val="18"/>
                <w:szCs w:val="18"/>
                <w:lang w:val="ro-RO" w:eastAsia="ro-MD"/>
              </w:rPr>
            </w:pPr>
            <w:r w:rsidRPr="006F5136">
              <w:rPr>
                <w:rFonts w:ascii="Times New Roman" w:hAnsi="Times New Roman"/>
                <w:b/>
                <w:bCs/>
                <w:sz w:val="18"/>
                <w:szCs w:val="18"/>
                <w:lang w:val="ro-RO" w:eastAsia="ro-MD"/>
              </w:rPr>
              <w:t>35</w:t>
            </w:r>
            <w:r w:rsidRPr="006F5136">
              <w:rPr>
                <w:rFonts w:ascii="Times New Roman" w:hAnsi="Times New Roman"/>
                <w:b/>
                <w:bCs/>
                <w:sz w:val="18"/>
                <w:szCs w:val="18"/>
                <w:vertAlign w:val="superscript"/>
                <w:lang w:val="ro-RO" w:eastAsia="ro-MD"/>
              </w:rPr>
              <w:t>3</w:t>
            </w:r>
            <w:r w:rsidRPr="006F5136">
              <w:rPr>
                <w:rFonts w:ascii="Times New Roman" w:hAnsi="Times New Roman"/>
                <w:b/>
                <w:bCs/>
                <w:sz w:val="18"/>
                <w:szCs w:val="18"/>
                <w:lang w:val="ro-RO" w:eastAsia="ro-MD"/>
              </w:rPr>
              <w:t xml:space="preserve">. </w:t>
            </w:r>
            <w:r w:rsidRPr="006F5136">
              <w:rPr>
                <w:rFonts w:ascii="Times New Roman" w:hAnsi="Times New Roman"/>
                <w:sz w:val="18"/>
                <w:szCs w:val="18"/>
                <w:lang w:val="ro-RO" w:eastAsia="ro-MD"/>
              </w:rPr>
              <w:t>Prin derogare de la punctele 34 și 35, când autoritățile competente ale unei țări terțe care aplică dispoziții de supraveghere și de reglementare cel puțin echivalente cu cele aplicate în Republica Moldova în privința băncilor conform anexei nr.5, tratează expunerile față de administrații regionale sau autorități locale în același mod ca și expunerile față de propria administrație centrală și nu există nicio diferență de risc între aceste expuneri, datorită competențelor specifice de colectare de venituri ale administrațiilor regionale sau autorităților locale și datorită acordurilor instituționale specifice de reducere a  riscului de nerambursare, băncile pot să aplice expunerilor față de astfel de administrații regionale și autorități locale aceleași ponderi de risc.</w:t>
            </w:r>
          </w:p>
          <w:p w14:paraId="7AE45DDB" w14:textId="32076F8A" w:rsidR="00914DC9" w:rsidRPr="006F5136" w:rsidRDefault="00914DC9" w:rsidP="00914DC9">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25F19093" w14:textId="5B708357"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3F440E2D" w14:textId="066B85B0"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BB2F88" w:rsidRPr="006F5136" w14:paraId="71916B6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ED8C330" w14:textId="77777777" w:rsidR="00395381" w:rsidRPr="006F5136" w:rsidRDefault="00395381" w:rsidP="005E4694">
            <w:pPr>
              <w:pStyle w:val="CM4"/>
              <w:tabs>
                <w:tab w:val="left" w:pos="150"/>
              </w:tabs>
              <w:ind w:left="-43"/>
              <w:jc w:val="both"/>
              <w:rPr>
                <w:rFonts w:ascii="Times New Roman" w:hAnsi="Times New Roman"/>
                <w:iCs/>
                <w:sz w:val="18"/>
                <w:szCs w:val="18"/>
                <w:lang w:val="ro-RO"/>
              </w:rPr>
            </w:pPr>
            <w:r w:rsidRPr="006F5136">
              <w:rPr>
                <w:rFonts w:ascii="Times New Roman" w:hAnsi="Times New Roman"/>
                <w:iCs/>
                <w:sz w:val="18"/>
                <w:szCs w:val="18"/>
                <w:lang w:val="ro-RO"/>
              </w:rPr>
              <w:t>În sensul prezentului alineat, Comisia poate adopta, prin intermediul actelor de punere în aplicare și sub rezerva procedurii de examinare prevăzute la articolul 464 alineatul (2), o decizie prin care să stabilească dacă o țară terță aplică dispoziții de supraveghere și reglementare cel puțin echivalente cu cele aplicate în Uniune. În absența unei astfel de decizii, până la 1 ianuarie 2015, instituțiile pot continua să aplice tratamentul prevăzut la prezentul alineat pentru o țară terță, dacă autoritățile competente relevante au declarat țara terță respectivă ca fiind eligibilă pentru acest tratament înainte de 1 ianuarie 2014.</w:t>
            </w:r>
          </w:p>
        </w:tc>
        <w:tc>
          <w:tcPr>
            <w:tcW w:w="1661" w:type="pct"/>
            <w:shd w:val="clear" w:color="auto" w:fill="auto"/>
          </w:tcPr>
          <w:p w14:paraId="6A12397A" w14:textId="77777777" w:rsidR="00395381" w:rsidRPr="006F5136" w:rsidRDefault="00395381" w:rsidP="005E4694">
            <w:pPr>
              <w:pStyle w:val="CM4"/>
              <w:tabs>
                <w:tab w:val="left" w:pos="150"/>
              </w:tabs>
              <w:ind w:left="-43" w:firstLine="43"/>
              <w:jc w:val="both"/>
              <w:rPr>
                <w:rFonts w:ascii="Times New Roman" w:hAnsi="Times New Roman"/>
                <w:sz w:val="18"/>
                <w:szCs w:val="18"/>
                <w:lang w:val="ro-RO" w:eastAsia="ru-RU"/>
              </w:rPr>
            </w:pPr>
          </w:p>
        </w:tc>
        <w:tc>
          <w:tcPr>
            <w:tcW w:w="503" w:type="pct"/>
          </w:tcPr>
          <w:p w14:paraId="5833F308" w14:textId="76407F44" w:rsidR="00395381" w:rsidRPr="006F5136" w:rsidRDefault="0046148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Norme UE neaplicabile</w:t>
            </w:r>
          </w:p>
        </w:tc>
        <w:tc>
          <w:tcPr>
            <w:tcW w:w="912" w:type="pct"/>
          </w:tcPr>
          <w:p w14:paraId="5BFF6175" w14:textId="75991E1F"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Nu este transpusă - prevederea se referă la acțiunile autorităților din UE.</w:t>
            </w:r>
          </w:p>
        </w:tc>
      </w:tr>
      <w:tr w:rsidR="00FB31B9" w:rsidRPr="006F5136" w14:paraId="4D868380"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57A7522" w14:textId="77777777" w:rsidR="00FB31B9" w:rsidRPr="006F5136" w:rsidRDefault="00FB31B9" w:rsidP="005E4694">
            <w:pPr>
              <w:pStyle w:val="CM4"/>
              <w:tabs>
                <w:tab w:val="left" w:pos="150"/>
              </w:tabs>
              <w:ind w:left="-43"/>
              <w:jc w:val="both"/>
              <w:rPr>
                <w:rFonts w:ascii="Times New Roman" w:hAnsi="Times New Roman"/>
                <w:iCs/>
                <w:sz w:val="18"/>
                <w:szCs w:val="18"/>
                <w:lang w:val="ro-RO"/>
              </w:rPr>
            </w:pPr>
          </w:p>
        </w:tc>
        <w:tc>
          <w:tcPr>
            <w:tcW w:w="1661" w:type="pct"/>
            <w:shd w:val="clear" w:color="auto" w:fill="auto"/>
          </w:tcPr>
          <w:p w14:paraId="35EC616F" w14:textId="4CE4E4FD" w:rsidR="00FB31B9" w:rsidRPr="006F5136" w:rsidRDefault="00FB31B9" w:rsidP="005E4694">
            <w:pPr>
              <w:pStyle w:val="CM4"/>
              <w:tabs>
                <w:tab w:val="left" w:pos="150"/>
              </w:tabs>
              <w:ind w:left="-43" w:firstLine="43"/>
              <w:jc w:val="both"/>
              <w:rPr>
                <w:rFonts w:ascii="Times New Roman" w:hAnsi="Times New Roman"/>
                <w:sz w:val="18"/>
                <w:szCs w:val="18"/>
                <w:lang w:val="ro-RO" w:eastAsia="ru-RU"/>
              </w:rPr>
            </w:pPr>
            <w:r w:rsidRPr="006F5136">
              <w:rPr>
                <w:rFonts w:ascii="Times New Roman" w:hAnsi="Times New Roman"/>
                <w:sz w:val="18"/>
                <w:szCs w:val="18"/>
                <w:lang w:val="ro-RO" w:eastAsia="ru-RU"/>
              </w:rPr>
              <w:t>36. Administrațiile regionale și autoritățile locale din Republica Moldova reprezintă autoritățile administrației publice locale la care se face referire în cadrul Legii nr.436-XVI din 28 decembrie 2006 privind administrația publică locală (Monitorul Oficial al Republicii Moldova, 2007, nr.32-35 art.116).</w:t>
            </w:r>
          </w:p>
        </w:tc>
        <w:tc>
          <w:tcPr>
            <w:tcW w:w="503" w:type="pct"/>
          </w:tcPr>
          <w:p w14:paraId="4862AF1F" w14:textId="4D54AAAE" w:rsidR="00FB31B9" w:rsidRPr="006F5136" w:rsidRDefault="00FB31B9"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0CE52343" w14:textId="4424C587" w:rsidR="00FB31B9" w:rsidRPr="006F5136" w:rsidRDefault="00FB31B9"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F02CF4" w:rsidRPr="006F5136" w14:paraId="6E9B7417"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17"/>
        </w:trPr>
        <w:tc>
          <w:tcPr>
            <w:tcW w:w="1924" w:type="pct"/>
          </w:tcPr>
          <w:p w14:paraId="13E2DF6D" w14:textId="2A8C00AA" w:rsidR="00ED605C" w:rsidRPr="006F5136" w:rsidRDefault="00F02CF4" w:rsidP="005E4694">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hAnsi="Times New Roman" w:cs="Times New Roman"/>
                <w:iCs/>
                <w:sz w:val="18"/>
                <w:szCs w:val="18"/>
                <w:lang w:val="ro-RO"/>
              </w:rPr>
              <w:t xml:space="preserve">(5)  </w:t>
            </w:r>
            <w:r w:rsidR="00ED605C" w:rsidRPr="006F5136">
              <w:rPr>
                <w:rFonts w:ascii="Times New Roman" w:eastAsia="Times New Roman" w:hAnsi="Times New Roman" w:cs="Times New Roman"/>
                <w:sz w:val="18"/>
                <w:szCs w:val="18"/>
                <w:lang w:eastAsia="ro-MD"/>
              </w:rPr>
              <w:t>Prin derogare de la alineatele (– 1) și (1), expunerile</w:t>
            </w:r>
            <w:r w:rsidR="00ED605C" w:rsidRPr="006F5136">
              <w:rPr>
                <w:rFonts w:ascii="Times New Roman" w:eastAsia="Times New Roman" w:hAnsi="Times New Roman" w:cs="Times New Roman"/>
                <w:color w:val="000000" w:themeColor="text1"/>
                <w:sz w:val="18"/>
                <w:szCs w:val="18"/>
                <w:lang w:eastAsia="ro-MD"/>
              </w:rPr>
              <w:t xml:space="preserve"> față de administrații regionale sau autorități locale din statele membre care nu sunt menționate la alineatele</w:t>
            </w:r>
            <w:r w:rsidR="00ED605C" w:rsidRPr="006F5136">
              <w:rPr>
                <w:rFonts w:ascii="Times New Roman" w:eastAsia="Times New Roman" w:hAnsi="Times New Roman" w:cs="Times New Roman"/>
                <w:sz w:val="18"/>
                <w:szCs w:val="18"/>
                <w:lang w:eastAsia="ro-MD"/>
              </w:rPr>
              <w:t> </w:t>
            </w:r>
            <w:r w:rsidR="00ED605C" w:rsidRPr="006F5136">
              <w:rPr>
                <w:rFonts w:ascii="Times New Roman" w:eastAsia="Times New Roman" w:hAnsi="Times New Roman" w:cs="Times New Roman"/>
                <w:color w:val="000000" w:themeColor="text1"/>
                <w:sz w:val="18"/>
                <w:szCs w:val="18"/>
                <w:lang w:eastAsia="ro-MD"/>
              </w:rPr>
              <w:t>(2</w:t>
            </w:r>
            <w:r w:rsidR="00ED605C" w:rsidRPr="006F5136">
              <w:rPr>
                <w:rFonts w:ascii="Times New Roman" w:eastAsia="Times New Roman" w:hAnsi="Times New Roman" w:cs="Times New Roman"/>
                <w:sz w:val="18"/>
                <w:szCs w:val="18"/>
                <w:lang w:eastAsia="ro-MD"/>
              </w:rPr>
              <w:t>), (3) și (</w:t>
            </w:r>
            <w:r w:rsidR="00ED605C" w:rsidRPr="006F5136">
              <w:rPr>
                <w:rFonts w:ascii="Times New Roman" w:eastAsia="Times New Roman" w:hAnsi="Times New Roman" w:cs="Times New Roman"/>
                <w:color w:val="000000" w:themeColor="text1"/>
                <w:sz w:val="18"/>
                <w:szCs w:val="18"/>
                <w:lang w:eastAsia="ro-MD"/>
              </w:rPr>
              <w:t>4) și sunt denominate și finanțate în moneda națională a</w:t>
            </w:r>
            <w:r w:rsidR="00ED605C" w:rsidRPr="006F5136">
              <w:rPr>
                <w:rFonts w:ascii="Times New Roman" w:eastAsia="Times New Roman" w:hAnsi="Times New Roman" w:cs="Times New Roman"/>
                <w:sz w:val="18"/>
                <w:szCs w:val="18"/>
                <w:lang w:eastAsia="ro-MD"/>
              </w:rPr>
              <w:t> </w:t>
            </w:r>
            <w:r w:rsidR="00ED605C" w:rsidRPr="006F5136">
              <w:rPr>
                <w:rFonts w:ascii="Times New Roman" w:eastAsia="Times New Roman" w:hAnsi="Times New Roman" w:cs="Times New Roman"/>
                <w:color w:val="000000" w:themeColor="text1"/>
                <w:sz w:val="18"/>
                <w:szCs w:val="18"/>
                <w:lang w:eastAsia="ro-MD"/>
              </w:rPr>
              <w:t>administrației regionale sau a</w:t>
            </w:r>
            <w:r w:rsidR="00ED605C" w:rsidRPr="006F5136">
              <w:rPr>
                <w:rFonts w:ascii="Times New Roman" w:eastAsia="Times New Roman" w:hAnsi="Times New Roman" w:cs="Times New Roman"/>
                <w:sz w:val="18"/>
                <w:szCs w:val="18"/>
                <w:lang w:eastAsia="ro-MD"/>
              </w:rPr>
              <w:t> </w:t>
            </w:r>
            <w:r w:rsidR="00ED605C" w:rsidRPr="006F5136">
              <w:rPr>
                <w:rFonts w:ascii="Times New Roman" w:eastAsia="Times New Roman" w:hAnsi="Times New Roman" w:cs="Times New Roman"/>
                <w:color w:val="000000" w:themeColor="text1"/>
                <w:sz w:val="18"/>
                <w:szCs w:val="18"/>
                <w:lang w:eastAsia="ro-MD"/>
              </w:rPr>
              <w:t xml:space="preserve">autorității locale respective </w:t>
            </w:r>
            <w:r w:rsidR="00ED605C" w:rsidRPr="006F5136">
              <w:rPr>
                <w:rFonts w:ascii="Times New Roman" w:eastAsia="Times New Roman" w:hAnsi="Times New Roman" w:cs="Times New Roman"/>
                <w:sz w:val="18"/>
                <w:szCs w:val="18"/>
                <w:lang w:eastAsia="ro-MD"/>
              </w:rPr>
              <w:t>primesc</w:t>
            </w:r>
            <w:r w:rsidR="00ED605C" w:rsidRPr="006F5136">
              <w:rPr>
                <w:rFonts w:ascii="Times New Roman" w:eastAsia="Times New Roman" w:hAnsi="Times New Roman" w:cs="Times New Roman"/>
                <w:color w:val="000000" w:themeColor="text1"/>
                <w:sz w:val="18"/>
                <w:szCs w:val="18"/>
                <w:lang w:eastAsia="ro-MD"/>
              </w:rPr>
              <w:t xml:space="preserve"> o</w:t>
            </w:r>
            <w:r w:rsidR="00ED605C" w:rsidRPr="006F5136">
              <w:rPr>
                <w:rFonts w:ascii="Times New Roman" w:eastAsia="Times New Roman" w:hAnsi="Times New Roman" w:cs="Times New Roman"/>
                <w:sz w:val="18"/>
                <w:szCs w:val="18"/>
                <w:lang w:eastAsia="ro-MD"/>
              </w:rPr>
              <w:t> </w:t>
            </w:r>
            <w:r w:rsidR="00ED605C" w:rsidRPr="006F5136">
              <w:rPr>
                <w:rFonts w:ascii="Times New Roman" w:eastAsia="Times New Roman" w:hAnsi="Times New Roman" w:cs="Times New Roman"/>
                <w:color w:val="000000" w:themeColor="text1"/>
                <w:sz w:val="18"/>
                <w:szCs w:val="18"/>
                <w:lang w:eastAsia="ro-MD"/>
              </w:rPr>
              <w:t>pondere de risc de 20 %.</w:t>
            </w:r>
          </w:p>
          <w:p w14:paraId="4DE381FB" w14:textId="01A205DC" w:rsidR="00F02CF4" w:rsidRPr="006F5136" w:rsidRDefault="00F02CF4" w:rsidP="005E4694">
            <w:pPr>
              <w:pStyle w:val="CM4"/>
              <w:tabs>
                <w:tab w:val="left" w:pos="150"/>
              </w:tabs>
              <w:ind w:left="-43"/>
              <w:jc w:val="both"/>
              <w:rPr>
                <w:rFonts w:ascii="Times New Roman" w:hAnsi="Times New Roman"/>
                <w:iCs/>
                <w:sz w:val="18"/>
                <w:szCs w:val="18"/>
              </w:rPr>
            </w:pPr>
          </w:p>
        </w:tc>
        <w:tc>
          <w:tcPr>
            <w:tcW w:w="1661" w:type="pct"/>
            <w:shd w:val="clear" w:color="auto" w:fill="auto"/>
          </w:tcPr>
          <w:p w14:paraId="5CB2A587" w14:textId="77777777" w:rsidR="00F02CF4" w:rsidRPr="006F5136" w:rsidRDefault="00F02CF4" w:rsidP="005E4694">
            <w:pPr>
              <w:pStyle w:val="CM4"/>
              <w:tabs>
                <w:tab w:val="left" w:pos="150"/>
              </w:tabs>
              <w:ind w:left="-43"/>
              <w:jc w:val="both"/>
              <w:rPr>
                <w:rFonts w:ascii="Times New Roman" w:hAnsi="Times New Roman"/>
                <w:sz w:val="18"/>
                <w:szCs w:val="18"/>
                <w:lang w:val="ro-RO" w:eastAsia="ro-MD"/>
              </w:rPr>
            </w:pPr>
            <w:r w:rsidRPr="006F5136">
              <w:rPr>
                <w:rFonts w:ascii="Times New Roman" w:hAnsi="Times New Roman"/>
                <w:sz w:val="18"/>
                <w:szCs w:val="18"/>
                <w:lang w:val="ro-RO" w:eastAsia="ru-RU"/>
              </w:rPr>
              <w:t>3</w:t>
            </w:r>
            <w:r w:rsidR="00FB6902" w:rsidRPr="006F5136">
              <w:rPr>
                <w:rFonts w:ascii="Times New Roman" w:hAnsi="Times New Roman"/>
                <w:sz w:val="18"/>
                <w:szCs w:val="18"/>
                <w:lang w:val="ro-RO" w:eastAsia="ru-RU"/>
              </w:rPr>
              <w:t>7</w:t>
            </w:r>
            <w:r w:rsidRPr="006F5136">
              <w:rPr>
                <w:rFonts w:ascii="Times New Roman" w:hAnsi="Times New Roman"/>
                <w:sz w:val="18"/>
                <w:szCs w:val="18"/>
                <w:lang w:val="ro-RO" w:eastAsia="ru-RU"/>
              </w:rPr>
              <w:t xml:space="preserve">. </w:t>
            </w:r>
            <w:r w:rsidR="00ED605C" w:rsidRPr="006F5136">
              <w:rPr>
                <w:rFonts w:ascii="Times New Roman" w:hAnsi="Times New Roman"/>
                <w:sz w:val="18"/>
                <w:szCs w:val="18"/>
                <w:lang w:val="ro-RO" w:eastAsia="ro-MD"/>
              </w:rPr>
              <w:t>Prin derogare de la punctele 34 și 35, expunerilor față de administrațiile regionale și autoritățile locale din Republica Moldova exprimate și finanțate în lei moldovenești li se aplică o pondere de risc de 20%.</w:t>
            </w:r>
          </w:p>
          <w:p w14:paraId="55F5E6D8" w14:textId="1A4AAF52" w:rsidR="001A214A" w:rsidRPr="006F5136" w:rsidRDefault="001A214A" w:rsidP="005E4694">
            <w:pPr>
              <w:spacing w:after="0" w:line="240" w:lineRule="auto"/>
              <w:rPr>
                <w:rFonts w:ascii="Times New Roman" w:hAnsi="Times New Roman" w:cs="Times New Roman"/>
                <w:i/>
                <w:iCs/>
                <w:sz w:val="18"/>
                <w:szCs w:val="18"/>
                <w:lang w:val="ro-RO" w:eastAsia="ro-MD"/>
              </w:rPr>
            </w:pPr>
            <w:r w:rsidRPr="006F5136">
              <w:rPr>
                <w:rFonts w:ascii="Times New Roman" w:eastAsia="Times New Roman" w:hAnsi="Times New Roman" w:cs="Times New Roman"/>
                <w:i/>
                <w:iCs/>
                <w:sz w:val="18"/>
                <w:szCs w:val="18"/>
                <w:lang w:val="ro-RO" w:eastAsia="ro-MD"/>
              </w:rPr>
              <w:t>Completat prin Proiectul HCE al BNM privind modificarea Regulamentului nr.111/2018.</w:t>
            </w:r>
          </w:p>
        </w:tc>
        <w:tc>
          <w:tcPr>
            <w:tcW w:w="503" w:type="pct"/>
          </w:tcPr>
          <w:p w14:paraId="5464EE7B" w14:textId="58023480" w:rsidR="00F02CF4" w:rsidRPr="006F5136" w:rsidRDefault="00F02CF4"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39F80759" w14:textId="687EE250" w:rsidR="00F02CF4"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F02CF4" w:rsidRPr="006F5136" w14:paraId="3545AAA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3A654FB"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116</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Expuneri față de entități din sectorul public</w:t>
            </w:r>
          </w:p>
          <w:p w14:paraId="0F16FA47" w14:textId="77777777" w:rsidR="00F02CF4" w:rsidRPr="006F5136" w:rsidRDefault="00F02CF4" w:rsidP="005E4694">
            <w:pPr>
              <w:spacing w:after="0" w:line="240" w:lineRule="auto"/>
              <w:rPr>
                <w:rFonts w:ascii="Times New Roman" w:hAnsi="Times New Roman" w:cs="Times New Roman"/>
                <w:iCs/>
                <w:sz w:val="18"/>
                <w:szCs w:val="18"/>
                <w:lang w:val="ro-RO"/>
              </w:rPr>
            </w:pPr>
          </w:p>
          <w:p w14:paraId="7F8C2824" w14:textId="77777777" w:rsidR="00F02CF4" w:rsidRPr="006F5136" w:rsidRDefault="00F02CF4" w:rsidP="005E4694">
            <w:pPr>
              <w:spacing w:after="0" w:line="240" w:lineRule="auto"/>
              <w:rPr>
                <w:rFonts w:ascii="Times New Roman" w:hAnsi="Times New Roman" w:cs="Times New Roman"/>
                <w:iCs/>
                <w:sz w:val="18"/>
                <w:szCs w:val="18"/>
                <w:lang w:val="ro-RO"/>
              </w:rPr>
            </w:pPr>
            <w:r w:rsidRPr="006F5136">
              <w:rPr>
                <w:rFonts w:ascii="Times New Roman" w:hAnsi="Times New Roman" w:cs="Times New Roman"/>
                <w:iCs/>
                <w:sz w:val="18"/>
                <w:szCs w:val="18"/>
                <w:lang w:val="ro-RO"/>
              </w:rPr>
              <w:t>(1)  Expunerile față de entități din sectorul public pentru care nu este disponibilă o evaluare de credit efectuată de o instituție externă de evaluare a creditului desemnată primesc o pondere de risc în conformitate cu nivelul de calitate a creditului atribuit expunerilor față de administrația centrală a jurisdicției în care este înregistrată entitatea din sectorul public în conformitate cu tabelul 2 de mai jos:</w:t>
            </w:r>
          </w:p>
          <w:p w14:paraId="3EECEFAE" w14:textId="77777777" w:rsidR="00F02CF4" w:rsidRPr="006F5136" w:rsidRDefault="00F02CF4" w:rsidP="005E4694">
            <w:pPr>
              <w:spacing w:after="0" w:line="240" w:lineRule="auto"/>
              <w:rPr>
                <w:rFonts w:ascii="Times New Roman" w:hAnsi="Times New Roman" w:cs="Times New Roman"/>
                <w:iCs/>
                <w:sz w:val="18"/>
                <w:szCs w:val="18"/>
                <w:lang w:val="ro-RO"/>
              </w:rPr>
            </w:pPr>
            <w:r w:rsidRPr="006F5136">
              <w:rPr>
                <w:rFonts w:ascii="Times New Roman" w:hAnsi="Times New Roman" w:cs="Times New Roman"/>
                <w:iCs/>
                <w:sz w:val="18"/>
                <w:szCs w:val="18"/>
                <w:lang w:val="ro-RO"/>
              </w:rPr>
              <w:t>Tabelul 2</w:t>
            </w:r>
          </w:p>
          <w:tbl>
            <w:tblPr>
              <w:tblW w:w="4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815"/>
              <w:gridCol w:w="284"/>
              <w:gridCol w:w="283"/>
              <w:gridCol w:w="426"/>
              <w:gridCol w:w="425"/>
              <w:gridCol w:w="425"/>
              <w:gridCol w:w="425"/>
            </w:tblGrid>
            <w:tr w:rsidR="00F02CF4" w:rsidRPr="006F5136" w14:paraId="75F52528" w14:textId="77777777" w:rsidTr="00977E5E">
              <w:trPr>
                <w:jc w:val="center"/>
              </w:trPr>
              <w:tc>
                <w:tcPr>
                  <w:tcW w:w="1815" w:type="dxa"/>
                  <w:shd w:val="clear" w:color="auto" w:fill="FFFFFF"/>
                  <w:tcMar>
                    <w:top w:w="30" w:type="dxa"/>
                    <w:left w:w="75" w:type="dxa"/>
                    <w:bottom w:w="30" w:type="dxa"/>
                    <w:right w:w="30" w:type="dxa"/>
                  </w:tcMar>
                  <w:hideMark/>
                </w:tcPr>
                <w:p w14:paraId="22B3B0C4"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Nivel de calitate a creditului atribuit administrației centrale</w:t>
                  </w:r>
                </w:p>
              </w:tc>
              <w:tc>
                <w:tcPr>
                  <w:tcW w:w="284" w:type="dxa"/>
                  <w:shd w:val="clear" w:color="auto" w:fill="FFFFFF"/>
                  <w:tcMar>
                    <w:top w:w="30" w:type="dxa"/>
                    <w:left w:w="75" w:type="dxa"/>
                    <w:bottom w:w="30" w:type="dxa"/>
                    <w:right w:w="30" w:type="dxa"/>
                  </w:tcMar>
                  <w:hideMark/>
                </w:tcPr>
                <w:p w14:paraId="62911EC6"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w:t>
                  </w:r>
                </w:p>
              </w:tc>
              <w:tc>
                <w:tcPr>
                  <w:tcW w:w="283" w:type="dxa"/>
                  <w:shd w:val="clear" w:color="auto" w:fill="FFFFFF"/>
                  <w:tcMar>
                    <w:top w:w="30" w:type="dxa"/>
                    <w:left w:w="75" w:type="dxa"/>
                    <w:bottom w:w="30" w:type="dxa"/>
                    <w:right w:w="30" w:type="dxa"/>
                  </w:tcMar>
                  <w:hideMark/>
                </w:tcPr>
                <w:p w14:paraId="74568E62"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w:t>
                  </w:r>
                </w:p>
              </w:tc>
              <w:tc>
                <w:tcPr>
                  <w:tcW w:w="426" w:type="dxa"/>
                  <w:shd w:val="clear" w:color="auto" w:fill="FFFFFF"/>
                  <w:tcMar>
                    <w:top w:w="30" w:type="dxa"/>
                    <w:left w:w="75" w:type="dxa"/>
                    <w:bottom w:w="30" w:type="dxa"/>
                    <w:right w:w="30" w:type="dxa"/>
                  </w:tcMar>
                  <w:hideMark/>
                </w:tcPr>
                <w:p w14:paraId="37A13A7E"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w:t>
                  </w:r>
                </w:p>
              </w:tc>
              <w:tc>
                <w:tcPr>
                  <w:tcW w:w="425" w:type="dxa"/>
                  <w:shd w:val="clear" w:color="auto" w:fill="FFFFFF"/>
                  <w:tcMar>
                    <w:top w:w="30" w:type="dxa"/>
                    <w:left w:w="75" w:type="dxa"/>
                    <w:bottom w:w="30" w:type="dxa"/>
                    <w:right w:w="30" w:type="dxa"/>
                  </w:tcMar>
                  <w:hideMark/>
                </w:tcPr>
                <w:p w14:paraId="3F4DB509"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w:t>
                  </w:r>
                </w:p>
              </w:tc>
              <w:tc>
                <w:tcPr>
                  <w:tcW w:w="425" w:type="dxa"/>
                  <w:shd w:val="clear" w:color="auto" w:fill="FFFFFF"/>
                  <w:tcMar>
                    <w:top w:w="30" w:type="dxa"/>
                    <w:left w:w="75" w:type="dxa"/>
                    <w:bottom w:w="30" w:type="dxa"/>
                    <w:right w:w="30" w:type="dxa"/>
                  </w:tcMar>
                  <w:hideMark/>
                </w:tcPr>
                <w:p w14:paraId="2326FC21"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w:t>
                  </w:r>
                </w:p>
              </w:tc>
              <w:tc>
                <w:tcPr>
                  <w:tcW w:w="425" w:type="dxa"/>
                  <w:shd w:val="clear" w:color="auto" w:fill="FFFFFF"/>
                  <w:tcMar>
                    <w:top w:w="30" w:type="dxa"/>
                    <w:left w:w="75" w:type="dxa"/>
                    <w:bottom w:w="30" w:type="dxa"/>
                    <w:right w:w="30" w:type="dxa"/>
                  </w:tcMar>
                  <w:hideMark/>
                </w:tcPr>
                <w:p w14:paraId="29A33A02"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6</w:t>
                  </w:r>
                </w:p>
              </w:tc>
            </w:tr>
            <w:tr w:rsidR="00F02CF4" w:rsidRPr="006F5136" w14:paraId="20C0A0DF" w14:textId="77777777" w:rsidTr="00977E5E">
              <w:trPr>
                <w:jc w:val="center"/>
              </w:trPr>
              <w:tc>
                <w:tcPr>
                  <w:tcW w:w="1815" w:type="dxa"/>
                  <w:shd w:val="clear" w:color="auto" w:fill="FFFFFF"/>
                  <w:tcMar>
                    <w:top w:w="30" w:type="dxa"/>
                    <w:left w:w="75" w:type="dxa"/>
                    <w:bottom w:w="30" w:type="dxa"/>
                    <w:right w:w="30" w:type="dxa"/>
                  </w:tcMar>
                  <w:hideMark/>
                </w:tcPr>
                <w:p w14:paraId="589F65D8"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Pondere de risc</w:t>
                  </w:r>
                </w:p>
              </w:tc>
              <w:tc>
                <w:tcPr>
                  <w:tcW w:w="284" w:type="dxa"/>
                  <w:shd w:val="clear" w:color="auto" w:fill="FFFFFF"/>
                  <w:tcMar>
                    <w:top w:w="30" w:type="dxa"/>
                    <w:left w:w="75" w:type="dxa"/>
                    <w:bottom w:w="30" w:type="dxa"/>
                    <w:right w:w="30" w:type="dxa"/>
                  </w:tcMar>
                  <w:hideMark/>
                </w:tcPr>
                <w:p w14:paraId="7612E21D"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283" w:type="dxa"/>
                  <w:shd w:val="clear" w:color="auto" w:fill="FFFFFF"/>
                  <w:tcMar>
                    <w:top w:w="30" w:type="dxa"/>
                    <w:left w:w="75" w:type="dxa"/>
                    <w:bottom w:w="30" w:type="dxa"/>
                    <w:right w:w="30" w:type="dxa"/>
                  </w:tcMar>
                  <w:hideMark/>
                </w:tcPr>
                <w:p w14:paraId="4D7959C9"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50 %</w:t>
                  </w:r>
                </w:p>
              </w:tc>
              <w:tc>
                <w:tcPr>
                  <w:tcW w:w="426" w:type="dxa"/>
                  <w:shd w:val="clear" w:color="auto" w:fill="FFFFFF"/>
                  <w:tcMar>
                    <w:top w:w="30" w:type="dxa"/>
                    <w:left w:w="75" w:type="dxa"/>
                    <w:bottom w:w="30" w:type="dxa"/>
                    <w:right w:w="30" w:type="dxa"/>
                  </w:tcMar>
                  <w:hideMark/>
                </w:tcPr>
                <w:p w14:paraId="4376598C"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425" w:type="dxa"/>
                  <w:shd w:val="clear" w:color="auto" w:fill="FFFFFF"/>
                  <w:tcMar>
                    <w:top w:w="30" w:type="dxa"/>
                    <w:left w:w="75" w:type="dxa"/>
                    <w:bottom w:w="30" w:type="dxa"/>
                    <w:right w:w="30" w:type="dxa"/>
                  </w:tcMar>
                  <w:hideMark/>
                </w:tcPr>
                <w:p w14:paraId="2E562E6C"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425" w:type="dxa"/>
                  <w:shd w:val="clear" w:color="auto" w:fill="FFFFFF"/>
                  <w:tcMar>
                    <w:top w:w="30" w:type="dxa"/>
                    <w:left w:w="75" w:type="dxa"/>
                    <w:bottom w:w="30" w:type="dxa"/>
                    <w:right w:w="30" w:type="dxa"/>
                  </w:tcMar>
                  <w:hideMark/>
                </w:tcPr>
                <w:p w14:paraId="3B3FA18D"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425" w:type="dxa"/>
                  <w:shd w:val="clear" w:color="auto" w:fill="FFFFFF"/>
                  <w:tcMar>
                    <w:top w:w="30" w:type="dxa"/>
                    <w:left w:w="75" w:type="dxa"/>
                    <w:bottom w:w="30" w:type="dxa"/>
                    <w:right w:w="30" w:type="dxa"/>
                  </w:tcMar>
                  <w:hideMark/>
                </w:tcPr>
                <w:p w14:paraId="13258088"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r>
          </w:tbl>
          <w:p w14:paraId="18E85F15" w14:textId="77777777" w:rsidR="00F02CF4" w:rsidRPr="006F5136" w:rsidRDefault="00F02CF4" w:rsidP="005E4694">
            <w:pPr>
              <w:spacing w:after="0" w:line="240" w:lineRule="auto"/>
              <w:rPr>
                <w:rFonts w:ascii="Times New Roman" w:hAnsi="Times New Roman" w:cs="Times New Roman"/>
                <w:iCs/>
                <w:sz w:val="18"/>
                <w:szCs w:val="18"/>
                <w:lang w:val="ro-RO"/>
              </w:rPr>
            </w:pPr>
          </w:p>
          <w:p w14:paraId="25947AD4" w14:textId="77777777" w:rsidR="00F02CF4" w:rsidRPr="006F5136" w:rsidRDefault="00F02CF4" w:rsidP="005E4694">
            <w:pPr>
              <w:spacing w:after="0" w:line="240" w:lineRule="auto"/>
              <w:rPr>
                <w:rFonts w:ascii="Times New Roman" w:hAnsi="Times New Roman" w:cs="Times New Roman"/>
                <w:iCs/>
                <w:sz w:val="18"/>
                <w:szCs w:val="18"/>
                <w:lang w:val="ro-RO"/>
              </w:rPr>
            </w:pPr>
            <w:r w:rsidRPr="006F5136">
              <w:rPr>
                <w:rFonts w:ascii="Times New Roman" w:hAnsi="Times New Roman" w:cs="Times New Roman"/>
                <w:iCs/>
                <w:sz w:val="18"/>
                <w:szCs w:val="18"/>
                <w:lang w:val="ro-RO"/>
              </w:rPr>
              <w:t>Pentru expunerile față de entități din sectorul public înregistrate în țări a căror administrație centrală nu beneficiază de rating, ponderea de risc este de 100 %.</w:t>
            </w:r>
          </w:p>
        </w:tc>
        <w:tc>
          <w:tcPr>
            <w:tcW w:w="1661" w:type="pct"/>
            <w:shd w:val="clear" w:color="auto" w:fill="auto"/>
          </w:tcPr>
          <w:p w14:paraId="3B3B643F" w14:textId="77777777" w:rsidR="00F02CF4" w:rsidRPr="006F5136" w:rsidRDefault="00F02CF4" w:rsidP="005E4694">
            <w:pPr>
              <w:pStyle w:val="CM4"/>
              <w:tabs>
                <w:tab w:val="left" w:pos="150"/>
              </w:tabs>
              <w:ind w:left="-36" w:firstLine="142"/>
              <w:rPr>
                <w:rFonts w:ascii="Times New Roman" w:hAnsi="Times New Roman"/>
                <w:sz w:val="18"/>
                <w:szCs w:val="18"/>
                <w:lang w:val="ro-RO" w:eastAsia="ru-RU"/>
              </w:rPr>
            </w:pPr>
            <w:r w:rsidRPr="006F5136">
              <w:rPr>
                <w:rFonts w:ascii="Times New Roman" w:hAnsi="Times New Roman"/>
                <w:sz w:val="18"/>
                <w:szCs w:val="18"/>
                <w:lang w:val="ro-RO" w:eastAsia="ru-RU"/>
              </w:rPr>
              <w:t xml:space="preserve">Secțiunea a 3-a. Expuneri față de entități din sectorul public </w:t>
            </w:r>
          </w:p>
          <w:p w14:paraId="70819342" w14:textId="77777777" w:rsidR="00F02CF4" w:rsidRPr="006F5136" w:rsidRDefault="00F02CF4" w:rsidP="005E4694">
            <w:pPr>
              <w:spacing w:after="0" w:line="240" w:lineRule="auto"/>
              <w:ind w:left="-36" w:firstLine="142"/>
              <w:rPr>
                <w:rFonts w:ascii="Times New Roman" w:hAnsi="Times New Roman" w:cs="Times New Roman"/>
                <w:sz w:val="18"/>
                <w:szCs w:val="18"/>
                <w:lang w:val="ro-RO"/>
              </w:rPr>
            </w:pPr>
          </w:p>
          <w:p w14:paraId="35FB4B08" w14:textId="1C29AB2E" w:rsidR="00F02CF4" w:rsidRPr="006F5136" w:rsidRDefault="00F02CF4" w:rsidP="005E4694">
            <w:pPr>
              <w:pStyle w:val="CM4"/>
              <w:tabs>
                <w:tab w:val="left" w:pos="150"/>
              </w:tabs>
              <w:ind w:left="-36"/>
              <w:jc w:val="both"/>
              <w:rPr>
                <w:rFonts w:ascii="Times New Roman" w:hAnsi="Times New Roman"/>
                <w:sz w:val="18"/>
                <w:szCs w:val="18"/>
                <w:lang w:val="ro-RO" w:eastAsia="ru-RU"/>
              </w:rPr>
            </w:pPr>
            <w:r w:rsidRPr="006F5136">
              <w:rPr>
                <w:rFonts w:ascii="Times New Roman" w:hAnsi="Times New Roman"/>
                <w:sz w:val="18"/>
                <w:szCs w:val="18"/>
                <w:lang w:val="ro-RO" w:eastAsia="ru-RU"/>
              </w:rPr>
              <w:t>3</w:t>
            </w:r>
            <w:r w:rsidR="00FB6902" w:rsidRPr="006F5136">
              <w:rPr>
                <w:rFonts w:ascii="Times New Roman" w:hAnsi="Times New Roman"/>
                <w:sz w:val="18"/>
                <w:szCs w:val="18"/>
                <w:lang w:val="ro-RO" w:eastAsia="ru-RU"/>
              </w:rPr>
              <w:t>8</w:t>
            </w:r>
            <w:r w:rsidRPr="006F5136">
              <w:rPr>
                <w:rFonts w:ascii="Times New Roman" w:hAnsi="Times New Roman"/>
                <w:sz w:val="18"/>
                <w:szCs w:val="18"/>
                <w:lang w:val="ro-RO" w:eastAsia="ru-RU"/>
              </w:rPr>
              <w:t>. Expunerile față de entitățile din sectorul public pentru care nu este disponibilă o evaluare de credit realizată de o ECAI desemnată primesc o pondere de risc în corespundere cu nivelul de calitate a creditului atribuit expunerilor față de administrația centrală, în conformitate cu tabelul nr.2:</w:t>
            </w:r>
          </w:p>
          <w:p w14:paraId="047A35B8" w14:textId="77777777" w:rsidR="00F02CF4" w:rsidRPr="006F5136" w:rsidRDefault="00F02CF4" w:rsidP="005E4694">
            <w:pPr>
              <w:pStyle w:val="CM4"/>
              <w:tabs>
                <w:tab w:val="left" w:pos="150"/>
              </w:tabs>
              <w:ind w:left="-36" w:firstLine="142"/>
              <w:jc w:val="center"/>
              <w:rPr>
                <w:rFonts w:ascii="Times New Roman" w:hAnsi="Times New Roman"/>
                <w:sz w:val="18"/>
                <w:szCs w:val="18"/>
                <w:lang w:val="ro-RO" w:eastAsia="ru-RU"/>
              </w:rPr>
            </w:pPr>
            <w:r w:rsidRPr="006F5136">
              <w:rPr>
                <w:rFonts w:ascii="Times New Roman" w:hAnsi="Times New Roman"/>
                <w:sz w:val="18"/>
                <w:szCs w:val="18"/>
                <w:lang w:val="ro-RO" w:eastAsia="ru-RU"/>
              </w:rPr>
              <w:t>Tabelul nr.2</w:t>
            </w:r>
          </w:p>
          <w:p w14:paraId="5F6B9614" w14:textId="77777777" w:rsidR="00F02CF4" w:rsidRPr="006F5136" w:rsidRDefault="00F02CF4" w:rsidP="005E4694">
            <w:pPr>
              <w:spacing w:after="0" w:line="240" w:lineRule="auto"/>
              <w:rPr>
                <w:rFonts w:ascii="Times New Roman" w:hAnsi="Times New Roman" w:cs="Times New Roman"/>
                <w:iCs/>
                <w:sz w:val="18"/>
                <w:szCs w:val="18"/>
                <w:lang w:val="ro-RO"/>
              </w:rPr>
            </w:pPr>
          </w:p>
          <w:tbl>
            <w:tblPr>
              <w:tblW w:w="4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815"/>
              <w:gridCol w:w="284"/>
              <w:gridCol w:w="283"/>
              <w:gridCol w:w="426"/>
              <w:gridCol w:w="425"/>
              <w:gridCol w:w="425"/>
              <w:gridCol w:w="425"/>
            </w:tblGrid>
            <w:tr w:rsidR="00F02CF4" w:rsidRPr="006F5136" w14:paraId="63D6E52A" w14:textId="77777777" w:rsidTr="00977E5E">
              <w:trPr>
                <w:jc w:val="center"/>
              </w:trPr>
              <w:tc>
                <w:tcPr>
                  <w:tcW w:w="1815" w:type="dxa"/>
                  <w:shd w:val="clear" w:color="auto" w:fill="FFFFFF"/>
                  <w:tcMar>
                    <w:top w:w="30" w:type="dxa"/>
                    <w:left w:w="75" w:type="dxa"/>
                    <w:bottom w:w="30" w:type="dxa"/>
                    <w:right w:w="30" w:type="dxa"/>
                  </w:tcMar>
                  <w:hideMark/>
                </w:tcPr>
                <w:p w14:paraId="3D696CFC"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Nivel de calitate a creditului atribuit administrației centrale</w:t>
                  </w:r>
                </w:p>
              </w:tc>
              <w:tc>
                <w:tcPr>
                  <w:tcW w:w="284" w:type="dxa"/>
                  <w:shd w:val="clear" w:color="auto" w:fill="FFFFFF"/>
                  <w:tcMar>
                    <w:top w:w="30" w:type="dxa"/>
                    <w:left w:w="75" w:type="dxa"/>
                    <w:bottom w:w="30" w:type="dxa"/>
                    <w:right w:w="30" w:type="dxa"/>
                  </w:tcMar>
                  <w:hideMark/>
                </w:tcPr>
                <w:p w14:paraId="1086D2B8"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w:t>
                  </w:r>
                </w:p>
              </w:tc>
              <w:tc>
                <w:tcPr>
                  <w:tcW w:w="283" w:type="dxa"/>
                  <w:shd w:val="clear" w:color="auto" w:fill="FFFFFF"/>
                  <w:tcMar>
                    <w:top w:w="30" w:type="dxa"/>
                    <w:left w:w="75" w:type="dxa"/>
                    <w:bottom w:w="30" w:type="dxa"/>
                    <w:right w:w="30" w:type="dxa"/>
                  </w:tcMar>
                  <w:hideMark/>
                </w:tcPr>
                <w:p w14:paraId="1F4EA826"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w:t>
                  </w:r>
                </w:p>
              </w:tc>
              <w:tc>
                <w:tcPr>
                  <w:tcW w:w="426" w:type="dxa"/>
                  <w:shd w:val="clear" w:color="auto" w:fill="FFFFFF"/>
                  <w:tcMar>
                    <w:top w:w="30" w:type="dxa"/>
                    <w:left w:w="75" w:type="dxa"/>
                    <w:bottom w:w="30" w:type="dxa"/>
                    <w:right w:w="30" w:type="dxa"/>
                  </w:tcMar>
                  <w:hideMark/>
                </w:tcPr>
                <w:p w14:paraId="27958256"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w:t>
                  </w:r>
                </w:p>
              </w:tc>
              <w:tc>
                <w:tcPr>
                  <w:tcW w:w="425" w:type="dxa"/>
                  <w:shd w:val="clear" w:color="auto" w:fill="FFFFFF"/>
                  <w:tcMar>
                    <w:top w:w="30" w:type="dxa"/>
                    <w:left w:w="75" w:type="dxa"/>
                    <w:bottom w:w="30" w:type="dxa"/>
                    <w:right w:w="30" w:type="dxa"/>
                  </w:tcMar>
                  <w:hideMark/>
                </w:tcPr>
                <w:p w14:paraId="2DB5F07D"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w:t>
                  </w:r>
                </w:p>
              </w:tc>
              <w:tc>
                <w:tcPr>
                  <w:tcW w:w="425" w:type="dxa"/>
                  <w:shd w:val="clear" w:color="auto" w:fill="FFFFFF"/>
                  <w:tcMar>
                    <w:top w:w="30" w:type="dxa"/>
                    <w:left w:w="75" w:type="dxa"/>
                    <w:bottom w:w="30" w:type="dxa"/>
                    <w:right w:w="30" w:type="dxa"/>
                  </w:tcMar>
                  <w:hideMark/>
                </w:tcPr>
                <w:p w14:paraId="37D7BDAF"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w:t>
                  </w:r>
                </w:p>
              </w:tc>
              <w:tc>
                <w:tcPr>
                  <w:tcW w:w="425" w:type="dxa"/>
                  <w:shd w:val="clear" w:color="auto" w:fill="FFFFFF"/>
                  <w:tcMar>
                    <w:top w:w="30" w:type="dxa"/>
                    <w:left w:w="75" w:type="dxa"/>
                    <w:bottom w:w="30" w:type="dxa"/>
                    <w:right w:w="30" w:type="dxa"/>
                  </w:tcMar>
                  <w:hideMark/>
                </w:tcPr>
                <w:p w14:paraId="6A94A6FB"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6</w:t>
                  </w:r>
                </w:p>
              </w:tc>
            </w:tr>
            <w:tr w:rsidR="00F02CF4" w:rsidRPr="006F5136" w14:paraId="7B1CD477" w14:textId="77777777" w:rsidTr="00977E5E">
              <w:trPr>
                <w:jc w:val="center"/>
              </w:trPr>
              <w:tc>
                <w:tcPr>
                  <w:tcW w:w="1815" w:type="dxa"/>
                  <w:shd w:val="clear" w:color="auto" w:fill="FFFFFF"/>
                  <w:tcMar>
                    <w:top w:w="30" w:type="dxa"/>
                    <w:left w:w="75" w:type="dxa"/>
                    <w:bottom w:w="30" w:type="dxa"/>
                    <w:right w:w="30" w:type="dxa"/>
                  </w:tcMar>
                  <w:hideMark/>
                </w:tcPr>
                <w:p w14:paraId="4622715F"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Pondere de risc</w:t>
                  </w:r>
                </w:p>
              </w:tc>
              <w:tc>
                <w:tcPr>
                  <w:tcW w:w="284" w:type="dxa"/>
                  <w:shd w:val="clear" w:color="auto" w:fill="FFFFFF"/>
                  <w:tcMar>
                    <w:top w:w="30" w:type="dxa"/>
                    <w:left w:w="75" w:type="dxa"/>
                    <w:bottom w:w="30" w:type="dxa"/>
                    <w:right w:w="30" w:type="dxa"/>
                  </w:tcMar>
                  <w:hideMark/>
                </w:tcPr>
                <w:p w14:paraId="32641FAE"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283" w:type="dxa"/>
                  <w:shd w:val="clear" w:color="auto" w:fill="FFFFFF"/>
                  <w:tcMar>
                    <w:top w:w="30" w:type="dxa"/>
                    <w:left w:w="75" w:type="dxa"/>
                    <w:bottom w:w="30" w:type="dxa"/>
                    <w:right w:w="30" w:type="dxa"/>
                  </w:tcMar>
                  <w:hideMark/>
                </w:tcPr>
                <w:p w14:paraId="46202BB4"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50 %</w:t>
                  </w:r>
                </w:p>
              </w:tc>
              <w:tc>
                <w:tcPr>
                  <w:tcW w:w="426" w:type="dxa"/>
                  <w:shd w:val="clear" w:color="auto" w:fill="FFFFFF"/>
                  <w:tcMar>
                    <w:top w:w="30" w:type="dxa"/>
                    <w:left w:w="75" w:type="dxa"/>
                    <w:bottom w:w="30" w:type="dxa"/>
                    <w:right w:w="30" w:type="dxa"/>
                  </w:tcMar>
                  <w:hideMark/>
                </w:tcPr>
                <w:p w14:paraId="5B397BE5"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425" w:type="dxa"/>
                  <w:shd w:val="clear" w:color="auto" w:fill="FFFFFF"/>
                  <w:tcMar>
                    <w:top w:w="30" w:type="dxa"/>
                    <w:left w:w="75" w:type="dxa"/>
                    <w:bottom w:w="30" w:type="dxa"/>
                    <w:right w:w="30" w:type="dxa"/>
                  </w:tcMar>
                  <w:hideMark/>
                </w:tcPr>
                <w:p w14:paraId="4752E26C"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425" w:type="dxa"/>
                  <w:shd w:val="clear" w:color="auto" w:fill="FFFFFF"/>
                  <w:tcMar>
                    <w:top w:w="30" w:type="dxa"/>
                    <w:left w:w="75" w:type="dxa"/>
                    <w:bottom w:w="30" w:type="dxa"/>
                    <w:right w:w="30" w:type="dxa"/>
                  </w:tcMar>
                  <w:hideMark/>
                </w:tcPr>
                <w:p w14:paraId="51C52818"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425" w:type="dxa"/>
                  <w:shd w:val="clear" w:color="auto" w:fill="FFFFFF"/>
                  <w:tcMar>
                    <w:top w:w="30" w:type="dxa"/>
                    <w:left w:w="75" w:type="dxa"/>
                    <w:bottom w:w="30" w:type="dxa"/>
                    <w:right w:w="30" w:type="dxa"/>
                  </w:tcMar>
                  <w:hideMark/>
                </w:tcPr>
                <w:p w14:paraId="139FF8EA"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r>
          </w:tbl>
          <w:p w14:paraId="1C0FC08F" w14:textId="77777777" w:rsidR="00F02CF4" w:rsidRPr="006F5136" w:rsidRDefault="00F02CF4" w:rsidP="005E4694">
            <w:pPr>
              <w:pStyle w:val="CM4"/>
              <w:tabs>
                <w:tab w:val="left" w:pos="150"/>
              </w:tabs>
              <w:ind w:left="-36" w:firstLine="142"/>
              <w:jc w:val="both"/>
              <w:rPr>
                <w:rFonts w:ascii="Times New Roman" w:hAnsi="Times New Roman"/>
                <w:sz w:val="18"/>
                <w:szCs w:val="18"/>
                <w:lang w:val="ro-RO" w:eastAsia="ru-RU"/>
              </w:rPr>
            </w:pPr>
          </w:p>
          <w:p w14:paraId="0146F35F" w14:textId="77777777" w:rsidR="00FB6902" w:rsidRPr="006F5136" w:rsidRDefault="00FB6902" w:rsidP="005E4694">
            <w:pPr>
              <w:pStyle w:val="CM4"/>
              <w:tabs>
                <w:tab w:val="left" w:pos="150"/>
              </w:tabs>
              <w:ind w:left="-36" w:firstLine="142"/>
              <w:jc w:val="both"/>
              <w:rPr>
                <w:rFonts w:ascii="Times New Roman" w:hAnsi="Times New Roman"/>
                <w:sz w:val="18"/>
                <w:szCs w:val="18"/>
                <w:lang w:val="ro-RO" w:eastAsia="ru-RU"/>
              </w:rPr>
            </w:pPr>
            <w:r w:rsidRPr="006F5136">
              <w:rPr>
                <w:rFonts w:ascii="Times New Roman" w:hAnsi="Times New Roman"/>
                <w:sz w:val="18"/>
                <w:szCs w:val="18"/>
                <w:lang w:val="ro-RO" w:eastAsia="ru-RU"/>
              </w:rPr>
              <w:t>38</w:t>
            </w:r>
            <w:r w:rsidRPr="006F5136">
              <w:rPr>
                <w:rFonts w:ascii="Times New Roman" w:hAnsi="Times New Roman"/>
                <w:sz w:val="18"/>
                <w:szCs w:val="18"/>
                <w:vertAlign w:val="superscript"/>
                <w:lang w:val="ro-RO" w:eastAsia="ru-RU"/>
              </w:rPr>
              <w:t>1</w:t>
            </w:r>
            <w:r w:rsidRPr="006F5136">
              <w:rPr>
                <w:rFonts w:ascii="Times New Roman" w:hAnsi="Times New Roman"/>
                <w:sz w:val="18"/>
                <w:szCs w:val="18"/>
                <w:lang w:val="ro-RO" w:eastAsia="ru-RU"/>
              </w:rPr>
              <w:t>. Expunerilor față de entitățile din sectorul public din Republica Moldova exprimate și finanțate în lei moldovenești li se aplică o pondere de risc de 20%.</w:t>
            </w:r>
          </w:p>
          <w:p w14:paraId="235AF402" w14:textId="1FEBCC0D" w:rsidR="00F02CF4" w:rsidRPr="006F5136" w:rsidRDefault="00F02CF4" w:rsidP="005E4694">
            <w:pPr>
              <w:pStyle w:val="CM4"/>
              <w:tabs>
                <w:tab w:val="left" w:pos="150"/>
              </w:tabs>
              <w:ind w:left="-36" w:firstLine="142"/>
              <w:jc w:val="both"/>
              <w:rPr>
                <w:rFonts w:ascii="Times New Roman" w:hAnsi="Times New Roman"/>
                <w:sz w:val="18"/>
                <w:szCs w:val="18"/>
                <w:lang w:val="ro-RO" w:eastAsia="ru-RU"/>
              </w:rPr>
            </w:pPr>
            <w:r w:rsidRPr="006F5136">
              <w:rPr>
                <w:rFonts w:ascii="Times New Roman" w:hAnsi="Times New Roman"/>
                <w:sz w:val="18"/>
                <w:szCs w:val="18"/>
                <w:lang w:val="ro-RO" w:eastAsia="ru-RU"/>
              </w:rPr>
              <w:t>3</w:t>
            </w:r>
            <w:r w:rsidR="00FB6902" w:rsidRPr="006F5136">
              <w:rPr>
                <w:rFonts w:ascii="Times New Roman" w:hAnsi="Times New Roman"/>
                <w:sz w:val="18"/>
                <w:szCs w:val="18"/>
                <w:lang w:val="ro-RO" w:eastAsia="ru-RU"/>
              </w:rPr>
              <w:t>9</w:t>
            </w:r>
            <w:r w:rsidRPr="006F5136">
              <w:rPr>
                <w:rFonts w:ascii="Times New Roman" w:hAnsi="Times New Roman"/>
                <w:sz w:val="18"/>
                <w:szCs w:val="18"/>
                <w:lang w:val="ro-RO" w:eastAsia="ru-RU"/>
              </w:rPr>
              <w:t>.</w:t>
            </w:r>
            <w:r w:rsidRPr="006F5136">
              <w:rPr>
                <w:rFonts w:ascii="Times New Roman" w:hAnsi="Times New Roman"/>
                <w:sz w:val="18"/>
                <w:szCs w:val="18"/>
                <w:lang w:val="ro-RO" w:eastAsia="ru-RU"/>
              </w:rPr>
              <w:tab/>
              <w:t>În cazul în care administrația centrală nu beneficiază de rating, ponderea de risc pentru expunerile față de entitățile din sectorul public este de 100 %.</w:t>
            </w:r>
          </w:p>
        </w:tc>
        <w:tc>
          <w:tcPr>
            <w:tcW w:w="503" w:type="pct"/>
          </w:tcPr>
          <w:p w14:paraId="734FC432" w14:textId="77777777" w:rsidR="00F02CF4" w:rsidRPr="006F5136" w:rsidRDefault="00F02CF4"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p w14:paraId="56269957" w14:textId="77777777" w:rsidR="00F02CF4" w:rsidRPr="006F5136" w:rsidRDefault="00F02CF4" w:rsidP="005E4694">
            <w:pPr>
              <w:spacing w:after="0" w:line="240" w:lineRule="auto"/>
              <w:jc w:val="both"/>
              <w:rPr>
                <w:rFonts w:ascii="Times New Roman" w:hAnsi="Times New Roman" w:cs="Times New Roman"/>
                <w:iCs/>
                <w:sz w:val="18"/>
                <w:szCs w:val="18"/>
                <w:lang w:val="ro-RO"/>
              </w:rPr>
            </w:pPr>
          </w:p>
          <w:p w14:paraId="21D57D18" w14:textId="77777777" w:rsidR="00F02CF4" w:rsidRPr="006F5136" w:rsidRDefault="00F02CF4" w:rsidP="005E4694">
            <w:pPr>
              <w:spacing w:after="0" w:line="240" w:lineRule="auto"/>
              <w:jc w:val="both"/>
              <w:rPr>
                <w:rFonts w:ascii="Times New Roman" w:hAnsi="Times New Roman" w:cs="Times New Roman"/>
                <w:iCs/>
                <w:sz w:val="18"/>
                <w:szCs w:val="18"/>
                <w:lang w:val="ro-RO"/>
              </w:rPr>
            </w:pPr>
          </w:p>
        </w:tc>
        <w:tc>
          <w:tcPr>
            <w:tcW w:w="912" w:type="pct"/>
          </w:tcPr>
          <w:p w14:paraId="162CB712" w14:textId="7E076AD2" w:rsidR="00F02CF4"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F02CF4" w:rsidRPr="006F5136" w14:paraId="16D67802"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96A1DFE" w14:textId="5A1F3F7A" w:rsidR="00F02CF4" w:rsidRPr="006F5136" w:rsidRDefault="00F02CF4" w:rsidP="005E4694">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hAnsi="Times New Roman" w:cs="Times New Roman"/>
                <w:iCs/>
                <w:sz w:val="18"/>
                <w:szCs w:val="18"/>
                <w:lang w:val="ro-RO" w:eastAsia="ru-RU"/>
              </w:rPr>
              <w:t xml:space="preserve">(2)  </w:t>
            </w:r>
            <w:r w:rsidR="00401B30" w:rsidRPr="006F5136">
              <w:rPr>
                <w:rFonts w:ascii="Times New Roman" w:eastAsia="Times New Roman" w:hAnsi="Times New Roman" w:cs="Times New Roman"/>
                <w:color w:val="000000" w:themeColor="text1"/>
                <w:sz w:val="18"/>
                <w:szCs w:val="18"/>
                <w:lang w:eastAsia="ro-MD"/>
              </w:rPr>
              <w:t>Expunerile față de entități din sectorul public pentru care este disponibilă o</w:t>
            </w:r>
            <w:r w:rsidR="00401B30" w:rsidRPr="006F5136">
              <w:rPr>
                <w:rFonts w:ascii="Times New Roman" w:eastAsia="Times New Roman" w:hAnsi="Times New Roman" w:cs="Times New Roman"/>
                <w:sz w:val="18"/>
                <w:szCs w:val="18"/>
                <w:lang w:eastAsia="ro-MD"/>
              </w:rPr>
              <w:t> </w:t>
            </w:r>
            <w:r w:rsidR="00401B30" w:rsidRPr="006F5136">
              <w:rPr>
                <w:rFonts w:ascii="Times New Roman" w:eastAsia="Times New Roman" w:hAnsi="Times New Roman" w:cs="Times New Roman"/>
                <w:color w:val="000000" w:themeColor="text1"/>
                <w:sz w:val="18"/>
                <w:szCs w:val="18"/>
                <w:lang w:eastAsia="ro-MD"/>
              </w:rPr>
              <w:t>evaluare de credit efectuată de o</w:t>
            </w:r>
            <w:r w:rsidR="00401B30" w:rsidRPr="006F5136">
              <w:rPr>
                <w:rFonts w:ascii="Times New Roman" w:eastAsia="Times New Roman" w:hAnsi="Times New Roman" w:cs="Times New Roman"/>
                <w:sz w:val="18"/>
                <w:szCs w:val="18"/>
                <w:lang w:eastAsia="ro-MD"/>
              </w:rPr>
              <w:t> ECAI</w:t>
            </w:r>
            <w:r w:rsidR="00401B30" w:rsidRPr="006F5136">
              <w:rPr>
                <w:rFonts w:ascii="Times New Roman" w:eastAsia="Times New Roman" w:hAnsi="Times New Roman" w:cs="Times New Roman"/>
                <w:color w:val="000000" w:themeColor="text1"/>
                <w:sz w:val="18"/>
                <w:szCs w:val="18"/>
                <w:lang w:eastAsia="ro-MD"/>
              </w:rPr>
              <w:t xml:space="preserve"> desemnată sunt tratate în conformitate cu articolul</w:t>
            </w:r>
            <w:r w:rsidR="00401B30" w:rsidRPr="006F5136">
              <w:rPr>
                <w:rFonts w:ascii="Times New Roman" w:eastAsia="Times New Roman" w:hAnsi="Times New Roman" w:cs="Times New Roman"/>
                <w:sz w:val="18"/>
                <w:szCs w:val="18"/>
                <w:lang w:eastAsia="ro-MD"/>
              </w:rPr>
              <w:t> 115</w:t>
            </w:r>
            <w:r w:rsidR="00401B30" w:rsidRPr="006F5136">
              <w:rPr>
                <w:rFonts w:ascii="Times New Roman" w:eastAsia="Times New Roman" w:hAnsi="Times New Roman" w:cs="Times New Roman"/>
                <w:color w:val="000000" w:themeColor="text1"/>
                <w:sz w:val="18"/>
                <w:szCs w:val="18"/>
                <w:lang w:eastAsia="ro-MD"/>
              </w:rPr>
              <w:t xml:space="preserve"> alineatul</w:t>
            </w:r>
            <w:r w:rsidR="00401B30" w:rsidRPr="006F5136">
              <w:rPr>
                <w:rFonts w:ascii="Times New Roman" w:eastAsia="Times New Roman" w:hAnsi="Times New Roman" w:cs="Times New Roman"/>
                <w:sz w:val="18"/>
                <w:szCs w:val="18"/>
                <w:lang w:eastAsia="ro-MD"/>
              </w:rPr>
              <w:t> (– 1).</w:t>
            </w:r>
          </w:p>
        </w:tc>
        <w:tc>
          <w:tcPr>
            <w:tcW w:w="1661" w:type="pct"/>
            <w:shd w:val="clear" w:color="auto" w:fill="auto"/>
          </w:tcPr>
          <w:p w14:paraId="067F59D2" w14:textId="6903ECDE" w:rsidR="00F02CF4" w:rsidRPr="006F5136" w:rsidRDefault="00FB6902"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b/>
                <w:bCs/>
                <w:sz w:val="18"/>
                <w:szCs w:val="18"/>
                <w:lang w:val="ro-RO" w:eastAsia="ro-MD"/>
              </w:rPr>
              <w:t>40.</w:t>
            </w:r>
            <w:r w:rsidRPr="006F5136">
              <w:rPr>
                <w:rFonts w:ascii="Times New Roman" w:hAnsi="Times New Roman"/>
                <w:sz w:val="18"/>
                <w:szCs w:val="18"/>
                <w:lang w:val="ro-RO" w:eastAsia="ro-MD"/>
              </w:rPr>
              <w:t xml:space="preserve"> Expunerile față de entitățile din sectorul public pentru care este disponibilă o evaluare de credit realizată de o ECAI desemnată sunt tratate în conformitate cu punctul 34. </w:t>
            </w:r>
          </w:p>
        </w:tc>
        <w:tc>
          <w:tcPr>
            <w:tcW w:w="503" w:type="pct"/>
          </w:tcPr>
          <w:p w14:paraId="5EA575F9" w14:textId="77777777" w:rsidR="00F02CF4" w:rsidRPr="006F5136" w:rsidRDefault="00F02CF4"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p w14:paraId="0CABC380" w14:textId="77777777" w:rsidR="00F02CF4" w:rsidRPr="006F5136" w:rsidRDefault="00F02CF4" w:rsidP="005E4694">
            <w:pPr>
              <w:spacing w:after="0" w:line="240" w:lineRule="auto"/>
              <w:jc w:val="both"/>
              <w:rPr>
                <w:rFonts w:ascii="Times New Roman" w:hAnsi="Times New Roman" w:cs="Times New Roman"/>
                <w:iCs/>
                <w:sz w:val="18"/>
                <w:szCs w:val="18"/>
                <w:lang w:val="ro-RO"/>
              </w:rPr>
            </w:pPr>
          </w:p>
        </w:tc>
        <w:tc>
          <w:tcPr>
            <w:tcW w:w="912" w:type="pct"/>
          </w:tcPr>
          <w:p w14:paraId="3477CA83" w14:textId="18173AEB" w:rsidR="00F02CF4"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F02CF4" w:rsidRPr="006F5136" w14:paraId="06BD883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7F52D01"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  Pentru expunerile față de entități din sectorul public cu o scadență inițială de trei luni sau mai puțin, ponderea de risc este de 20 %.</w:t>
            </w:r>
          </w:p>
        </w:tc>
        <w:tc>
          <w:tcPr>
            <w:tcW w:w="1661" w:type="pct"/>
            <w:shd w:val="clear" w:color="auto" w:fill="auto"/>
          </w:tcPr>
          <w:p w14:paraId="13A35941" w14:textId="7C0D5FE0" w:rsidR="00F02CF4" w:rsidRPr="006F5136" w:rsidRDefault="00DE16AC" w:rsidP="005E4694">
            <w:pPr>
              <w:pStyle w:val="CM4"/>
              <w:tabs>
                <w:tab w:val="left" w:pos="150"/>
              </w:tabs>
              <w:ind w:left="-36"/>
              <w:rPr>
                <w:rFonts w:ascii="Times New Roman" w:hAnsi="Times New Roman"/>
                <w:sz w:val="18"/>
                <w:szCs w:val="18"/>
                <w:lang w:val="ro-RO"/>
              </w:rPr>
            </w:pPr>
            <w:r w:rsidRPr="006F5136">
              <w:rPr>
                <w:rFonts w:ascii="Times New Roman" w:hAnsi="Times New Roman"/>
                <w:sz w:val="18"/>
                <w:szCs w:val="18"/>
                <w:lang w:val="ro-RO" w:eastAsia="ru-RU"/>
              </w:rPr>
              <w:t>41</w:t>
            </w:r>
            <w:r w:rsidR="00F02CF4" w:rsidRPr="006F5136">
              <w:rPr>
                <w:rFonts w:ascii="Times New Roman" w:hAnsi="Times New Roman"/>
                <w:sz w:val="18"/>
                <w:szCs w:val="18"/>
                <w:lang w:val="ro-RO" w:eastAsia="ru-RU"/>
              </w:rPr>
              <w:t>. Pentru expunerile față de entitățile din sectorul public cu o scadență inițială de cel mult trei luni, ponderea de risc este de 20 %.</w:t>
            </w:r>
          </w:p>
        </w:tc>
        <w:tc>
          <w:tcPr>
            <w:tcW w:w="503" w:type="pct"/>
          </w:tcPr>
          <w:p w14:paraId="7CA3BE25" w14:textId="77777777" w:rsidR="00F02CF4" w:rsidRPr="006F5136" w:rsidRDefault="00F02CF4"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p w14:paraId="30C27FBD" w14:textId="77777777" w:rsidR="00F02CF4" w:rsidRPr="006F5136" w:rsidRDefault="00F02CF4" w:rsidP="005E4694">
            <w:pPr>
              <w:spacing w:after="0" w:line="240" w:lineRule="auto"/>
              <w:jc w:val="both"/>
              <w:rPr>
                <w:rFonts w:ascii="Times New Roman" w:hAnsi="Times New Roman" w:cs="Times New Roman"/>
                <w:iCs/>
                <w:sz w:val="18"/>
                <w:szCs w:val="18"/>
                <w:lang w:val="ro-RO"/>
              </w:rPr>
            </w:pPr>
          </w:p>
        </w:tc>
        <w:tc>
          <w:tcPr>
            <w:tcW w:w="912" w:type="pct"/>
          </w:tcPr>
          <w:p w14:paraId="30AB3786" w14:textId="70768A72" w:rsidR="00F02CF4"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117E23" w:rsidRPr="006F5136" w14:paraId="1F6071F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vMerge w:val="restart"/>
          </w:tcPr>
          <w:p w14:paraId="10B59A53" w14:textId="184A3DB6" w:rsidR="00117E23" w:rsidRPr="006F5136" w:rsidRDefault="00117E23"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  În situații excepționale, expunerile față de entități din sectorul public pot fi tratate drept expuneri față de administrația centrală, de administrația regională sau de autoritatea locală în a cărei jurisdicție sunt constituite, în cazul în care, în opinia autorităților competente din respectiva jurisdicție, nu există diferență de risc între aceste expuneri, datorită existenței unei garanții adecvate oferite de administrația centrală, de administrația regională sau de autoritatea locală.</w:t>
            </w:r>
          </w:p>
        </w:tc>
        <w:tc>
          <w:tcPr>
            <w:tcW w:w="1661" w:type="pct"/>
            <w:shd w:val="clear" w:color="auto" w:fill="auto"/>
          </w:tcPr>
          <w:p w14:paraId="443C849F" w14:textId="79BD6ABA" w:rsidR="00117E23" w:rsidRPr="006F5136" w:rsidRDefault="00117E23" w:rsidP="005E4694">
            <w:pPr>
              <w:pStyle w:val="CM4"/>
              <w:tabs>
                <w:tab w:val="left" w:pos="150"/>
              </w:tabs>
              <w:ind w:left="-36"/>
              <w:rPr>
                <w:rFonts w:ascii="Times New Roman" w:hAnsi="Times New Roman"/>
                <w:sz w:val="18"/>
                <w:szCs w:val="18"/>
                <w:lang w:val="ro-RO" w:eastAsia="ro-MD"/>
              </w:rPr>
            </w:pPr>
            <w:r w:rsidRPr="006F5136">
              <w:rPr>
                <w:rFonts w:ascii="Times New Roman" w:hAnsi="Times New Roman"/>
                <w:sz w:val="18"/>
                <w:szCs w:val="18"/>
                <w:lang w:val="ro-RO" w:eastAsia="ro-MD"/>
              </w:rPr>
              <w:t>42. În situații excepționale, expunerile față de entitățile din sectorul public pot fi tratate ca expuneri față de administrația centrală, de administrația regională sau de autoritatea locală în a cărei jurisdicție sunt constituite,</w:t>
            </w:r>
            <w:r w:rsidRPr="006F5136" w:rsidDel="00386821">
              <w:rPr>
                <w:rFonts w:ascii="Times New Roman" w:hAnsi="Times New Roman"/>
                <w:sz w:val="18"/>
                <w:szCs w:val="18"/>
                <w:lang w:val="ro-RO" w:eastAsia="ro-MD"/>
              </w:rPr>
              <w:t xml:space="preserve"> </w:t>
            </w:r>
            <w:r w:rsidRPr="006F5136">
              <w:rPr>
                <w:rFonts w:ascii="Times New Roman" w:hAnsi="Times New Roman"/>
                <w:sz w:val="18"/>
                <w:szCs w:val="18"/>
                <w:lang w:val="ro-RO" w:eastAsia="ro-MD"/>
              </w:rPr>
              <w:t>în cazul în care, în opinia autorităților competente din respectiva jurisdicție, nu există diferență de risc între aceste expuneri, datorită existenței unei garanții adecvate oferite de administrația centrală, de administrația regională sau de autoritatea locală.</w:t>
            </w:r>
          </w:p>
        </w:tc>
        <w:tc>
          <w:tcPr>
            <w:tcW w:w="503" w:type="pct"/>
          </w:tcPr>
          <w:p w14:paraId="60B88E0B" w14:textId="77777777" w:rsidR="00117E23" w:rsidRPr="006F5136" w:rsidRDefault="00117E2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p w14:paraId="232E2460" w14:textId="77777777" w:rsidR="00117E23" w:rsidRPr="006F5136" w:rsidRDefault="00117E23" w:rsidP="005E4694">
            <w:pPr>
              <w:spacing w:after="0" w:line="240" w:lineRule="auto"/>
              <w:jc w:val="both"/>
              <w:rPr>
                <w:rFonts w:ascii="Times New Roman" w:hAnsi="Times New Roman" w:cs="Times New Roman"/>
                <w:iCs/>
                <w:sz w:val="18"/>
                <w:szCs w:val="18"/>
                <w:lang w:val="ro-RO"/>
              </w:rPr>
            </w:pPr>
          </w:p>
        </w:tc>
        <w:tc>
          <w:tcPr>
            <w:tcW w:w="912" w:type="pct"/>
          </w:tcPr>
          <w:p w14:paraId="3C362B53" w14:textId="332FF9A1" w:rsidR="00117E23" w:rsidRPr="006F5136" w:rsidRDefault="00117E2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914DC9" w:rsidRPr="006F5136" w14:paraId="2098652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vMerge/>
          </w:tcPr>
          <w:p w14:paraId="0D2056E0" w14:textId="77777777" w:rsidR="00914DC9" w:rsidRPr="006F5136" w:rsidRDefault="00914DC9" w:rsidP="00914DC9">
            <w:pPr>
              <w:pStyle w:val="CM4"/>
              <w:tabs>
                <w:tab w:val="left" w:pos="150"/>
              </w:tabs>
              <w:ind w:left="-43"/>
              <w:jc w:val="both"/>
              <w:rPr>
                <w:rFonts w:ascii="Times New Roman" w:hAnsi="Times New Roman"/>
                <w:iCs/>
                <w:sz w:val="18"/>
                <w:szCs w:val="18"/>
                <w:lang w:val="ro-RO" w:eastAsia="ru-RU"/>
              </w:rPr>
            </w:pPr>
          </w:p>
        </w:tc>
        <w:tc>
          <w:tcPr>
            <w:tcW w:w="1661" w:type="pct"/>
            <w:shd w:val="clear" w:color="auto" w:fill="auto"/>
          </w:tcPr>
          <w:p w14:paraId="27DD4815" w14:textId="77777777" w:rsidR="00914DC9" w:rsidRPr="006F5136" w:rsidRDefault="00914DC9" w:rsidP="00914DC9">
            <w:pPr>
              <w:pStyle w:val="CM4"/>
              <w:tabs>
                <w:tab w:val="left" w:pos="150"/>
              </w:tabs>
              <w:ind w:left="-36"/>
              <w:rPr>
                <w:rFonts w:ascii="Times New Roman" w:hAnsi="Times New Roman"/>
                <w:sz w:val="18"/>
                <w:szCs w:val="18"/>
                <w:lang w:val="ro-RO" w:eastAsia="ro-MD"/>
              </w:rPr>
            </w:pPr>
            <w:r w:rsidRPr="006F5136">
              <w:rPr>
                <w:rFonts w:ascii="Times New Roman" w:hAnsi="Times New Roman"/>
                <w:b/>
                <w:bCs/>
                <w:sz w:val="18"/>
                <w:szCs w:val="18"/>
                <w:lang w:val="ro-RO" w:eastAsia="ro-MD"/>
              </w:rPr>
              <w:t>42</w:t>
            </w:r>
            <w:r w:rsidRPr="006F5136">
              <w:rPr>
                <w:rFonts w:ascii="Times New Roman" w:hAnsi="Times New Roman"/>
                <w:b/>
                <w:bCs/>
                <w:sz w:val="18"/>
                <w:szCs w:val="18"/>
                <w:vertAlign w:val="superscript"/>
                <w:lang w:val="ro-RO" w:eastAsia="ro-MD"/>
              </w:rPr>
              <w:t>1</w:t>
            </w:r>
            <w:r w:rsidRPr="006F5136">
              <w:rPr>
                <w:rFonts w:ascii="Times New Roman" w:hAnsi="Times New Roman"/>
                <w:b/>
                <w:bCs/>
                <w:sz w:val="18"/>
                <w:szCs w:val="18"/>
                <w:lang w:val="ro-RO" w:eastAsia="ro-MD"/>
              </w:rPr>
              <w:t xml:space="preserve">. </w:t>
            </w:r>
            <w:r w:rsidRPr="006F5136">
              <w:rPr>
                <w:rFonts w:ascii="Times New Roman" w:hAnsi="Times New Roman"/>
                <w:sz w:val="18"/>
                <w:szCs w:val="18"/>
                <w:lang w:val="ro-RO" w:eastAsia="ro-MD"/>
              </w:rPr>
              <w:t>În situații excepționale, expunerile față de entitățile din sectorul public pot fi tratate ca expuneri față de administrația centrală, de administrația regională sau de autoritatea locală în a cărei jurisdicție sunt constituite,</w:t>
            </w:r>
            <w:r w:rsidRPr="006F5136" w:rsidDel="00386821">
              <w:rPr>
                <w:rFonts w:ascii="Times New Roman" w:hAnsi="Times New Roman"/>
                <w:sz w:val="18"/>
                <w:szCs w:val="18"/>
                <w:lang w:val="ro-RO" w:eastAsia="ro-MD"/>
              </w:rPr>
              <w:t xml:space="preserve"> </w:t>
            </w:r>
            <w:r w:rsidRPr="006F5136">
              <w:rPr>
                <w:rFonts w:ascii="Times New Roman" w:hAnsi="Times New Roman"/>
                <w:sz w:val="18"/>
                <w:szCs w:val="18"/>
                <w:lang w:val="ro-RO" w:eastAsia="ro-MD"/>
              </w:rPr>
              <w:t>în cazul în care, în opinia autorităților competente din respectiva jurisdicție, nu există diferență de risc între aceste expuneri, datorită existenței unei garanții adecvate oferite de administrația centrală, de administrația regională sau de autoritatea locală.</w:t>
            </w:r>
          </w:p>
          <w:p w14:paraId="2CB1754A" w14:textId="4D70FE76" w:rsidR="00914DC9" w:rsidRPr="006F5136" w:rsidRDefault="00914DC9" w:rsidP="00914DC9">
            <w:pPr>
              <w:spacing w:after="0" w:line="240" w:lineRule="auto"/>
              <w:rPr>
                <w:rFonts w:ascii="Times New Roman" w:hAnsi="Times New Roman" w:cs="Times New Roman"/>
                <w:i/>
                <w:iCs/>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2EED6E47" w14:textId="5434FC40"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65AC5DD3" w14:textId="0FBE0855"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D8703E" w:rsidRPr="006F5136" w14:paraId="5A774FF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D371963" w14:textId="77777777" w:rsidR="00D8703E" w:rsidRPr="006F5136" w:rsidRDefault="00D8703E" w:rsidP="005E4694">
            <w:pPr>
              <w:shd w:val="clear" w:color="auto" w:fill="FFFFFF"/>
              <w:spacing w:after="0" w:line="240" w:lineRule="auto"/>
              <w:rPr>
                <w:rFonts w:ascii="Times New Roman" w:eastAsia="Times New Roman" w:hAnsi="Times New Roman" w:cs="Times New Roman"/>
                <w:b/>
                <w:bCs/>
                <w:sz w:val="18"/>
                <w:szCs w:val="18"/>
                <w:lang w:eastAsia="ro-MD"/>
              </w:rPr>
            </w:pPr>
            <w:hyperlink r:id="rId14" w:tooltip="32024R1623: INSERTED" w:history="1">
              <w:r w:rsidRPr="006F5136">
                <w:rPr>
                  <w:rFonts w:ascii="Times New Roman" w:eastAsia="Times New Roman" w:hAnsi="Times New Roman" w:cs="Times New Roman"/>
                  <w:b/>
                  <w:bCs/>
                  <w:sz w:val="18"/>
                  <w:szCs w:val="18"/>
                  <w:lang w:eastAsia="ro-MD"/>
                </w:rPr>
                <w:t>▼M17</w:t>
              </w:r>
            </w:hyperlink>
          </w:p>
          <w:p w14:paraId="595CCAA0" w14:textId="25D5DB49" w:rsidR="00D8703E" w:rsidRPr="006F5136" w:rsidRDefault="00D8703E"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sz w:val="18"/>
                <w:szCs w:val="18"/>
                <w:lang w:eastAsia="ro-MD"/>
              </w:rPr>
              <w:t>ABE întreține o bază de date accesibilă publicului cu toate entitățile din sectorul public din Uniune menționate la primul paragraf.</w:t>
            </w:r>
          </w:p>
        </w:tc>
        <w:tc>
          <w:tcPr>
            <w:tcW w:w="1661" w:type="pct"/>
            <w:shd w:val="clear" w:color="auto" w:fill="auto"/>
          </w:tcPr>
          <w:p w14:paraId="57D62F85" w14:textId="77777777" w:rsidR="00D8703E" w:rsidRPr="006F5136" w:rsidRDefault="00D8703E" w:rsidP="005E4694">
            <w:pPr>
              <w:pStyle w:val="CM4"/>
              <w:tabs>
                <w:tab w:val="left" w:pos="150"/>
              </w:tabs>
              <w:ind w:left="-36"/>
              <w:rPr>
                <w:rFonts w:ascii="Times New Roman" w:hAnsi="Times New Roman"/>
                <w:sz w:val="18"/>
                <w:szCs w:val="18"/>
                <w:lang w:val="ro-RO" w:eastAsia="ru-RU"/>
              </w:rPr>
            </w:pPr>
          </w:p>
        </w:tc>
        <w:tc>
          <w:tcPr>
            <w:tcW w:w="503" w:type="pct"/>
          </w:tcPr>
          <w:p w14:paraId="4EE9E186" w14:textId="10A39AEE" w:rsidR="00D8703E" w:rsidRPr="006F5136" w:rsidRDefault="00D870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Norme UE neaplicabile</w:t>
            </w:r>
          </w:p>
        </w:tc>
        <w:tc>
          <w:tcPr>
            <w:tcW w:w="912" w:type="pct"/>
          </w:tcPr>
          <w:p w14:paraId="7D7DB435" w14:textId="77777777" w:rsidR="00D8703E" w:rsidRPr="006F5136" w:rsidRDefault="00D8703E" w:rsidP="005E4694">
            <w:pPr>
              <w:spacing w:after="0" w:line="240" w:lineRule="auto"/>
              <w:jc w:val="both"/>
              <w:rPr>
                <w:rFonts w:ascii="Times New Roman" w:hAnsi="Times New Roman" w:cs="Times New Roman"/>
                <w:sz w:val="18"/>
                <w:szCs w:val="18"/>
                <w:lang w:val="ro-RO"/>
              </w:rPr>
            </w:pPr>
          </w:p>
        </w:tc>
      </w:tr>
      <w:tr w:rsidR="00BB2F88" w:rsidRPr="006F5136" w14:paraId="33A1D10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8560D0C"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  Atunci când autoritățile competente din jurisdicția unei țări terțe, care aplică dispoziții de supraveghere și reglementare cel puțin echivalente celor aplicate în Uniune, tratează expunerile față de entități din sectorul public în conformitate cu alineatul (1) sau cu alineatul (2), instituțiile pot să aplice expunerilor față de astfel de entități din sectorul public ponderi de risc în aceeași manieră. În caz contrar, instituțiile aplică o pondere de risc de 100 %.</w:t>
            </w:r>
          </w:p>
        </w:tc>
        <w:tc>
          <w:tcPr>
            <w:tcW w:w="1661" w:type="pct"/>
            <w:shd w:val="clear" w:color="auto" w:fill="auto"/>
          </w:tcPr>
          <w:p w14:paraId="70251FF5" w14:textId="4E3723EE" w:rsidR="00DE16AC" w:rsidRPr="006F5136" w:rsidRDefault="00DE16AC"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42</w:t>
            </w:r>
            <w:r w:rsidR="00117E23" w:rsidRPr="006F5136">
              <w:rPr>
                <w:rFonts w:ascii="Times New Roman" w:eastAsia="Times New Roman" w:hAnsi="Times New Roman" w:cs="Times New Roman"/>
                <w:b/>
                <w:bCs/>
                <w:sz w:val="18"/>
                <w:szCs w:val="18"/>
                <w:vertAlign w:val="superscript"/>
                <w:lang w:val="ro-RO" w:eastAsia="ro-MD"/>
              </w:rPr>
              <w:t>2</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Atunci când autoritățile competente din jurisdicția unei țări terțe, care aplică dispoziții de supraveghere și reglementare cel puțin echivalente cu cele aplicate în Republica Moldova în privința băncilor conform anexei nr.5, tratează expunerile față de entități din sectorul public în conformitate cu punctele 38 și 39-40, băncile pot să aplice expunerilor față de astfel de entități din sectorul public ponderi de risc în aceeași manieră. În caz contrar, băncile aplică o pondere de risc de 100 %.</w:t>
            </w:r>
          </w:p>
          <w:p w14:paraId="5BD90265" w14:textId="77777777" w:rsidR="00395381" w:rsidRPr="006F5136" w:rsidRDefault="00395381" w:rsidP="005E4694">
            <w:pPr>
              <w:pStyle w:val="CM4"/>
              <w:tabs>
                <w:tab w:val="left" w:pos="150"/>
              </w:tabs>
              <w:ind w:left="-36" w:firstLine="142"/>
              <w:rPr>
                <w:rFonts w:ascii="Times New Roman" w:hAnsi="Times New Roman"/>
                <w:sz w:val="18"/>
                <w:szCs w:val="18"/>
                <w:lang w:val="ro-RO" w:eastAsia="ru-RU"/>
              </w:rPr>
            </w:pPr>
          </w:p>
        </w:tc>
        <w:tc>
          <w:tcPr>
            <w:tcW w:w="503" w:type="pct"/>
          </w:tcPr>
          <w:p w14:paraId="2F3DD4CE" w14:textId="6D528881" w:rsidR="00395381" w:rsidRPr="006F5136" w:rsidRDefault="0046148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Norme UE neaplicabile</w:t>
            </w:r>
          </w:p>
          <w:p w14:paraId="72199CD4" w14:textId="77777777" w:rsidR="00395381" w:rsidRPr="006F5136" w:rsidRDefault="00395381" w:rsidP="005E4694">
            <w:pPr>
              <w:spacing w:after="0" w:line="240" w:lineRule="auto"/>
              <w:jc w:val="both"/>
              <w:rPr>
                <w:rFonts w:ascii="Times New Roman" w:hAnsi="Times New Roman" w:cs="Times New Roman"/>
                <w:iCs/>
                <w:sz w:val="18"/>
                <w:szCs w:val="18"/>
                <w:lang w:val="ro-RO"/>
              </w:rPr>
            </w:pPr>
          </w:p>
        </w:tc>
        <w:tc>
          <w:tcPr>
            <w:tcW w:w="912" w:type="pct"/>
          </w:tcPr>
          <w:p w14:paraId="5BA2617B" w14:textId="01A33F5D"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Prevederea este aplicabilă stetelor membre UE.</w:t>
            </w:r>
          </w:p>
        </w:tc>
      </w:tr>
      <w:tr w:rsidR="00BB2F88" w:rsidRPr="006F5136" w14:paraId="6C4AA4D2"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CB1DADD"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În sensul prezentului alineat, Comisia poate adopta, prin intermediul actelor de punere în aplicare și sub rezerva procedurii de examinare prevăzute la articolul 464 alineatul (2), o decizie prin care să stabilească dacă o țară terță aplică dispoziții de supraveghere și reglementare cel puțin echivalente cu cele aplicate în Uniune. În absența unei astfel de decizii, până la 1 ianuarie 2015, instituțiile pot continua să aplice tratamentul prevăzut la prezentul alineat pentru o țară terță, dacă autoritățile competente relevante au declarat țara terță respectivă ca fiind eligibilă pentru acest tratament înainte de 1 ianuarie 2014.</w:t>
            </w:r>
          </w:p>
        </w:tc>
        <w:tc>
          <w:tcPr>
            <w:tcW w:w="1661" w:type="pct"/>
            <w:shd w:val="clear" w:color="auto" w:fill="auto"/>
          </w:tcPr>
          <w:p w14:paraId="7B6CA54D" w14:textId="77777777" w:rsidR="00395381" w:rsidRPr="006F5136" w:rsidRDefault="00395381" w:rsidP="005E4694">
            <w:pPr>
              <w:pStyle w:val="CM4"/>
              <w:tabs>
                <w:tab w:val="left" w:pos="150"/>
              </w:tabs>
              <w:ind w:left="-36" w:firstLine="142"/>
              <w:rPr>
                <w:rFonts w:ascii="Times New Roman" w:hAnsi="Times New Roman"/>
                <w:sz w:val="18"/>
                <w:szCs w:val="18"/>
                <w:lang w:val="ro-RO" w:eastAsia="ru-RU"/>
              </w:rPr>
            </w:pPr>
          </w:p>
        </w:tc>
        <w:tc>
          <w:tcPr>
            <w:tcW w:w="503" w:type="pct"/>
          </w:tcPr>
          <w:p w14:paraId="120E6406" w14:textId="124BA47E" w:rsidR="00395381" w:rsidRPr="006F5136" w:rsidRDefault="0046148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Norme UE neaplicabile</w:t>
            </w:r>
          </w:p>
        </w:tc>
        <w:tc>
          <w:tcPr>
            <w:tcW w:w="912" w:type="pct"/>
          </w:tcPr>
          <w:p w14:paraId="4D200721" w14:textId="350D87E3"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Nu este transpusă - prevederea se referă la acțiunile autorităților din UE.</w:t>
            </w:r>
          </w:p>
        </w:tc>
      </w:tr>
      <w:tr w:rsidR="00BB2F88" w:rsidRPr="006F5136" w14:paraId="74CDF32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7"/>
        </w:trPr>
        <w:tc>
          <w:tcPr>
            <w:tcW w:w="1924" w:type="pct"/>
          </w:tcPr>
          <w:p w14:paraId="74E3D209" w14:textId="77777777" w:rsidR="00395381" w:rsidRPr="006F5136" w:rsidRDefault="00395381" w:rsidP="005E4694">
            <w:pPr>
              <w:pStyle w:val="CM4"/>
              <w:tabs>
                <w:tab w:val="left" w:pos="150"/>
              </w:tabs>
              <w:ind w:left="-43"/>
              <w:jc w:val="both"/>
              <w:rPr>
                <w:rFonts w:ascii="Times New Roman" w:hAnsi="Times New Roman"/>
                <w:b/>
                <w:iCs/>
                <w:sz w:val="18"/>
                <w:szCs w:val="18"/>
                <w:lang w:val="ro-RO" w:eastAsia="ru-RU"/>
              </w:rPr>
            </w:pPr>
            <w:r w:rsidRPr="006F5136">
              <w:rPr>
                <w:rFonts w:ascii="Times New Roman" w:hAnsi="Times New Roman"/>
                <w:i/>
                <w:iCs/>
                <w:sz w:val="18"/>
                <w:szCs w:val="18"/>
                <w:lang w:val="ro-RO" w:eastAsia="ru-RU"/>
              </w:rPr>
              <w:t>Articolul 117</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 xml:space="preserve">Expuneri față de bănci de dezvoltare multilaterală </w:t>
            </w:r>
          </w:p>
          <w:p w14:paraId="64FF5E29" w14:textId="45F1C92A" w:rsidR="009E4E53" w:rsidRPr="006F5136" w:rsidRDefault="00395381" w:rsidP="005E4694">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hAnsi="Times New Roman" w:cs="Times New Roman"/>
                <w:iCs/>
                <w:sz w:val="18"/>
                <w:szCs w:val="18"/>
                <w:lang w:val="ro-RO" w:eastAsia="ru-RU"/>
              </w:rPr>
              <w:t xml:space="preserve">(1)  </w:t>
            </w:r>
            <w:r w:rsidR="009E4E53" w:rsidRPr="006F5136">
              <w:rPr>
                <w:rFonts w:ascii="Times New Roman" w:eastAsia="Times New Roman" w:hAnsi="Times New Roman" w:cs="Times New Roman"/>
                <w:color w:val="000000" w:themeColor="text1"/>
                <w:sz w:val="18"/>
                <w:szCs w:val="18"/>
                <w:lang w:eastAsia="ro-MD"/>
              </w:rPr>
              <w:t xml:space="preserve">Expunerile față de bănci </w:t>
            </w:r>
            <w:r w:rsidR="009E4E53" w:rsidRPr="006F5136">
              <w:rPr>
                <w:rFonts w:ascii="Times New Roman" w:eastAsia="Times New Roman" w:hAnsi="Times New Roman" w:cs="Times New Roman"/>
                <w:sz w:val="18"/>
                <w:szCs w:val="18"/>
                <w:lang w:eastAsia="ro-MD"/>
              </w:rPr>
              <w:t xml:space="preserve">multilaterale </w:t>
            </w:r>
            <w:r w:rsidR="009E4E53" w:rsidRPr="006F5136">
              <w:rPr>
                <w:rFonts w:ascii="Times New Roman" w:eastAsia="Times New Roman" w:hAnsi="Times New Roman" w:cs="Times New Roman"/>
                <w:color w:val="000000" w:themeColor="text1"/>
                <w:sz w:val="18"/>
                <w:szCs w:val="18"/>
                <w:lang w:eastAsia="ro-MD"/>
              </w:rPr>
              <w:t>de dezvoltare care nu sunt menționate la alineatul</w:t>
            </w:r>
            <w:r w:rsidR="009E4E53" w:rsidRPr="006F5136">
              <w:rPr>
                <w:rFonts w:ascii="Times New Roman" w:eastAsia="Times New Roman" w:hAnsi="Times New Roman" w:cs="Times New Roman"/>
                <w:sz w:val="18"/>
                <w:szCs w:val="18"/>
                <w:lang w:eastAsia="ro-MD"/>
              </w:rPr>
              <w:t> </w:t>
            </w:r>
            <w:r w:rsidR="009E4E53" w:rsidRPr="006F5136">
              <w:rPr>
                <w:rFonts w:ascii="Times New Roman" w:eastAsia="Times New Roman" w:hAnsi="Times New Roman" w:cs="Times New Roman"/>
                <w:color w:val="000000" w:themeColor="text1"/>
                <w:sz w:val="18"/>
                <w:szCs w:val="18"/>
                <w:lang w:eastAsia="ro-MD"/>
              </w:rPr>
              <w:t xml:space="preserve">(2) </w:t>
            </w:r>
            <w:r w:rsidR="009E4E53" w:rsidRPr="006F5136">
              <w:rPr>
                <w:rFonts w:ascii="Times New Roman" w:eastAsia="Times New Roman" w:hAnsi="Times New Roman" w:cs="Times New Roman"/>
                <w:sz w:val="18"/>
                <w:szCs w:val="18"/>
                <w:lang w:eastAsia="ro-MD"/>
              </w:rPr>
              <w:t>și pentru care este disponibilă o evaluare de credit emisă de o ECAI desemnată primesc o pondere de risc</w:t>
            </w:r>
            <w:r w:rsidR="009E4E53" w:rsidRPr="006F5136">
              <w:rPr>
                <w:rFonts w:ascii="Times New Roman" w:eastAsia="Times New Roman" w:hAnsi="Times New Roman" w:cs="Times New Roman"/>
                <w:color w:val="000000" w:themeColor="text1"/>
                <w:sz w:val="18"/>
                <w:szCs w:val="18"/>
                <w:lang w:eastAsia="ro-MD"/>
              </w:rPr>
              <w:t xml:space="preserve"> în </w:t>
            </w:r>
            <w:r w:rsidR="009E4E53" w:rsidRPr="006F5136">
              <w:rPr>
                <w:rFonts w:ascii="Times New Roman" w:eastAsia="Times New Roman" w:hAnsi="Times New Roman" w:cs="Times New Roman"/>
                <w:sz w:val="18"/>
                <w:szCs w:val="18"/>
                <w:lang w:eastAsia="ro-MD"/>
              </w:rPr>
              <w:t xml:space="preserve">conformitate cu tabelul 1. Ponderea de risc pentru </w:t>
            </w:r>
            <w:r w:rsidR="009E4E53" w:rsidRPr="006F5136">
              <w:rPr>
                <w:rFonts w:ascii="Times New Roman" w:eastAsia="Times New Roman" w:hAnsi="Times New Roman" w:cs="Times New Roman"/>
                <w:color w:val="000000" w:themeColor="text1"/>
                <w:sz w:val="18"/>
                <w:szCs w:val="18"/>
                <w:lang w:eastAsia="ro-MD"/>
              </w:rPr>
              <w:t xml:space="preserve">expunerile față de </w:t>
            </w:r>
            <w:r w:rsidR="009E4E53" w:rsidRPr="006F5136">
              <w:rPr>
                <w:rFonts w:ascii="Times New Roman" w:eastAsia="Times New Roman" w:hAnsi="Times New Roman" w:cs="Times New Roman"/>
                <w:sz w:val="18"/>
                <w:szCs w:val="18"/>
                <w:lang w:eastAsia="ro-MD"/>
              </w:rPr>
              <w:t>bănci multilaterale de dezvoltare care nu sunt menționate</w:t>
            </w:r>
            <w:r w:rsidR="009E4E53" w:rsidRPr="006F5136">
              <w:rPr>
                <w:rFonts w:ascii="Times New Roman" w:eastAsia="Times New Roman" w:hAnsi="Times New Roman" w:cs="Times New Roman"/>
                <w:color w:val="000000" w:themeColor="text1"/>
                <w:sz w:val="18"/>
                <w:szCs w:val="18"/>
                <w:lang w:eastAsia="ro-MD"/>
              </w:rPr>
              <w:t xml:space="preserve"> la alineatul</w:t>
            </w:r>
            <w:r w:rsidR="009E4E53" w:rsidRPr="006F5136">
              <w:rPr>
                <w:rFonts w:ascii="Times New Roman" w:eastAsia="Times New Roman" w:hAnsi="Times New Roman" w:cs="Times New Roman"/>
                <w:sz w:val="18"/>
                <w:szCs w:val="18"/>
                <w:lang w:eastAsia="ro-MD"/>
              </w:rPr>
              <w:t> (2) pentru care nu este disponibilă o evaluare de credit emisă de o ECAI desemnată este de 50 %.</w:t>
            </w:r>
          </w:p>
          <w:p w14:paraId="33CC2795" w14:textId="77777777" w:rsidR="009E4E53" w:rsidRPr="006F5136" w:rsidRDefault="009E4E53" w:rsidP="005E4694">
            <w:pPr>
              <w:shd w:val="clear" w:color="auto" w:fill="FFFFFF"/>
              <w:spacing w:after="0" w:line="240" w:lineRule="auto"/>
              <w:rPr>
                <w:rFonts w:ascii="Times New Roman" w:eastAsia="Times New Roman" w:hAnsi="Times New Roman" w:cs="Times New Roman"/>
                <w:sz w:val="18"/>
                <w:szCs w:val="18"/>
                <w:lang w:eastAsia="ro-MD"/>
              </w:rPr>
            </w:pPr>
          </w:p>
          <w:p w14:paraId="3A174D0E" w14:textId="77777777" w:rsidR="009E4E53" w:rsidRPr="006F5136" w:rsidRDefault="009E4E53" w:rsidP="005E4694">
            <w:pPr>
              <w:shd w:val="clear" w:color="auto" w:fill="FFFFFF"/>
              <w:spacing w:after="0" w:line="240" w:lineRule="auto"/>
              <w:jc w:val="center"/>
              <w:rPr>
                <w:rFonts w:ascii="Times New Roman" w:eastAsia="Times New Roman" w:hAnsi="Times New Roman" w:cs="Times New Roman"/>
                <w:sz w:val="18"/>
                <w:szCs w:val="18"/>
                <w:lang w:eastAsia="ro-MD"/>
              </w:rPr>
            </w:pPr>
          </w:p>
          <w:p w14:paraId="2AF3E854" w14:textId="77777777" w:rsidR="009E4E53" w:rsidRPr="006F5136" w:rsidRDefault="009E4E53" w:rsidP="005E4694">
            <w:pPr>
              <w:shd w:val="clear" w:color="auto" w:fill="FFFFFF"/>
              <w:spacing w:after="0" w:line="240" w:lineRule="auto"/>
              <w:jc w:val="center"/>
              <w:rPr>
                <w:rFonts w:ascii="Times New Roman" w:eastAsia="Times New Roman" w:hAnsi="Times New Roman" w:cs="Times New Roman"/>
                <w:b/>
                <w:bCs/>
                <w:sz w:val="18"/>
                <w:szCs w:val="18"/>
                <w:lang w:eastAsia="ro-MD"/>
              </w:rPr>
            </w:pPr>
            <w:r w:rsidRPr="006F5136">
              <w:rPr>
                <w:rFonts w:ascii="Times New Roman" w:eastAsia="Times New Roman" w:hAnsi="Times New Roman" w:cs="Times New Roman"/>
                <w:b/>
                <w:bCs/>
                <w:sz w:val="18"/>
                <w:szCs w:val="18"/>
                <w:lang w:eastAsia="ro-MD"/>
              </w:rPr>
              <w:t>Tabelul 1</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326"/>
              <w:gridCol w:w="477"/>
              <w:gridCol w:w="477"/>
              <w:gridCol w:w="477"/>
              <w:gridCol w:w="577"/>
              <w:gridCol w:w="577"/>
              <w:gridCol w:w="577"/>
            </w:tblGrid>
            <w:tr w:rsidR="009E4E53" w:rsidRPr="006F5136" w14:paraId="677C062D" w14:textId="77777777" w:rsidTr="00771776">
              <w:trPr>
                <w:jc w:val="center"/>
              </w:trPr>
              <w:tc>
                <w:tcPr>
                  <w:tcW w:w="2326" w:type="dxa"/>
                  <w:tcBorders>
                    <w:top w:val="outset" w:sz="6" w:space="0" w:color="auto"/>
                    <w:left w:val="outset" w:sz="6" w:space="0" w:color="auto"/>
                    <w:bottom w:val="outset" w:sz="6" w:space="0" w:color="auto"/>
                    <w:right w:val="outset" w:sz="6" w:space="0" w:color="auto"/>
                  </w:tcBorders>
                  <w:shd w:val="clear" w:color="auto" w:fill="auto"/>
                  <w:hideMark/>
                </w:tcPr>
                <w:p w14:paraId="6A24BAFA" w14:textId="77777777" w:rsidR="009E4E53" w:rsidRPr="006F5136" w:rsidRDefault="009E4E53"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Nivel de calitate a creditului</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1E25E835" w14:textId="77777777" w:rsidR="009E4E53" w:rsidRPr="006F5136" w:rsidRDefault="009E4E53"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2F49F57F" w14:textId="77777777" w:rsidR="009E4E53" w:rsidRPr="006F5136" w:rsidRDefault="009E4E53"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2</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435BE479" w14:textId="77777777" w:rsidR="009E4E53" w:rsidRPr="006F5136" w:rsidRDefault="009E4E53"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3</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3758DFE8" w14:textId="77777777" w:rsidR="009E4E53" w:rsidRPr="006F5136" w:rsidRDefault="009E4E53"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4</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67929AF9" w14:textId="77777777" w:rsidR="009E4E53" w:rsidRPr="006F5136" w:rsidRDefault="009E4E53"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5</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7E503E89" w14:textId="77777777" w:rsidR="009E4E53" w:rsidRPr="006F5136" w:rsidRDefault="009E4E53"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6</w:t>
                  </w:r>
                </w:p>
              </w:tc>
            </w:tr>
            <w:tr w:rsidR="009E4E53" w:rsidRPr="006F5136" w14:paraId="050361DE" w14:textId="77777777" w:rsidTr="00771776">
              <w:trPr>
                <w:jc w:val="center"/>
              </w:trPr>
              <w:tc>
                <w:tcPr>
                  <w:tcW w:w="2326" w:type="dxa"/>
                  <w:tcBorders>
                    <w:top w:val="outset" w:sz="6" w:space="0" w:color="auto"/>
                    <w:left w:val="outset" w:sz="6" w:space="0" w:color="auto"/>
                    <w:bottom w:val="outset" w:sz="6" w:space="0" w:color="auto"/>
                    <w:right w:val="outset" w:sz="6" w:space="0" w:color="auto"/>
                  </w:tcBorders>
                  <w:shd w:val="clear" w:color="auto" w:fill="auto"/>
                  <w:hideMark/>
                </w:tcPr>
                <w:p w14:paraId="1C05E8A8" w14:textId="77777777" w:rsidR="009E4E53" w:rsidRPr="006F5136" w:rsidRDefault="009E4E53"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Pondere de risc</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29BB359F" w14:textId="77777777" w:rsidR="009E4E53" w:rsidRPr="006F5136" w:rsidRDefault="009E4E53"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20 %</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0E04DE45" w14:textId="77777777" w:rsidR="009E4E53" w:rsidRPr="006F5136" w:rsidRDefault="009E4E53"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30 %</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6BCFB7CF" w14:textId="77777777" w:rsidR="009E4E53" w:rsidRPr="006F5136" w:rsidRDefault="009E4E53"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50 %</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1ACB69A0" w14:textId="77777777" w:rsidR="009E4E53" w:rsidRPr="006F5136" w:rsidRDefault="009E4E53"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100 %</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089FE87C" w14:textId="77777777" w:rsidR="009E4E53" w:rsidRPr="006F5136" w:rsidRDefault="009E4E53"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100 %</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79A689DA" w14:textId="77777777" w:rsidR="009E4E53" w:rsidRPr="006F5136" w:rsidRDefault="009E4E53"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150 %</w:t>
                  </w:r>
                </w:p>
              </w:tc>
            </w:tr>
          </w:tbl>
          <w:p w14:paraId="6DCE23E3" w14:textId="77777777" w:rsidR="009E4E53" w:rsidRPr="006F5136" w:rsidRDefault="009E4E53" w:rsidP="005E4694">
            <w:pPr>
              <w:shd w:val="clear" w:color="auto" w:fill="FFFFFF"/>
              <w:spacing w:after="0" w:line="240" w:lineRule="auto"/>
              <w:rPr>
                <w:rFonts w:ascii="Times New Roman" w:eastAsia="Times New Roman" w:hAnsi="Times New Roman" w:cs="Times New Roman"/>
                <w:b/>
                <w:bCs/>
                <w:sz w:val="18"/>
                <w:szCs w:val="18"/>
                <w:lang w:eastAsia="ro-MD"/>
              </w:rPr>
            </w:pPr>
            <w:hyperlink r:id="rId15" w:tooltip="32013R0575R(02): REPLACED" w:history="1">
              <w:r w:rsidRPr="006F5136">
                <w:rPr>
                  <w:rFonts w:ascii="Times New Roman" w:eastAsia="Times New Roman" w:hAnsi="Times New Roman" w:cs="Times New Roman"/>
                  <w:b/>
                  <w:bCs/>
                  <w:sz w:val="18"/>
                  <w:szCs w:val="18"/>
                  <w:lang w:eastAsia="ro-MD"/>
                </w:rPr>
                <w:t>▼C2</w:t>
              </w:r>
            </w:hyperlink>
          </w:p>
          <w:p w14:paraId="47F11FA1" w14:textId="1843BC0B" w:rsidR="00395381" w:rsidRPr="006F5136" w:rsidRDefault="00395381" w:rsidP="005E4694">
            <w:pPr>
              <w:pStyle w:val="CM4"/>
              <w:tabs>
                <w:tab w:val="left" w:pos="150"/>
              </w:tabs>
              <w:ind w:left="-43"/>
              <w:jc w:val="both"/>
              <w:rPr>
                <w:rFonts w:ascii="Times New Roman" w:hAnsi="Times New Roman"/>
                <w:iCs/>
                <w:sz w:val="18"/>
                <w:szCs w:val="18"/>
                <w:lang w:val="ro-RO" w:eastAsia="ru-RU"/>
              </w:rPr>
            </w:pPr>
          </w:p>
          <w:p w14:paraId="085734DD" w14:textId="77777777" w:rsidR="00395381" w:rsidRPr="006F5136" w:rsidRDefault="00395381" w:rsidP="005E4694">
            <w:pPr>
              <w:pStyle w:val="CM4"/>
              <w:tabs>
                <w:tab w:val="left" w:pos="150"/>
              </w:tabs>
              <w:ind w:left="-43"/>
              <w:jc w:val="both"/>
              <w:rPr>
                <w:rFonts w:ascii="Times New Roman" w:hAnsi="Times New Roman"/>
                <w:sz w:val="18"/>
                <w:szCs w:val="18"/>
                <w:lang w:val="ro-RO"/>
              </w:rPr>
            </w:pPr>
            <w:r w:rsidRPr="006F5136">
              <w:rPr>
                <w:rFonts w:ascii="Times New Roman" w:hAnsi="Times New Roman"/>
                <w:iCs/>
                <w:sz w:val="18"/>
                <w:szCs w:val="18"/>
                <w:lang w:val="ro-RO" w:eastAsia="ru-RU"/>
              </w:rPr>
              <w:t>Societatea Interamericană de Investiții (Inter-American Investment Corporation), Banca pentru Dezvoltare și Comerț în regiunea Mării Negre (Black Sea Trade and Development Bank) Banca Central-Americană pentru Integrare Economică (Central American Bank for Economic Integration) și CAF-Banca pentru Dezvoltare a Americii Latine sunt considerate bănci de dezvoltare multilaterală.</w:t>
            </w:r>
          </w:p>
          <w:p w14:paraId="1493BFCE" w14:textId="77777777" w:rsidR="00395381" w:rsidRPr="006F5136" w:rsidRDefault="00395381" w:rsidP="005E4694">
            <w:pPr>
              <w:spacing w:after="0" w:line="240" w:lineRule="auto"/>
              <w:rPr>
                <w:rFonts w:ascii="Times New Roman" w:hAnsi="Times New Roman" w:cs="Times New Roman"/>
                <w:sz w:val="18"/>
                <w:szCs w:val="18"/>
                <w:lang w:val="ro-RO"/>
              </w:rPr>
            </w:pPr>
          </w:p>
        </w:tc>
        <w:tc>
          <w:tcPr>
            <w:tcW w:w="1661" w:type="pct"/>
            <w:shd w:val="clear" w:color="auto" w:fill="auto"/>
          </w:tcPr>
          <w:p w14:paraId="2F57A754"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 xml:space="preserve">Secțiunea a 4-a. Expuneri față de bănci multilaterale de dezvoltare </w:t>
            </w:r>
          </w:p>
          <w:p w14:paraId="50BB1B95" w14:textId="77777777" w:rsidR="00395381" w:rsidRPr="006F5136" w:rsidRDefault="00395381" w:rsidP="005E4694">
            <w:pPr>
              <w:spacing w:after="0" w:line="240" w:lineRule="auto"/>
              <w:rPr>
                <w:rFonts w:ascii="Times New Roman" w:hAnsi="Times New Roman" w:cs="Times New Roman"/>
                <w:sz w:val="18"/>
                <w:szCs w:val="18"/>
                <w:lang w:val="ro-RO"/>
              </w:rPr>
            </w:pPr>
          </w:p>
          <w:p w14:paraId="508EB54C" w14:textId="031E1FEC" w:rsidR="00117E23" w:rsidRPr="006F5136" w:rsidRDefault="00117E23" w:rsidP="005E4694">
            <w:pPr>
              <w:spacing w:after="0" w:line="240" w:lineRule="auto"/>
              <w:ind w:firstLine="567"/>
              <w:jc w:val="both"/>
              <w:rPr>
                <w:rFonts w:ascii="Times New Roman" w:eastAsia="Times New Roman" w:hAnsi="Times New Roman" w:cs="Times New Roman"/>
                <w:sz w:val="18"/>
                <w:szCs w:val="18"/>
                <w:lang w:val="ro-RO" w:eastAsia="ro-MD"/>
              </w:rPr>
            </w:pPr>
            <w:bookmarkStart w:id="7" w:name="_Hlk206508992"/>
            <w:r w:rsidRPr="006F5136">
              <w:rPr>
                <w:rFonts w:ascii="Times New Roman" w:eastAsia="Times New Roman" w:hAnsi="Times New Roman" w:cs="Times New Roman"/>
                <w:b/>
                <w:bCs/>
                <w:sz w:val="18"/>
                <w:szCs w:val="18"/>
                <w:lang w:val="ro-RO" w:eastAsia="ro-MD"/>
              </w:rPr>
              <w:t>43.</w:t>
            </w:r>
            <w:r w:rsidRPr="006F5136">
              <w:rPr>
                <w:rFonts w:ascii="Times New Roman" w:eastAsia="Times New Roman" w:hAnsi="Times New Roman" w:cs="Times New Roman"/>
                <w:sz w:val="18"/>
                <w:szCs w:val="18"/>
                <w:lang w:val="ro-RO" w:eastAsia="ro-MD"/>
              </w:rPr>
              <w:t xml:space="preserve"> Expunerile față de băncile de dezvoltare multilaterală care nu sunt menționate la punctul 46și pentru care este disponibilă o evaluare de credit emisă de o ECAI desemnată primesc o pondere de risc în conformitate cu tabelul 2</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w:t>
            </w:r>
          </w:p>
          <w:p w14:paraId="0DCDFD7A" w14:textId="77777777" w:rsidR="00117E23" w:rsidRPr="006F5136" w:rsidRDefault="00117E23" w:rsidP="005E4694">
            <w:pPr>
              <w:spacing w:after="0" w:line="240" w:lineRule="auto"/>
              <w:ind w:firstLine="567"/>
              <w:jc w:val="both"/>
              <w:rPr>
                <w:rFonts w:ascii="Times New Roman" w:eastAsia="Times New Roman" w:hAnsi="Times New Roman" w:cs="Times New Roman"/>
                <w:sz w:val="18"/>
                <w:szCs w:val="18"/>
                <w:lang w:val="ro-RO" w:eastAsia="ro-MD"/>
              </w:rPr>
            </w:pPr>
          </w:p>
          <w:tbl>
            <w:tblPr>
              <w:tblW w:w="4000" w:type="pct"/>
              <w:jc w:val="center"/>
              <w:tblLayout w:type="fixed"/>
              <w:tblCellMar>
                <w:top w:w="15" w:type="dxa"/>
                <w:left w:w="15" w:type="dxa"/>
                <w:bottom w:w="15" w:type="dxa"/>
                <w:right w:w="15" w:type="dxa"/>
              </w:tblCellMar>
              <w:tblLook w:val="04A0" w:firstRow="1" w:lastRow="0" w:firstColumn="1" w:lastColumn="0" w:noHBand="0" w:noVBand="1"/>
            </w:tblPr>
            <w:tblGrid>
              <w:gridCol w:w="1524"/>
              <w:gridCol w:w="331"/>
              <w:gridCol w:w="331"/>
              <w:gridCol w:w="390"/>
              <w:gridCol w:w="390"/>
              <w:gridCol w:w="390"/>
              <w:gridCol w:w="390"/>
            </w:tblGrid>
            <w:tr w:rsidR="00117E23" w:rsidRPr="006F5136" w14:paraId="7BE5F935" w14:textId="77777777" w:rsidTr="00E73A3B">
              <w:trPr>
                <w:trHeight w:val="562"/>
                <w:jc w:val="center"/>
              </w:trPr>
              <w:tc>
                <w:tcPr>
                  <w:tcW w:w="7371" w:type="dxa"/>
                  <w:gridSpan w:val="7"/>
                  <w:tcBorders>
                    <w:top w:val="nil"/>
                    <w:left w:val="nil"/>
                    <w:bottom w:val="nil"/>
                    <w:right w:val="nil"/>
                  </w:tcBorders>
                  <w:tcMar>
                    <w:top w:w="24" w:type="dxa"/>
                    <w:left w:w="48" w:type="dxa"/>
                    <w:bottom w:w="24" w:type="dxa"/>
                    <w:right w:w="48" w:type="dxa"/>
                  </w:tcMar>
                  <w:hideMark/>
                </w:tcPr>
                <w:p w14:paraId="3281F522" w14:textId="77777777" w:rsidR="00117E23" w:rsidRPr="006F5136" w:rsidRDefault="00117E23" w:rsidP="005E4694">
                  <w:pPr>
                    <w:spacing w:after="0" w:line="240" w:lineRule="auto"/>
                    <w:jc w:val="right"/>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i/>
                      <w:iCs/>
                      <w:sz w:val="18"/>
                      <w:szCs w:val="18"/>
                      <w:lang w:val="ro-RO" w:eastAsia="ro-MD"/>
                    </w:rPr>
                    <w:t>Tabelul nr.2</w:t>
                  </w:r>
                  <w:r w:rsidRPr="006F5136">
                    <w:rPr>
                      <w:rFonts w:ascii="Times New Roman" w:eastAsia="Times New Roman" w:hAnsi="Times New Roman" w:cs="Times New Roman"/>
                      <w:i/>
                      <w:iCs/>
                      <w:sz w:val="18"/>
                      <w:szCs w:val="18"/>
                      <w:vertAlign w:val="superscript"/>
                      <w:lang w:val="ro-RO" w:eastAsia="ro-MD"/>
                    </w:rPr>
                    <w:t>1</w:t>
                  </w:r>
                </w:p>
                <w:p w14:paraId="3EA5DB97" w14:textId="77777777" w:rsidR="00117E23" w:rsidRPr="006F5136" w:rsidRDefault="00117E23" w:rsidP="005E4694">
                  <w:pPr>
                    <w:spacing w:after="0" w:line="240" w:lineRule="auto"/>
                    <w:jc w:val="right"/>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w:t>
                  </w:r>
                </w:p>
              </w:tc>
            </w:tr>
            <w:tr w:rsidR="00117E23" w:rsidRPr="006F5136" w14:paraId="6867625B" w14:textId="77777777" w:rsidTr="00E73A3B">
              <w:trPr>
                <w:jc w:val="center"/>
              </w:trPr>
              <w:tc>
                <w:tcPr>
                  <w:tcW w:w="3265"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965FCA" w14:textId="77777777" w:rsidR="00117E23" w:rsidRPr="006F5136" w:rsidRDefault="00117E23" w:rsidP="005E4694">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 xml:space="preserve">Nivel de calitate a creditului </w:t>
                  </w:r>
                </w:p>
              </w:tc>
              <w:tc>
                <w:tcPr>
                  <w:tcW w:w="59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E593D5" w14:textId="77777777" w:rsidR="00117E23" w:rsidRPr="006F5136" w:rsidRDefault="00117E23" w:rsidP="005E4694">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1</w:t>
                  </w:r>
                </w:p>
              </w:tc>
              <w:tc>
                <w:tcPr>
                  <w:tcW w:w="59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654F35" w14:textId="77777777" w:rsidR="00117E23" w:rsidRPr="006F5136" w:rsidRDefault="00117E23" w:rsidP="005E4694">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2</w:t>
                  </w:r>
                </w:p>
              </w:tc>
              <w:tc>
                <w:tcPr>
                  <w:tcW w:w="72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E9C959F" w14:textId="77777777" w:rsidR="00117E23" w:rsidRPr="006F5136" w:rsidRDefault="00117E23" w:rsidP="005E4694">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3</w:t>
                  </w:r>
                </w:p>
              </w:tc>
              <w:tc>
                <w:tcPr>
                  <w:tcW w:w="72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24C7DC" w14:textId="77777777" w:rsidR="00117E23" w:rsidRPr="006F5136" w:rsidRDefault="00117E23" w:rsidP="005E4694">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4</w:t>
                  </w:r>
                </w:p>
              </w:tc>
              <w:tc>
                <w:tcPr>
                  <w:tcW w:w="72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140741" w14:textId="77777777" w:rsidR="00117E23" w:rsidRPr="006F5136" w:rsidRDefault="00117E23" w:rsidP="005E4694">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5</w:t>
                  </w:r>
                </w:p>
              </w:tc>
              <w:tc>
                <w:tcPr>
                  <w:tcW w:w="72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673BA1" w14:textId="77777777" w:rsidR="00117E23" w:rsidRPr="006F5136" w:rsidRDefault="00117E23" w:rsidP="005E4694">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6</w:t>
                  </w:r>
                </w:p>
              </w:tc>
            </w:tr>
            <w:tr w:rsidR="00117E23" w:rsidRPr="006F5136" w14:paraId="4867670E" w14:textId="77777777" w:rsidTr="00E73A3B">
              <w:trPr>
                <w:jc w:val="center"/>
              </w:trPr>
              <w:tc>
                <w:tcPr>
                  <w:tcW w:w="326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53937" w14:textId="77777777" w:rsidR="00117E23" w:rsidRPr="006F5136" w:rsidRDefault="00117E23" w:rsidP="005E4694">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Pondere de risc</w:t>
                  </w:r>
                </w:p>
              </w:tc>
              <w:tc>
                <w:tcPr>
                  <w:tcW w:w="5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0CBFF" w14:textId="77777777" w:rsidR="00117E23" w:rsidRPr="006F5136" w:rsidRDefault="00117E23" w:rsidP="005E4694">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20%</w:t>
                  </w:r>
                </w:p>
              </w:tc>
              <w:tc>
                <w:tcPr>
                  <w:tcW w:w="5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EC762" w14:textId="77777777" w:rsidR="00117E23" w:rsidRPr="006F5136" w:rsidRDefault="00117E23" w:rsidP="005E4694">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50%</w:t>
                  </w:r>
                </w:p>
              </w:tc>
              <w:tc>
                <w:tcPr>
                  <w:tcW w:w="7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3DAF6" w14:textId="77777777" w:rsidR="00117E23" w:rsidRPr="006F5136" w:rsidRDefault="00117E23" w:rsidP="005E4694">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100%</w:t>
                  </w:r>
                </w:p>
              </w:tc>
              <w:tc>
                <w:tcPr>
                  <w:tcW w:w="7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3D979" w14:textId="77777777" w:rsidR="00117E23" w:rsidRPr="006F5136" w:rsidRDefault="00117E23" w:rsidP="005E4694">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100%</w:t>
                  </w:r>
                </w:p>
              </w:tc>
              <w:tc>
                <w:tcPr>
                  <w:tcW w:w="7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AC315" w14:textId="77777777" w:rsidR="00117E23" w:rsidRPr="006F5136" w:rsidRDefault="00117E23" w:rsidP="005E4694">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100%</w:t>
                  </w:r>
                </w:p>
              </w:tc>
              <w:tc>
                <w:tcPr>
                  <w:tcW w:w="72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AEB73" w14:textId="77777777" w:rsidR="00117E23" w:rsidRPr="006F5136" w:rsidRDefault="00117E23" w:rsidP="005E4694">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150%</w:t>
                  </w:r>
                </w:p>
              </w:tc>
            </w:tr>
          </w:tbl>
          <w:p w14:paraId="41E95A7A" w14:textId="77777777" w:rsidR="00117E23" w:rsidRPr="006F5136" w:rsidRDefault="00117E23" w:rsidP="005E4694">
            <w:pPr>
              <w:spacing w:after="0" w:line="240" w:lineRule="auto"/>
              <w:ind w:firstLine="567"/>
              <w:jc w:val="both"/>
              <w:rPr>
                <w:rFonts w:ascii="Times New Roman" w:eastAsia="Times New Roman" w:hAnsi="Times New Roman" w:cs="Times New Roman"/>
                <w:sz w:val="18"/>
                <w:szCs w:val="18"/>
                <w:lang w:val="ro-RO" w:eastAsia="ro-MD"/>
              </w:rPr>
            </w:pPr>
          </w:p>
          <w:p w14:paraId="3040E4B8" w14:textId="6E66AF9E" w:rsidR="00117E23" w:rsidRPr="006F5136" w:rsidRDefault="00117E23" w:rsidP="005E4694">
            <w:pPr>
              <w:spacing w:after="0" w:line="240" w:lineRule="auto"/>
              <w:ind w:firstLine="567"/>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44.</w:t>
            </w:r>
            <w:r w:rsidRPr="006F5136">
              <w:rPr>
                <w:rFonts w:ascii="Times New Roman" w:eastAsia="Times New Roman" w:hAnsi="Times New Roman" w:cs="Times New Roman"/>
                <w:sz w:val="18"/>
                <w:szCs w:val="18"/>
                <w:lang w:val="ro-RO" w:eastAsia="ro-MD"/>
              </w:rPr>
              <w:t xml:space="preserve">  Ponderea de risc pentru expunerile față de bănci de dezvoltare multilaterală care nu sunt menționate la punctul 46 și pentru care nu este disponibilă o evaluare de credit emisă de o ECAI desemnată este de 50 %.</w:t>
            </w:r>
          </w:p>
          <w:bookmarkEnd w:id="7"/>
          <w:p w14:paraId="7A5DF558" w14:textId="77777777" w:rsidR="00395381" w:rsidRPr="006F5136" w:rsidRDefault="00395381" w:rsidP="005E4694">
            <w:pPr>
              <w:pStyle w:val="CM4"/>
              <w:tabs>
                <w:tab w:val="left" w:pos="150"/>
              </w:tabs>
              <w:ind w:left="-36"/>
              <w:rPr>
                <w:rFonts w:ascii="Times New Roman" w:hAnsi="Times New Roman"/>
                <w:sz w:val="18"/>
                <w:szCs w:val="18"/>
                <w:lang w:val="ro-RO" w:eastAsia="ru-RU"/>
              </w:rPr>
            </w:pPr>
          </w:p>
          <w:p w14:paraId="7536E573"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4</w:t>
            </w:r>
            <w:r w:rsidR="009E4E53" w:rsidRPr="006F5136">
              <w:rPr>
                <w:rFonts w:ascii="Times New Roman" w:hAnsi="Times New Roman"/>
                <w:sz w:val="18"/>
                <w:szCs w:val="18"/>
                <w:lang w:val="ro-RO" w:eastAsia="ru-RU"/>
              </w:rPr>
              <w:t>5</w:t>
            </w:r>
            <w:r w:rsidRPr="006F5136">
              <w:rPr>
                <w:rFonts w:ascii="Times New Roman" w:hAnsi="Times New Roman"/>
                <w:sz w:val="18"/>
                <w:szCs w:val="18"/>
                <w:lang w:val="ro-RO" w:eastAsia="ru-RU"/>
              </w:rPr>
              <w:t>. În scopul prezentului regulament, Societatea Interamericană de Investiții (Inter-American Investment Corporation), Banca pentru Dezvoltare și Comerț în regiunea Mării Negre (Black Sea Trade and Development Bank), Banca Central-Americană pentru Integrare Economică (Central American Bank for Economic Integration) și CAF-Banca pentru Dezvoltare a Americii Latine (CAF-Development Bank of Latin America) sunt considerate ca bănci de dezvoltare multilaterală.</w:t>
            </w:r>
          </w:p>
          <w:p w14:paraId="019A2B41" w14:textId="76F6D811" w:rsidR="00117E23" w:rsidRPr="006F5136" w:rsidRDefault="00117E23" w:rsidP="005E4694">
            <w:pPr>
              <w:spacing w:after="0" w:line="240" w:lineRule="auto"/>
              <w:rPr>
                <w:rFonts w:ascii="Times New Roman" w:hAnsi="Times New Roman" w:cs="Times New Roman"/>
                <w:i/>
                <w:iCs/>
                <w:sz w:val="18"/>
                <w:szCs w:val="18"/>
                <w:lang w:val="ro-RO" w:eastAsia="ru-RU"/>
              </w:rPr>
            </w:pPr>
            <w:r w:rsidRPr="006F5136">
              <w:rPr>
                <w:rFonts w:ascii="Times New Roman" w:hAnsi="Times New Roman" w:cs="Times New Roman"/>
                <w:i/>
                <w:iCs/>
                <w:sz w:val="18"/>
                <w:szCs w:val="18"/>
                <w:lang w:val="ro-RO" w:eastAsia="ru-RU"/>
              </w:rPr>
              <w:t>Modificat prin Proiectul HCE al BNM privind modificarea Regulamentului nr.111/2018.</w:t>
            </w:r>
          </w:p>
        </w:tc>
        <w:tc>
          <w:tcPr>
            <w:tcW w:w="503" w:type="pct"/>
          </w:tcPr>
          <w:p w14:paraId="127A20E0" w14:textId="77777777"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724BF70F" w14:textId="55A56C63" w:rsidR="00395381"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BB2F88" w:rsidRPr="006F5136" w14:paraId="19654940"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4672821"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  Expunerilor față de următoarele bănci de dezvoltare multilaterală li se aplică o pondere de risc de 0 %:</w:t>
            </w:r>
          </w:p>
          <w:p w14:paraId="647B638F"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Banca Internațională pentru Reconstrucție și Dezvoltare (International Bank for Reconstruction and Development);</w:t>
            </w:r>
          </w:p>
          <w:p w14:paraId="6CA76287"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Societatea Financiară Internațională (International Finance Corporation);</w:t>
            </w:r>
          </w:p>
          <w:p w14:paraId="6C7BBF5D"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 Banca Interamericană de Dezvoltare (Inter-American Development Bank);</w:t>
            </w:r>
          </w:p>
          <w:p w14:paraId="62694965"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(d) Banca Asiatică de Dezvoltare (Asian Development Bank);</w:t>
            </w:r>
          </w:p>
          <w:p w14:paraId="7C319635"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(e) Banca Africană de Dezvoltare (African Development Bank);</w:t>
            </w:r>
          </w:p>
          <w:p w14:paraId="155C6C63"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(f) Banca de Dezvoltare a Consiliului Europei (Council of Europe Development Bank);</w:t>
            </w:r>
          </w:p>
          <w:p w14:paraId="15B6D2A2"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(g) Banca Nordică de Investiții (Nordic Investment Bank);</w:t>
            </w:r>
          </w:p>
          <w:p w14:paraId="21BB3AF7"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(h) Banca Caraibiană de Dezvoltare (Caribbean Development Bank);</w:t>
            </w:r>
          </w:p>
          <w:p w14:paraId="26D1CC5B"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 Banca Europeană pentru Reconstrucție și Dezvoltare (European Bank for Reconstruction and Development);</w:t>
            </w:r>
          </w:p>
          <w:p w14:paraId="5999827E"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(j) Banca Europeană de Investiții (European Investment Bank);</w:t>
            </w:r>
          </w:p>
          <w:p w14:paraId="713007E4"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(k) Fondul European de Investiții (European Investment Fund);</w:t>
            </w:r>
          </w:p>
          <w:p w14:paraId="5AABBA26"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(l) Agenția pentru Garantarea Investițiilor Multilaterale (Multilateral Investment Guarantee Agency);</w:t>
            </w:r>
          </w:p>
          <w:p w14:paraId="09113B9E"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(m) Facilitatea Internațională de Finanțare în favoarea Imunizării (International Finance Facility for Immunisation);</w:t>
            </w:r>
          </w:p>
          <w:p w14:paraId="2D5063E0"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(n) Banca Islamică de Dezvoltare (Islamic Development Bank);</w:t>
            </w:r>
          </w:p>
          <w:p w14:paraId="69473D23" w14:textId="77777777" w:rsidR="00744D93" w:rsidRPr="006F5136" w:rsidRDefault="00744D93" w:rsidP="005E4694">
            <w:pPr>
              <w:pStyle w:val="CM4"/>
              <w:tabs>
                <w:tab w:val="left" w:pos="150"/>
              </w:tabs>
              <w:ind w:left="-43"/>
              <w:jc w:val="both"/>
              <w:rPr>
                <w:rFonts w:ascii="Times New Roman" w:hAnsi="Times New Roman"/>
                <w:b/>
                <w:bCs/>
                <w:iCs/>
                <w:sz w:val="18"/>
                <w:szCs w:val="18"/>
                <w:lang w:val="ro-RO" w:eastAsia="ru-RU"/>
              </w:rPr>
            </w:pPr>
            <w:r w:rsidRPr="006F5136">
              <w:rPr>
                <w:rFonts w:ascii="Times New Roman" w:hAnsi="Times New Roman"/>
                <w:b/>
                <w:bCs/>
                <w:iCs/>
                <w:sz w:val="18"/>
                <w:szCs w:val="18"/>
                <w:lang w:val="ro-RO" w:eastAsia="ru-RU"/>
              </w:rPr>
              <w:t>M8</w:t>
            </w:r>
          </w:p>
          <w:p w14:paraId="6D015555" w14:textId="77777777" w:rsidR="00744D93" w:rsidRPr="006F5136" w:rsidRDefault="00744D93"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(o) Asociația Internațională pentru Dezvoltare;</w:t>
            </w:r>
          </w:p>
          <w:p w14:paraId="6733941D" w14:textId="77777777" w:rsidR="00744D93" w:rsidRPr="006F5136" w:rsidRDefault="00744D93"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 Banca Asiatică de Investiții în Infrastructură.</w:t>
            </w:r>
          </w:p>
          <w:p w14:paraId="7528E0E1" w14:textId="2B74161E" w:rsidR="00395381" w:rsidRPr="006F5136" w:rsidRDefault="00395381" w:rsidP="005E4694">
            <w:pPr>
              <w:spacing w:after="0" w:line="240" w:lineRule="auto"/>
              <w:rPr>
                <w:rFonts w:ascii="Times New Roman" w:hAnsi="Times New Roman" w:cs="Times New Roman"/>
                <w:sz w:val="18"/>
                <w:szCs w:val="18"/>
                <w:lang w:val="ro-RO" w:eastAsia="ru-RU"/>
              </w:rPr>
            </w:pPr>
          </w:p>
        </w:tc>
        <w:tc>
          <w:tcPr>
            <w:tcW w:w="1661" w:type="pct"/>
            <w:shd w:val="clear" w:color="auto" w:fill="auto"/>
          </w:tcPr>
          <w:p w14:paraId="34E80901" w14:textId="019E04C8"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4</w:t>
            </w:r>
            <w:r w:rsidR="00E83CDA" w:rsidRPr="006F5136">
              <w:rPr>
                <w:rFonts w:ascii="Times New Roman" w:hAnsi="Times New Roman"/>
                <w:sz w:val="18"/>
                <w:szCs w:val="18"/>
                <w:lang w:val="ro-RO" w:eastAsia="ru-RU"/>
              </w:rPr>
              <w:t>6</w:t>
            </w:r>
            <w:r w:rsidRPr="006F5136">
              <w:rPr>
                <w:rFonts w:ascii="Times New Roman" w:hAnsi="Times New Roman"/>
                <w:sz w:val="18"/>
                <w:szCs w:val="18"/>
                <w:lang w:val="ro-RO" w:eastAsia="ru-RU"/>
              </w:rPr>
              <w:t>. Expunerilor față de următoarele bănci de dezvoltare multilaterală li se aplică o pondere de risc de 0 %:</w:t>
            </w:r>
          </w:p>
          <w:p w14:paraId="44AE48E0"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1) Banca Internațională pentru Reconstrucție și Dezvoltare (International Bank for Reconstruction and Development);</w:t>
            </w:r>
          </w:p>
          <w:p w14:paraId="6D2E8739"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2) Societatea Financiară Internațională (International Finance Corporation);</w:t>
            </w:r>
          </w:p>
          <w:p w14:paraId="2D068B59"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3) Banca Interamericană de Dezvoltare (Inter-American Development Bank);</w:t>
            </w:r>
          </w:p>
          <w:p w14:paraId="6F1C8FB3"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4) Banca Asiatică de Dezvoltare (Asian Development Bank);</w:t>
            </w:r>
          </w:p>
          <w:p w14:paraId="35C1B2F9"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5) Banca Africană de Dezvoltare (African Development Bank);</w:t>
            </w:r>
          </w:p>
          <w:p w14:paraId="62FBD87D"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6) Banca de Dezvoltare a Consiliului Europei (Council of Europe Development Bank);</w:t>
            </w:r>
          </w:p>
          <w:p w14:paraId="72AD3209"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7) Banca Nordică de Investiții (Nordic Investment Bank);</w:t>
            </w:r>
          </w:p>
          <w:p w14:paraId="7965826B"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8) Banca Caraibiană de Dezvoltare (Caribbean Development Bank);</w:t>
            </w:r>
          </w:p>
          <w:p w14:paraId="46494C84"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9) Banca Europeană pentru Reconstrucție și Dezvoltare (European Bank for Reconstruction and Development);</w:t>
            </w:r>
          </w:p>
          <w:p w14:paraId="0509315C"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10) Banca Europeană de Investiții (European Investment Bank);</w:t>
            </w:r>
          </w:p>
          <w:p w14:paraId="4CB73BE3"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11) Fondul European de Investiții (European Investment Fund);</w:t>
            </w:r>
          </w:p>
          <w:p w14:paraId="2C814669"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12) Agenția pentru Garantarea Investițiilor Multilaterale (Multilateral Investment Guarantee Agency);</w:t>
            </w:r>
          </w:p>
          <w:p w14:paraId="767706E7"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13) Facilitatea Internațională de Finanțare în favoarea Imunizării (International Finance Facility for Immunisation);</w:t>
            </w:r>
          </w:p>
          <w:p w14:paraId="3B0CC992" w14:textId="77777777" w:rsidR="00744D93"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14) Banca Islamică de Dezvoltare (Islamic Development Bank).</w:t>
            </w:r>
            <w:r w:rsidR="00744D93" w:rsidRPr="006F5136">
              <w:rPr>
                <w:rFonts w:ascii="Times New Roman" w:hAnsi="Times New Roman"/>
                <w:sz w:val="18"/>
                <w:szCs w:val="18"/>
                <w:lang w:val="ro-RO" w:eastAsia="ru-RU"/>
              </w:rPr>
              <w:t xml:space="preserve"> </w:t>
            </w:r>
          </w:p>
          <w:p w14:paraId="4FF74D5A" w14:textId="77777777" w:rsidR="00C71607" w:rsidRPr="006F5136" w:rsidRDefault="00C71607"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15) Asociația Internațională pentru Dezvoltare (International Development Association);</w:t>
            </w:r>
          </w:p>
          <w:p w14:paraId="79CC7390" w14:textId="77777777" w:rsidR="00395381" w:rsidRPr="006F5136" w:rsidRDefault="00C71607"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 xml:space="preserve">16) Banca Asiatică de Investiții în Infrastructură (Asian Infrastructure Investment Bank).  </w:t>
            </w:r>
          </w:p>
          <w:p w14:paraId="4F50C72D" w14:textId="65744743" w:rsidR="00C71607" w:rsidRPr="006F5136" w:rsidRDefault="00C71607" w:rsidP="005E4694">
            <w:pPr>
              <w:spacing w:after="0" w:line="240" w:lineRule="auto"/>
              <w:rPr>
                <w:rFonts w:ascii="Times New Roman" w:hAnsi="Times New Roman" w:cs="Times New Roman"/>
                <w:i/>
                <w:iCs/>
                <w:sz w:val="18"/>
                <w:szCs w:val="18"/>
                <w:lang w:val="ro-RO" w:eastAsia="ru-RU"/>
              </w:rPr>
            </w:pPr>
            <w:r w:rsidRPr="006F5136">
              <w:rPr>
                <w:rFonts w:ascii="Times New Roman" w:hAnsi="Times New Roman" w:cs="Times New Roman"/>
                <w:i/>
                <w:iCs/>
                <w:sz w:val="18"/>
                <w:szCs w:val="18"/>
                <w:lang w:val="ro-RO" w:eastAsia="ru-RU"/>
              </w:rPr>
              <w:t>Completat prin Proiectul HCE al BNM privind modificarea Regulamentului nr.111/2018.</w:t>
            </w:r>
          </w:p>
        </w:tc>
        <w:tc>
          <w:tcPr>
            <w:tcW w:w="503" w:type="pct"/>
          </w:tcPr>
          <w:p w14:paraId="68F5DB8B" w14:textId="77777777"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3AF4474D" w14:textId="05675D47" w:rsidR="00395381"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116289" w:rsidRPr="006F5136" w14:paraId="0DD122C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F21240B" w14:textId="77777777" w:rsidR="00116289" w:rsidRPr="006F5136" w:rsidRDefault="00116289" w:rsidP="005E4694">
            <w:pPr>
              <w:spacing w:after="0" w:line="240" w:lineRule="auto"/>
              <w:rPr>
                <w:rFonts w:ascii="Times New Roman" w:eastAsia="Times New Roman" w:hAnsi="Times New Roman" w:cs="Times New Roman"/>
                <w:b/>
                <w:bCs/>
                <w:iCs/>
                <w:sz w:val="18"/>
                <w:szCs w:val="18"/>
                <w:lang w:val="ro-RO" w:eastAsia="ru-RU"/>
              </w:rPr>
            </w:pPr>
            <w:r w:rsidRPr="006F5136">
              <w:rPr>
                <w:rFonts w:ascii="Times New Roman" w:eastAsia="Times New Roman" w:hAnsi="Times New Roman" w:cs="Times New Roman"/>
                <w:b/>
                <w:bCs/>
                <w:iCs/>
                <w:sz w:val="18"/>
                <w:szCs w:val="18"/>
                <w:lang w:val="ro-RO" w:eastAsia="ru-RU"/>
              </w:rPr>
              <w:t>M8</w:t>
            </w:r>
          </w:p>
          <w:p w14:paraId="6F4C5DB9" w14:textId="4570AA04" w:rsidR="00116289" w:rsidRPr="006F5136" w:rsidRDefault="00116289" w:rsidP="005E4694">
            <w:pPr>
              <w:pStyle w:val="CM4"/>
              <w:tabs>
                <w:tab w:val="left" w:pos="150"/>
              </w:tabs>
              <w:ind w:left="-43"/>
              <w:jc w:val="both"/>
              <w:rPr>
                <w:rFonts w:ascii="Times New Roman" w:hAnsi="Times New Roman"/>
                <w:b/>
                <w:bCs/>
                <w:iCs/>
                <w:sz w:val="18"/>
                <w:szCs w:val="18"/>
                <w:lang w:val="ro-RO" w:eastAsia="ru-RU"/>
              </w:rPr>
            </w:pPr>
            <w:r w:rsidRPr="006F5136">
              <w:rPr>
                <w:rFonts w:ascii="Times New Roman" w:hAnsi="Times New Roman"/>
                <w:sz w:val="18"/>
                <w:szCs w:val="18"/>
                <w:lang w:val="ro-RO" w:eastAsia="ru-RU"/>
              </w:rPr>
              <w:t>Comisia este împuternicită să modifice prezentul regulament prin adoptarea unor acte delegate în conformitate cu articolul 462 pentru a modifica, conform standardelor internaționale, lista băncilor multilaterale de dezvoltare menționate la primul paragraf.</w:t>
            </w:r>
          </w:p>
        </w:tc>
        <w:tc>
          <w:tcPr>
            <w:tcW w:w="1661" w:type="pct"/>
            <w:shd w:val="clear" w:color="auto" w:fill="auto"/>
          </w:tcPr>
          <w:p w14:paraId="5FB46257" w14:textId="77777777" w:rsidR="00116289" w:rsidRPr="006F5136" w:rsidRDefault="00116289" w:rsidP="005E4694">
            <w:pPr>
              <w:pStyle w:val="CM4"/>
              <w:tabs>
                <w:tab w:val="left" w:pos="150"/>
              </w:tabs>
              <w:ind w:left="-36"/>
              <w:rPr>
                <w:rFonts w:ascii="Times New Roman" w:hAnsi="Times New Roman"/>
                <w:sz w:val="18"/>
                <w:szCs w:val="18"/>
                <w:lang w:val="ro-RO" w:eastAsia="ru-RU"/>
              </w:rPr>
            </w:pPr>
          </w:p>
        </w:tc>
        <w:tc>
          <w:tcPr>
            <w:tcW w:w="503" w:type="pct"/>
          </w:tcPr>
          <w:p w14:paraId="262D7F3F" w14:textId="4D3F40DD" w:rsidR="00116289" w:rsidRPr="006F5136" w:rsidRDefault="00116289"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Norme UE neaplicabile</w:t>
            </w:r>
          </w:p>
        </w:tc>
        <w:tc>
          <w:tcPr>
            <w:tcW w:w="912" w:type="pct"/>
          </w:tcPr>
          <w:p w14:paraId="3A774CFC" w14:textId="77777777" w:rsidR="00116289" w:rsidRPr="006F5136" w:rsidRDefault="00116289" w:rsidP="005E4694">
            <w:pPr>
              <w:spacing w:after="0" w:line="240" w:lineRule="auto"/>
              <w:jc w:val="both"/>
              <w:rPr>
                <w:rFonts w:ascii="Times New Roman" w:hAnsi="Times New Roman" w:cs="Times New Roman"/>
                <w:iCs/>
                <w:sz w:val="18"/>
                <w:szCs w:val="18"/>
                <w:lang w:val="ro-RO"/>
              </w:rPr>
            </w:pPr>
          </w:p>
        </w:tc>
      </w:tr>
      <w:tr w:rsidR="00BB2F88" w:rsidRPr="006F5136" w14:paraId="22BB04FD"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6F8BA30"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  Se aplică o pondere de risc de 20 % părții nevărsate a capitalului subscris la Fondul European de Investiții.</w:t>
            </w:r>
          </w:p>
        </w:tc>
        <w:tc>
          <w:tcPr>
            <w:tcW w:w="1661" w:type="pct"/>
            <w:shd w:val="clear" w:color="auto" w:fill="auto"/>
          </w:tcPr>
          <w:p w14:paraId="7A950A5C" w14:textId="77777777" w:rsidR="00395381" w:rsidRPr="006F5136" w:rsidRDefault="00395381" w:rsidP="005E4694">
            <w:pPr>
              <w:pStyle w:val="CM4"/>
              <w:tabs>
                <w:tab w:val="left" w:pos="150"/>
              </w:tabs>
              <w:ind w:left="-36" w:firstLine="142"/>
              <w:rPr>
                <w:rFonts w:ascii="Times New Roman" w:hAnsi="Times New Roman"/>
                <w:sz w:val="18"/>
                <w:szCs w:val="18"/>
                <w:lang w:val="ro-RO" w:eastAsia="ru-RU"/>
              </w:rPr>
            </w:pPr>
          </w:p>
        </w:tc>
        <w:tc>
          <w:tcPr>
            <w:tcW w:w="503" w:type="pct"/>
          </w:tcPr>
          <w:p w14:paraId="42BB66D4" w14:textId="1F814E59" w:rsidR="00395381" w:rsidRPr="006F5136" w:rsidRDefault="0046148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Norme UE neaplicabile</w:t>
            </w:r>
          </w:p>
        </w:tc>
        <w:tc>
          <w:tcPr>
            <w:tcW w:w="912" w:type="pct"/>
          </w:tcPr>
          <w:p w14:paraId="2A64B326" w14:textId="6E995729"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Prevedere aplicabilă entităților din statele membre UE.</w:t>
            </w:r>
          </w:p>
        </w:tc>
      </w:tr>
      <w:tr w:rsidR="00BB2F88" w:rsidRPr="006F5136" w14:paraId="335D8960"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3FC36E2"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118</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Expuneri față de organizații internaționale</w:t>
            </w:r>
          </w:p>
          <w:p w14:paraId="0DD26528"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p>
          <w:p w14:paraId="5B7F55F8" w14:textId="4BF79175"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Expunerilor față de următoarele organizații internaționale li se aplică o pondere de risc de 0 %:</w:t>
            </w:r>
          </w:p>
          <w:p w14:paraId="7BA4B890" w14:textId="22C007B3" w:rsidR="00395381" w:rsidRPr="006F5136" w:rsidRDefault="00395381" w:rsidP="005E4694">
            <w:pPr>
              <w:spacing w:after="0" w:line="240" w:lineRule="auto"/>
              <w:rPr>
                <w:rFonts w:ascii="Times New Roman" w:hAnsi="Times New Roman" w:cs="Times New Roman"/>
                <w:iCs/>
                <w:sz w:val="18"/>
                <w:szCs w:val="18"/>
                <w:lang w:val="ro-RO" w:eastAsia="ru-RU"/>
              </w:rPr>
            </w:pPr>
          </w:p>
        </w:tc>
        <w:tc>
          <w:tcPr>
            <w:tcW w:w="1661" w:type="pct"/>
            <w:shd w:val="clear" w:color="auto" w:fill="auto"/>
          </w:tcPr>
          <w:p w14:paraId="0F3F8803"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Secțiunea a 5-a. Expuneri față de organizații internaționale</w:t>
            </w:r>
          </w:p>
          <w:p w14:paraId="1351A1C0" w14:textId="77777777" w:rsidR="00395381" w:rsidRPr="006F5136" w:rsidRDefault="00395381" w:rsidP="005E4694">
            <w:pPr>
              <w:spacing w:after="0" w:line="240" w:lineRule="auto"/>
              <w:rPr>
                <w:rFonts w:ascii="Times New Roman" w:hAnsi="Times New Roman" w:cs="Times New Roman"/>
                <w:sz w:val="18"/>
                <w:szCs w:val="18"/>
                <w:lang w:val="ro-RO"/>
              </w:rPr>
            </w:pPr>
          </w:p>
          <w:p w14:paraId="2BCC8A9E" w14:textId="3ECD687A" w:rsidR="00395381" w:rsidRPr="006F5136" w:rsidRDefault="00395381"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4</w:t>
            </w:r>
            <w:r w:rsidR="00E83CDA" w:rsidRPr="006F5136">
              <w:rPr>
                <w:rFonts w:ascii="Times New Roman" w:hAnsi="Times New Roman" w:cs="Times New Roman"/>
                <w:sz w:val="18"/>
                <w:szCs w:val="18"/>
                <w:lang w:val="ro-RO"/>
              </w:rPr>
              <w:t>7</w:t>
            </w:r>
            <w:r w:rsidRPr="006F5136">
              <w:rPr>
                <w:rFonts w:ascii="Times New Roman" w:hAnsi="Times New Roman" w:cs="Times New Roman"/>
                <w:sz w:val="18"/>
                <w:szCs w:val="18"/>
                <w:lang w:val="ro-RO"/>
              </w:rPr>
              <w:t>. Expunerilor față de următoarele organizații internaționale li se aplică o pondere de risc de 0 %:</w:t>
            </w:r>
          </w:p>
        </w:tc>
        <w:tc>
          <w:tcPr>
            <w:tcW w:w="503" w:type="pct"/>
          </w:tcPr>
          <w:p w14:paraId="60EE91DC" w14:textId="7E3D7A38"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3B5E832F" w14:textId="5963F336" w:rsidR="00395381"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F02CF4" w:rsidRPr="006F5136" w14:paraId="31B2309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F681FFC" w14:textId="77777777" w:rsidR="001D74AA" w:rsidRPr="006F5136" w:rsidRDefault="001D74AA" w:rsidP="005E4694">
            <w:pPr>
              <w:spacing w:after="0" w:line="240" w:lineRule="auto"/>
              <w:rPr>
                <w:rFonts w:ascii="Times New Roman" w:hAnsi="Times New Roman" w:cs="Times New Roman"/>
                <w:b/>
                <w:bCs/>
                <w:sz w:val="18"/>
                <w:szCs w:val="18"/>
                <w:lang w:val="ro-RO" w:eastAsia="ru-RU"/>
              </w:rPr>
            </w:pPr>
            <w:r w:rsidRPr="006F5136">
              <w:rPr>
                <w:rFonts w:ascii="Times New Roman" w:hAnsi="Times New Roman" w:cs="Times New Roman"/>
                <w:b/>
                <w:bCs/>
                <w:sz w:val="18"/>
                <w:szCs w:val="18"/>
                <w:lang w:val="ro-RO" w:eastAsia="ru-RU"/>
              </w:rPr>
              <w:t>M8</w:t>
            </w:r>
          </w:p>
          <w:p w14:paraId="4B4E9A2A" w14:textId="77777777" w:rsidR="001D74AA" w:rsidRPr="006F5136" w:rsidRDefault="001D74A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(a) Uniunea Europeană și Comunitatea Europeană a Energiei Atomice; </w:t>
            </w:r>
          </w:p>
          <w:p w14:paraId="0731154D" w14:textId="7EA9988F"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Fondul Monetar Internațional;</w:t>
            </w:r>
          </w:p>
          <w:p w14:paraId="010AEFB0"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 Banca Reglementelor Internaționale;</w:t>
            </w:r>
          </w:p>
          <w:p w14:paraId="1B99D5B5"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(d) Fondul european de stabilitate financiară;</w:t>
            </w:r>
          </w:p>
          <w:p w14:paraId="77A83F04"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(e) Mecanismul european de stabilitate;</w:t>
            </w:r>
          </w:p>
          <w:p w14:paraId="2520E720" w14:textId="0C8685FD" w:rsidR="00F02CF4" w:rsidRPr="006F5136" w:rsidRDefault="00F02CF4" w:rsidP="005E4694">
            <w:pPr>
              <w:pStyle w:val="CM4"/>
              <w:tabs>
                <w:tab w:val="left" w:pos="150"/>
              </w:tabs>
              <w:ind w:left="-43"/>
              <w:jc w:val="both"/>
              <w:rPr>
                <w:rFonts w:ascii="Times New Roman" w:hAnsi="Times New Roman"/>
                <w:i/>
                <w:iCs/>
                <w:sz w:val="18"/>
                <w:szCs w:val="18"/>
                <w:lang w:val="ro-RO" w:eastAsia="ru-RU"/>
              </w:rPr>
            </w:pPr>
            <w:r w:rsidRPr="006F5136">
              <w:rPr>
                <w:rFonts w:ascii="Times New Roman" w:hAnsi="Times New Roman"/>
                <w:iCs/>
                <w:sz w:val="18"/>
                <w:szCs w:val="18"/>
                <w:lang w:val="ro-RO" w:eastAsia="ru-RU"/>
              </w:rPr>
              <w:t>(f) o instituție financiară internațională instituită de două sau mai multe state membre, care are scopul de a mobiliza fonduri și de a oferi asistență financiară în beneficiul membrilor săi care sunt afectați sau amenințați de probleme grave de finanțare.</w:t>
            </w:r>
          </w:p>
        </w:tc>
        <w:tc>
          <w:tcPr>
            <w:tcW w:w="1661" w:type="pct"/>
            <w:shd w:val="clear" w:color="auto" w:fill="auto"/>
          </w:tcPr>
          <w:p w14:paraId="2F321C40" w14:textId="77777777" w:rsidR="001D74AA" w:rsidRPr="006F5136" w:rsidRDefault="001D74AA" w:rsidP="005E4694">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sz w:val="18"/>
                <w:szCs w:val="18"/>
                <w:lang w:val="ro-RO"/>
              </w:rPr>
              <w:t xml:space="preserve">1) Uniunea Europeană </w:t>
            </w:r>
            <w:r w:rsidRPr="006F5136">
              <w:rPr>
                <w:rFonts w:ascii="Times New Roman" w:hAnsi="Times New Roman" w:cs="Times New Roman"/>
                <w:sz w:val="18"/>
                <w:szCs w:val="18"/>
                <w:lang w:val="ro-RO" w:eastAsia="ro-MD"/>
              </w:rPr>
              <w:t>și Comunitatea Europeană a Energiei Atomice (European Union</w:t>
            </w:r>
            <w:r w:rsidRPr="006F5136">
              <w:rPr>
                <w:rFonts w:ascii="Times New Roman" w:hAnsi="Times New Roman" w:cs="Times New Roman"/>
                <w:sz w:val="18"/>
                <w:szCs w:val="18"/>
              </w:rPr>
              <w:t xml:space="preserve"> </w:t>
            </w:r>
            <w:r w:rsidRPr="006F5136">
              <w:rPr>
                <w:rFonts w:ascii="Times New Roman" w:hAnsi="Times New Roman" w:cs="Times New Roman"/>
                <w:sz w:val="18"/>
                <w:szCs w:val="18"/>
                <w:lang w:val="ro-RO" w:eastAsia="ro-MD"/>
              </w:rPr>
              <w:t xml:space="preserve">și </w:t>
            </w:r>
            <w:r w:rsidRPr="006F5136">
              <w:rPr>
                <w:rFonts w:ascii="Times New Roman" w:hAnsi="Times New Roman" w:cs="Times New Roman"/>
                <w:sz w:val="18"/>
                <w:szCs w:val="18"/>
                <w:lang w:val="en-GB" w:eastAsia="ro-MD"/>
              </w:rPr>
              <w:t>the European Atomic Energy Community</w:t>
            </w:r>
            <w:r w:rsidRPr="006F5136">
              <w:rPr>
                <w:rFonts w:ascii="Times New Roman" w:hAnsi="Times New Roman" w:cs="Times New Roman"/>
                <w:sz w:val="18"/>
                <w:szCs w:val="18"/>
                <w:lang w:val="ro-RO" w:eastAsia="ro-MD"/>
              </w:rPr>
              <w:t>);</w:t>
            </w:r>
          </w:p>
          <w:p w14:paraId="1DFA7696" w14:textId="73697172" w:rsidR="00F02CF4" w:rsidRPr="006F5136" w:rsidRDefault="00F02CF4"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2) Fondul Monetar Internațional (International Monetary Fund);</w:t>
            </w:r>
          </w:p>
          <w:p w14:paraId="2CA4078C" w14:textId="77777777" w:rsidR="00F02CF4" w:rsidRPr="006F5136" w:rsidRDefault="00F02CF4"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3) Banca Reglementelor Internaționale (Bank for International Settlemets);</w:t>
            </w:r>
          </w:p>
          <w:p w14:paraId="2BC26266" w14:textId="77777777" w:rsidR="00F02CF4" w:rsidRPr="006F5136" w:rsidRDefault="00F02CF4"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4) Fondul european de stabilitate financiară (European Financial Stability Facility);</w:t>
            </w:r>
          </w:p>
          <w:p w14:paraId="5B45A30B" w14:textId="77777777" w:rsidR="00F02CF4" w:rsidRPr="006F5136" w:rsidRDefault="00F02CF4"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5) Mecanismul european de stabilitate (European Stability Mechanism);</w:t>
            </w:r>
          </w:p>
          <w:p w14:paraId="1F101481" w14:textId="77777777" w:rsidR="00F02CF4" w:rsidRPr="006F5136" w:rsidRDefault="00F02CF4" w:rsidP="005E4694">
            <w:pPr>
              <w:pStyle w:val="CM4"/>
              <w:tabs>
                <w:tab w:val="left" w:pos="150"/>
              </w:tabs>
              <w:ind w:left="-36"/>
              <w:rPr>
                <w:rFonts w:ascii="Times New Roman" w:hAnsi="Times New Roman"/>
                <w:sz w:val="18"/>
                <w:szCs w:val="18"/>
                <w:lang w:val="ro-RO"/>
              </w:rPr>
            </w:pPr>
            <w:r w:rsidRPr="006F5136">
              <w:rPr>
                <w:rFonts w:ascii="Times New Roman" w:hAnsi="Times New Roman"/>
                <w:sz w:val="18"/>
                <w:szCs w:val="18"/>
                <w:lang w:val="ro-RO"/>
              </w:rPr>
              <w:t>6) o instituție financiară internațională instituită de două sau mai multe state membre ale Uniunii Europene, care are scopul de a mobiliza fonduri și de a oferi asistență financiară în beneficiul membrilor săi care sunt afectați sau amenințați de probleme grave de finanțare.</w:t>
            </w:r>
          </w:p>
          <w:p w14:paraId="7A4F88AB" w14:textId="666A2A9A" w:rsidR="003C0493" w:rsidRPr="006F5136" w:rsidRDefault="003C0493"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Completat prin Proiectul HCE al BNM privind modificarea Regulamentului nr.111/2018.</w:t>
            </w:r>
          </w:p>
        </w:tc>
        <w:tc>
          <w:tcPr>
            <w:tcW w:w="503" w:type="pct"/>
          </w:tcPr>
          <w:p w14:paraId="583B045A" w14:textId="6D996D62" w:rsidR="00F02CF4" w:rsidRPr="006F5136" w:rsidRDefault="00F02CF4"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6B22D0D3" w14:textId="57415576" w:rsidR="00F02CF4"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F02CF4" w:rsidRPr="006F5136" w14:paraId="689009B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F959AB2"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119</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Expuneri față de instituţii</w:t>
            </w:r>
          </w:p>
          <w:p w14:paraId="095C974D" w14:textId="77777777" w:rsidR="00F02CF4" w:rsidRPr="006F5136" w:rsidRDefault="00F02CF4" w:rsidP="005E4694">
            <w:pPr>
              <w:pStyle w:val="CM4"/>
              <w:tabs>
                <w:tab w:val="left" w:pos="150"/>
              </w:tabs>
              <w:ind w:left="-43"/>
              <w:jc w:val="both"/>
              <w:rPr>
                <w:rFonts w:ascii="Times New Roman" w:hAnsi="Times New Roman"/>
                <w:sz w:val="18"/>
                <w:szCs w:val="18"/>
                <w:lang w:val="ro-RO"/>
              </w:rPr>
            </w:pPr>
            <w:r w:rsidRPr="006F5136">
              <w:rPr>
                <w:rFonts w:ascii="Times New Roman" w:hAnsi="Times New Roman"/>
                <w:iCs/>
                <w:sz w:val="18"/>
                <w:szCs w:val="18"/>
                <w:lang w:val="ro-RO" w:eastAsia="ru-RU"/>
              </w:rPr>
              <w:t>(1)  Expunerile față de instituțiile pentru care este disponibilă o evaluare de credit efectuată de o instituție externă de evaluare a creditului desemnată sunt ponderate la risc în conformitate cu articolul 120.</w:t>
            </w:r>
            <w:r w:rsidRPr="006F5136">
              <w:rPr>
                <w:rFonts w:ascii="Times New Roman" w:hAnsi="Times New Roman"/>
                <w:sz w:val="18"/>
                <w:szCs w:val="18"/>
                <w:lang w:val="ro-RO"/>
              </w:rPr>
              <w:t xml:space="preserve"> </w:t>
            </w:r>
          </w:p>
          <w:p w14:paraId="40252962"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Expunerile față de instituțiile pentru care nu este disponibilă o evaluare de credit efectuată de o instituție externă de evaluare a creditului desemnată sunt ponderate la risc în conformitate cu articolul 121.</w:t>
            </w:r>
          </w:p>
        </w:tc>
        <w:tc>
          <w:tcPr>
            <w:tcW w:w="1661" w:type="pct"/>
            <w:shd w:val="clear" w:color="auto" w:fill="auto"/>
          </w:tcPr>
          <w:p w14:paraId="6CF82174" w14:textId="77777777" w:rsidR="00F02CF4" w:rsidRPr="006F5136" w:rsidRDefault="00F02CF4" w:rsidP="005E4694">
            <w:pPr>
              <w:pStyle w:val="CM4"/>
              <w:tabs>
                <w:tab w:val="left" w:pos="150"/>
              </w:tabs>
              <w:rPr>
                <w:rFonts w:ascii="Times New Roman" w:hAnsi="Times New Roman"/>
                <w:sz w:val="18"/>
                <w:szCs w:val="18"/>
                <w:lang w:val="ro-RO" w:eastAsia="ru-RU"/>
              </w:rPr>
            </w:pPr>
            <w:r w:rsidRPr="006F5136">
              <w:rPr>
                <w:rFonts w:ascii="Times New Roman" w:hAnsi="Times New Roman"/>
                <w:sz w:val="18"/>
                <w:szCs w:val="18"/>
                <w:lang w:val="ro-RO" w:eastAsia="ru-RU"/>
              </w:rPr>
              <w:t>Secțiunea a 6-a. Expuneri față de bănci</w:t>
            </w:r>
          </w:p>
          <w:p w14:paraId="06285BC0" w14:textId="77777777" w:rsidR="00F02CF4" w:rsidRPr="006F5136" w:rsidRDefault="00F02CF4" w:rsidP="005E4694">
            <w:pPr>
              <w:pStyle w:val="CM4"/>
              <w:tabs>
                <w:tab w:val="left" w:pos="150"/>
              </w:tabs>
              <w:ind w:left="-36" w:firstLine="142"/>
              <w:rPr>
                <w:rFonts w:ascii="Times New Roman" w:hAnsi="Times New Roman"/>
                <w:sz w:val="18"/>
                <w:szCs w:val="18"/>
                <w:lang w:val="ro-RO" w:eastAsia="ru-RU"/>
              </w:rPr>
            </w:pPr>
          </w:p>
          <w:p w14:paraId="55548AEC" w14:textId="3EA770D1" w:rsidR="00F02CF4" w:rsidRPr="006F5136" w:rsidRDefault="00A70B86"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48</w:t>
            </w:r>
            <w:r w:rsidR="00F02CF4" w:rsidRPr="006F5136">
              <w:rPr>
                <w:rFonts w:ascii="Times New Roman" w:hAnsi="Times New Roman"/>
                <w:sz w:val="18"/>
                <w:szCs w:val="18"/>
                <w:lang w:val="ro-RO" w:eastAsia="ru-RU"/>
              </w:rPr>
              <w:t xml:space="preserve">. Expunerile față de băncile pentru care este disponibilă o evaluare de credit realizată de o ECAI desemnată se ponderează la risc în conformitate cu secțiunea 7 din prezentul capitol. </w:t>
            </w:r>
          </w:p>
          <w:p w14:paraId="27626617" w14:textId="77777777" w:rsidR="00F02CF4" w:rsidRPr="006F5136" w:rsidRDefault="00F02CF4" w:rsidP="005E4694">
            <w:pPr>
              <w:pStyle w:val="CM4"/>
              <w:tabs>
                <w:tab w:val="left" w:pos="150"/>
              </w:tabs>
              <w:ind w:left="-36"/>
              <w:rPr>
                <w:rFonts w:ascii="Times New Roman" w:hAnsi="Times New Roman"/>
                <w:sz w:val="18"/>
                <w:szCs w:val="18"/>
                <w:lang w:val="ro-RO" w:eastAsia="ru-RU"/>
              </w:rPr>
            </w:pPr>
          </w:p>
          <w:p w14:paraId="04F3387B" w14:textId="389FDC84" w:rsidR="00F02CF4" w:rsidRPr="006F5136" w:rsidRDefault="00A70B86" w:rsidP="005E4694">
            <w:pPr>
              <w:pStyle w:val="CM4"/>
              <w:tabs>
                <w:tab w:val="left" w:pos="150"/>
              </w:tabs>
              <w:rPr>
                <w:rFonts w:ascii="Times New Roman" w:hAnsi="Times New Roman"/>
                <w:sz w:val="18"/>
                <w:szCs w:val="18"/>
                <w:lang w:val="ro-RO" w:eastAsia="ru-RU"/>
              </w:rPr>
            </w:pPr>
            <w:r w:rsidRPr="006F5136">
              <w:rPr>
                <w:rFonts w:ascii="Times New Roman" w:hAnsi="Times New Roman"/>
                <w:sz w:val="18"/>
                <w:szCs w:val="18"/>
                <w:lang w:val="ro-RO" w:eastAsia="ru-RU"/>
              </w:rPr>
              <w:t>49</w:t>
            </w:r>
            <w:r w:rsidR="00F02CF4" w:rsidRPr="006F5136">
              <w:rPr>
                <w:rFonts w:ascii="Times New Roman" w:hAnsi="Times New Roman"/>
                <w:sz w:val="18"/>
                <w:szCs w:val="18"/>
                <w:lang w:val="ro-RO" w:eastAsia="ru-RU"/>
              </w:rPr>
              <w:t>. Expunerile față de băncile pentru care nu este disponibilă o evaluare de credit realizată de o ECAI desemnată se ponderează la risc în conformitate cu secțiunea 8 din prezentul capitol.</w:t>
            </w:r>
          </w:p>
        </w:tc>
        <w:tc>
          <w:tcPr>
            <w:tcW w:w="503" w:type="pct"/>
          </w:tcPr>
          <w:p w14:paraId="01CA7C09" w14:textId="77777777" w:rsidR="00F02CF4" w:rsidRPr="006F5136" w:rsidRDefault="00F02CF4"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50052555" w14:textId="27CC674C" w:rsidR="00F02CF4"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F02CF4" w:rsidRPr="006F5136" w14:paraId="65D44A4D"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9"/>
        </w:trPr>
        <w:tc>
          <w:tcPr>
            <w:tcW w:w="1924" w:type="pct"/>
          </w:tcPr>
          <w:p w14:paraId="17728498" w14:textId="3A0CC49C" w:rsidR="00A70B86" w:rsidRPr="006F5136" w:rsidRDefault="001D74A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Alin. (2)-(3) a</w:t>
            </w:r>
            <w:r w:rsidR="00A70B86" w:rsidRPr="006F5136">
              <w:rPr>
                <w:rFonts w:ascii="Times New Roman" w:hAnsi="Times New Roman"/>
                <w:iCs/>
                <w:sz w:val="18"/>
                <w:szCs w:val="18"/>
                <w:lang w:val="ro-RO" w:eastAsia="ru-RU"/>
              </w:rPr>
              <w:t>brogat</w:t>
            </w:r>
            <w:r w:rsidRPr="006F5136">
              <w:rPr>
                <w:rFonts w:ascii="Times New Roman" w:hAnsi="Times New Roman"/>
                <w:iCs/>
                <w:sz w:val="18"/>
                <w:szCs w:val="18"/>
                <w:lang w:val="ro-RO" w:eastAsia="ru-RU"/>
              </w:rPr>
              <w:t>e</w:t>
            </w:r>
            <w:r w:rsidR="00A70B86" w:rsidRPr="006F5136">
              <w:rPr>
                <w:rFonts w:ascii="Times New Roman" w:hAnsi="Times New Roman"/>
                <w:iCs/>
                <w:sz w:val="18"/>
                <w:szCs w:val="18"/>
                <w:lang w:val="ro-RO" w:eastAsia="ru-RU"/>
              </w:rPr>
              <w:t xml:space="preserve"> prin M17</w:t>
            </w:r>
          </w:p>
          <w:p w14:paraId="566F6D2B" w14:textId="4884C875" w:rsidR="00F02CF4" w:rsidRPr="006F5136" w:rsidRDefault="00F02CF4" w:rsidP="005E4694">
            <w:pPr>
              <w:pStyle w:val="CM4"/>
              <w:tabs>
                <w:tab w:val="left" w:pos="150"/>
              </w:tabs>
              <w:ind w:left="-43"/>
              <w:jc w:val="both"/>
              <w:rPr>
                <w:rFonts w:ascii="Times New Roman" w:hAnsi="Times New Roman"/>
                <w:iCs/>
                <w:sz w:val="18"/>
                <w:szCs w:val="18"/>
                <w:lang w:val="ro-RO" w:eastAsia="ru-RU"/>
              </w:rPr>
            </w:pPr>
          </w:p>
        </w:tc>
        <w:tc>
          <w:tcPr>
            <w:tcW w:w="1661" w:type="pct"/>
            <w:shd w:val="clear" w:color="auto" w:fill="auto"/>
          </w:tcPr>
          <w:p w14:paraId="43914505" w14:textId="25F4F686" w:rsidR="00F02CF4" w:rsidRPr="006F5136" w:rsidRDefault="00F02CF4" w:rsidP="005E4694">
            <w:pPr>
              <w:pStyle w:val="CM4"/>
              <w:tabs>
                <w:tab w:val="left" w:pos="150"/>
              </w:tabs>
              <w:ind w:left="-36"/>
              <w:rPr>
                <w:rFonts w:ascii="Times New Roman" w:hAnsi="Times New Roman"/>
                <w:sz w:val="18"/>
                <w:szCs w:val="18"/>
                <w:lang w:val="ro-RO" w:eastAsia="ru-RU"/>
              </w:rPr>
            </w:pPr>
          </w:p>
        </w:tc>
        <w:tc>
          <w:tcPr>
            <w:tcW w:w="503" w:type="pct"/>
          </w:tcPr>
          <w:p w14:paraId="3711AE67" w14:textId="087B71B8" w:rsidR="00F02CF4" w:rsidRPr="006F5136" w:rsidRDefault="00F02CF4" w:rsidP="005E4694">
            <w:pPr>
              <w:spacing w:after="0" w:line="240" w:lineRule="auto"/>
              <w:jc w:val="both"/>
              <w:rPr>
                <w:rFonts w:ascii="Times New Roman" w:hAnsi="Times New Roman" w:cs="Times New Roman"/>
                <w:iCs/>
                <w:sz w:val="18"/>
                <w:szCs w:val="18"/>
                <w:lang w:val="ro-RO"/>
              </w:rPr>
            </w:pPr>
          </w:p>
        </w:tc>
        <w:tc>
          <w:tcPr>
            <w:tcW w:w="912" w:type="pct"/>
          </w:tcPr>
          <w:p w14:paraId="3C5C7A3D" w14:textId="02C654AC" w:rsidR="00F02CF4" w:rsidRPr="006F5136" w:rsidRDefault="00F02CF4" w:rsidP="005E4694">
            <w:pPr>
              <w:spacing w:after="0" w:line="240" w:lineRule="auto"/>
              <w:jc w:val="both"/>
              <w:rPr>
                <w:rFonts w:ascii="Times New Roman" w:hAnsi="Times New Roman" w:cs="Times New Roman"/>
                <w:iCs/>
                <w:sz w:val="18"/>
                <w:szCs w:val="18"/>
                <w:lang w:val="ro-RO"/>
              </w:rPr>
            </w:pPr>
          </w:p>
        </w:tc>
      </w:tr>
      <w:tr w:rsidR="00BB2F88" w:rsidRPr="006F5136" w14:paraId="531CAECD"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7A593F0"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  Expunerea față de o instituție sub formă de rezerve minime obligatorii impuse de BCE sau de banca centrală a unui stat membru a fi deținute de o instituție poate fi ponderată la risc ca și expunerile față de banca centrală din statul membru respectiv cu condiția ca:</w:t>
            </w:r>
          </w:p>
          <w:p w14:paraId="36294271"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rezervele să fie deținute în conformitate cu Regulamentul (CE) nr. 1745/2003 al Băncii Centrale Europene din 12 septembrie 2003 privind aplicarea rezervelor minime obligatorii sau în conformitate cu cerințele naționale echivalente în toate aspectele importante cu regulamentul menționat;</w:t>
            </w:r>
          </w:p>
          <w:p w14:paraId="67E6C43D"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în cazul falimentului sau al insolvenței instituției care deține rezervele, acestea să fie rambursate integral instituției în timp util și să nu fie utilizate pentru a acoperi alte datorii ale instituției.</w:t>
            </w:r>
          </w:p>
        </w:tc>
        <w:tc>
          <w:tcPr>
            <w:tcW w:w="1661" w:type="pct"/>
            <w:shd w:val="clear" w:color="auto" w:fill="auto"/>
          </w:tcPr>
          <w:p w14:paraId="64F557EB" w14:textId="77777777" w:rsidR="00395381" w:rsidRPr="006F5136" w:rsidRDefault="00395381" w:rsidP="005E4694">
            <w:pPr>
              <w:pStyle w:val="CM4"/>
              <w:tabs>
                <w:tab w:val="left" w:pos="150"/>
              </w:tabs>
              <w:ind w:left="-36" w:firstLine="142"/>
              <w:rPr>
                <w:rFonts w:ascii="Times New Roman" w:hAnsi="Times New Roman"/>
                <w:sz w:val="18"/>
                <w:szCs w:val="18"/>
                <w:lang w:val="ro-RO" w:eastAsia="ru-RU"/>
              </w:rPr>
            </w:pPr>
          </w:p>
        </w:tc>
        <w:tc>
          <w:tcPr>
            <w:tcW w:w="503" w:type="pct"/>
          </w:tcPr>
          <w:p w14:paraId="333ACDB4" w14:textId="5D87E08A" w:rsidR="00395381" w:rsidRPr="006F5136" w:rsidRDefault="0046148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Norme UE neaplicabile</w:t>
            </w:r>
          </w:p>
        </w:tc>
        <w:tc>
          <w:tcPr>
            <w:tcW w:w="912" w:type="pct"/>
          </w:tcPr>
          <w:p w14:paraId="71F24B7A" w14:textId="50966597"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Aceste expuneri se tratatează ca expuneri față de banca centrală conform art.114 din CRR, deoarece conform Regulamentului cu privire la regimul rezervelor obligatorii (HCA al BNM nr. 355  din  27.12.2017), rezervele obligatorii în MDL și în VS sunt menținute la BNM.</w:t>
            </w:r>
          </w:p>
        </w:tc>
      </w:tr>
      <w:tr w:rsidR="00914DC9" w:rsidRPr="006F5136" w14:paraId="1CD875F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CC01B2D" w14:textId="1604E86C"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M9</w:t>
            </w:r>
          </w:p>
          <w:p w14:paraId="58282D75" w14:textId="77777777"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(5)  Expunerile față de instituții financiare autorizate și supravegheate de autoritățile competente și care fac obiectul unor cerințe prudențiale comparabile celor aplicate instituțiilor în ceea ce privește soliditatea sunt tratate ca expuneri față de instituții. </w:t>
            </w:r>
          </w:p>
          <w:p w14:paraId="7D9038A9" w14:textId="567EC3BE"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În sensul prezentului alineat, cerințele prudențiale prevăzute în Regulamentul (UE) 2019/2033 sunt considerate a fi comparabile cu cele aplicate instituțiilor în ceea ce privește soliditatea.</w:t>
            </w:r>
          </w:p>
        </w:tc>
        <w:tc>
          <w:tcPr>
            <w:tcW w:w="1661" w:type="pct"/>
            <w:shd w:val="clear" w:color="auto" w:fill="auto"/>
          </w:tcPr>
          <w:p w14:paraId="0206C689" w14:textId="5034103B" w:rsidR="00914DC9" w:rsidRPr="006F5136" w:rsidRDefault="00914DC9" w:rsidP="00914DC9">
            <w:pPr>
              <w:pStyle w:val="CM4"/>
              <w:tabs>
                <w:tab w:val="left" w:pos="150"/>
              </w:tabs>
              <w:ind w:left="-36" w:firstLine="142"/>
              <w:rPr>
                <w:rFonts w:ascii="Times New Roman" w:hAnsi="Times New Roman"/>
                <w:sz w:val="18"/>
                <w:szCs w:val="18"/>
                <w:lang w:val="ro-RO" w:eastAsia="ru-RU"/>
              </w:rPr>
            </w:pPr>
            <w:r w:rsidRPr="006F5136">
              <w:rPr>
                <w:rFonts w:ascii="Times New Roman" w:hAnsi="Times New Roman"/>
                <w:b/>
                <w:bCs/>
                <w:sz w:val="18"/>
                <w:szCs w:val="18"/>
                <w:lang w:val="ro-RO" w:eastAsia="ro-MD"/>
              </w:rPr>
              <w:t>51.</w:t>
            </w:r>
            <w:r w:rsidRPr="006F5136">
              <w:rPr>
                <w:rFonts w:ascii="Times New Roman" w:hAnsi="Times New Roman"/>
                <w:sz w:val="18"/>
                <w:szCs w:val="18"/>
                <w:lang w:val="ro-RO" w:eastAsia="ro-MD"/>
              </w:rPr>
              <w:t xml:space="preserve"> Expunerile față de societățile de investiții se tratează ca expuneri față de o bancă numai dacă statul respectiv aplică dispoziții de supraveghere și reglementare prudențială entității respective care sunt cel puțin echivalente cu cele aplicate în Republica Moldova în privința băncilor, conform anexei nr.5.</w:t>
            </w:r>
          </w:p>
        </w:tc>
        <w:tc>
          <w:tcPr>
            <w:tcW w:w="503" w:type="pct"/>
          </w:tcPr>
          <w:p w14:paraId="58FB38C1" w14:textId="3F221769"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38BD2CCB" w14:textId="19E8EBF7"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BB2F88" w:rsidRPr="006F5136" w14:paraId="38E6FD0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06"/>
        </w:trPr>
        <w:tc>
          <w:tcPr>
            <w:tcW w:w="1924" w:type="pct"/>
          </w:tcPr>
          <w:p w14:paraId="515A79D3" w14:textId="77777777" w:rsidR="00395381" w:rsidRPr="006F5136" w:rsidRDefault="00395381" w:rsidP="005E4694">
            <w:pPr>
              <w:spacing w:after="0" w:line="240" w:lineRule="auto"/>
              <w:rPr>
                <w:rFonts w:ascii="Times New Roman" w:hAnsi="Times New Roman" w:cs="Times New Roman"/>
                <w:b/>
                <w:iCs/>
                <w:sz w:val="18"/>
                <w:szCs w:val="18"/>
                <w:lang w:val="ro-RO"/>
              </w:rPr>
            </w:pPr>
            <w:r w:rsidRPr="006F5136">
              <w:rPr>
                <w:rFonts w:ascii="Times New Roman" w:hAnsi="Times New Roman" w:cs="Times New Roman"/>
                <w:i/>
                <w:iCs/>
                <w:sz w:val="18"/>
                <w:szCs w:val="18"/>
                <w:lang w:val="ro-RO"/>
              </w:rPr>
              <w:t>Articolul 120</w:t>
            </w:r>
            <w:r w:rsidRPr="006F5136">
              <w:rPr>
                <w:rFonts w:ascii="Times New Roman" w:hAnsi="Times New Roman" w:cs="Times New Roman"/>
                <w:iCs/>
                <w:sz w:val="18"/>
                <w:szCs w:val="18"/>
                <w:lang w:val="ro-RO"/>
              </w:rPr>
              <w:t xml:space="preserve"> </w:t>
            </w:r>
            <w:r w:rsidRPr="006F5136">
              <w:rPr>
                <w:rFonts w:ascii="Times New Roman" w:hAnsi="Times New Roman" w:cs="Times New Roman"/>
                <w:b/>
                <w:iCs/>
                <w:sz w:val="18"/>
                <w:szCs w:val="18"/>
                <w:lang w:val="ro-RO"/>
              </w:rPr>
              <w:t xml:space="preserve">Expuneri față de instituții care beneficiază de rating </w:t>
            </w:r>
          </w:p>
          <w:p w14:paraId="17006CD2" w14:textId="1FAF82EC"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(1)  </w:t>
            </w:r>
            <w:r w:rsidR="001F623E" w:rsidRPr="006F5136">
              <w:rPr>
                <w:rFonts w:ascii="Times New Roman" w:hAnsi="Times New Roman"/>
                <w:iCs/>
                <w:sz w:val="18"/>
                <w:szCs w:val="18"/>
                <w:lang w:val="ro-RO" w:eastAsia="ru-RU"/>
              </w:rPr>
              <w:t>(1)   Expunerile față de instituții pentru care este disponibilă o evaluare de credit efectuată de o ECAI desemnată primesc o pondere de risc în conformitate cu tabelul 1, care corespunde evaluării de credit emise de ECAI în conformitate cu articolul 136.</w:t>
            </w:r>
          </w:p>
          <w:p w14:paraId="065B6D9D" w14:textId="7A1FF304" w:rsidR="00395381" w:rsidRPr="006F5136" w:rsidRDefault="00395381" w:rsidP="005E4694">
            <w:pPr>
              <w:pStyle w:val="CM4"/>
              <w:tabs>
                <w:tab w:val="left" w:pos="150"/>
              </w:tabs>
              <w:ind w:left="-43"/>
              <w:jc w:val="center"/>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Tabelul </w:t>
            </w:r>
            <w:r w:rsidR="001F623E" w:rsidRPr="006F5136">
              <w:rPr>
                <w:rFonts w:ascii="Times New Roman" w:hAnsi="Times New Roman"/>
                <w:iCs/>
                <w:sz w:val="18"/>
                <w:szCs w:val="18"/>
                <w:lang w:val="ro-RO" w:eastAsia="ru-RU"/>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213"/>
              <w:gridCol w:w="490"/>
              <w:gridCol w:w="491"/>
              <w:gridCol w:w="491"/>
              <w:gridCol w:w="588"/>
              <w:gridCol w:w="588"/>
              <w:gridCol w:w="588"/>
            </w:tblGrid>
            <w:tr w:rsidR="00395381" w:rsidRPr="006F5136" w14:paraId="10ECADD5" w14:textId="77777777" w:rsidTr="00977E5E">
              <w:trPr>
                <w:trHeight w:val="554"/>
                <w:jc w:val="center"/>
              </w:trPr>
              <w:tc>
                <w:tcPr>
                  <w:tcW w:w="4199" w:type="dxa"/>
                  <w:shd w:val="clear" w:color="auto" w:fill="FFFFFF"/>
                  <w:tcMar>
                    <w:top w:w="30" w:type="dxa"/>
                    <w:left w:w="75" w:type="dxa"/>
                    <w:bottom w:w="30" w:type="dxa"/>
                    <w:right w:w="30" w:type="dxa"/>
                  </w:tcMar>
                  <w:hideMark/>
                </w:tcPr>
                <w:p w14:paraId="7C88D1C9"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Nivel de calitate a creditului</w:t>
                  </w:r>
                </w:p>
              </w:tc>
              <w:tc>
                <w:tcPr>
                  <w:tcW w:w="838" w:type="dxa"/>
                  <w:shd w:val="clear" w:color="auto" w:fill="FFFFFF"/>
                  <w:tcMar>
                    <w:top w:w="30" w:type="dxa"/>
                    <w:left w:w="75" w:type="dxa"/>
                    <w:bottom w:w="30" w:type="dxa"/>
                    <w:right w:w="30" w:type="dxa"/>
                  </w:tcMar>
                  <w:hideMark/>
                </w:tcPr>
                <w:p w14:paraId="27E4FD3D"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w:t>
                  </w:r>
                </w:p>
              </w:tc>
              <w:tc>
                <w:tcPr>
                  <w:tcW w:w="838" w:type="dxa"/>
                  <w:shd w:val="clear" w:color="auto" w:fill="FFFFFF"/>
                  <w:tcMar>
                    <w:top w:w="30" w:type="dxa"/>
                    <w:left w:w="75" w:type="dxa"/>
                    <w:bottom w:w="30" w:type="dxa"/>
                    <w:right w:w="30" w:type="dxa"/>
                  </w:tcMar>
                  <w:hideMark/>
                </w:tcPr>
                <w:p w14:paraId="16D3D252"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w:t>
                  </w:r>
                </w:p>
              </w:tc>
              <w:tc>
                <w:tcPr>
                  <w:tcW w:w="838" w:type="dxa"/>
                  <w:shd w:val="clear" w:color="auto" w:fill="FFFFFF"/>
                  <w:tcMar>
                    <w:top w:w="30" w:type="dxa"/>
                    <w:left w:w="75" w:type="dxa"/>
                    <w:bottom w:w="30" w:type="dxa"/>
                    <w:right w:w="30" w:type="dxa"/>
                  </w:tcMar>
                  <w:hideMark/>
                </w:tcPr>
                <w:p w14:paraId="5738605D"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w:t>
                  </w:r>
                </w:p>
              </w:tc>
              <w:tc>
                <w:tcPr>
                  <w:tcW w:w="1027" w:type="dxa"/>
                  <w:shd w:val="clear" w:color="auto" w:fill="FFFFFF"/>
                  <w:tcMar>
                    <w:top w:w="30" w:type="dxa"/>
                    <w:left w:w="75" w:type="dxa"/>
                    <w:bottom w:w="30" w:type="dxa"/>
                    <w:right w:w="30" w:type="dxa"/>
                  </w:tcMar>
                  <w:hideMark/>
                </w:tcPr>
                <w:p w14:paraId="28D5C20D"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w:t>
                  </w:r>
                </w:p>
              </w:tc>
              <w:tc>
                <w:tcPr>
                  <w:tcW w:w="1027" w:type="dxa"/>
                  <w:shd w:val="clear" w:color="auto" w:fill="FFFFFF"/>
                  <w:tcMar>
                    <w:top w:w="30" w:type="dxa"/>
                    <w:left w:w="75" w:type="dxa"/>
                    <w:bottom w:w="30" w:type="dxa"/>
                    <w:right w:w="30" w:type="dxa"/>
                  </w:tcMar>
                  <w:hideMark/>
                </w:tcPr>
                <w:p w14:paraId="2B8246A3"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w:t>
                  </w:r>
                </w:p>
              </w:tc>
              <w:tc>
                <w:tcPr>
                  <w:tcW w:w="1027" w:type="dxa"/>
                  <w:shd w:val="clear" w:color="auto" w:fill="FFFFFF"/>
                  <w:tcMar>
                    <w:top w:w="30" w:type="dxa"/>
                    <w:left w:w="75" w:type="dxa"/>
                    <w:bottom w:w="30" w:type="dxa"/>
                    <w:right w:w="30" w:type="dxa"/>
                  </w:tcMar>
                  <w:hideMark/>
                </w:tcPr>
                <w:p w14:paraId="3FDCB3DB"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6</w:t>
                  </w:r>
                </w:p>
              </w:tc>
            </w:tr>
            <w:tr w:rsidR="00395381" w:rsidRPr="006F5136" w14:paraId="5AC044E7" w14:textId="77777777" w:rsidTr="00977E5E">
              <w:trPr>
                <w:jc w:val="center"/>
              </w:trPr>
              <w:tc>
                <w:tcPr>
                  <w:tcW w:w="4199" w:type="dxa"/>
                  <w:shd w:val="clear" w:color="auto" w:fill="FFFFFF"/>
                  <w:tcMar>
                    <w:top w:w="30" w:type="dxa"/>
                    <w:left w:w="75" w:type="dxa"/>
                    <w:bottom w:w="30" w:type="dxa"/>
                    <w:right w:w="30" w:type="dxa"/>
                  </w:tcMar>
                  <w:hideMark/>
                </w:tcPr>
                <w:p w14:paraId="62D56C9D"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Pondere de risc</w:t>
                  </w:r>
                </w:p>
              </w:tc>
              <w:tc>
                <w:tcPr>
                  <w:tcW w:w="838" w:type="dxa"/>
                  <w:shd w:val="clear" w:color="auto" w:fill="FFFFFF"/>
                  <w:tcMar>
                    <w:top w:w="30" w:type="dxa"/>
                    <w:left w:w="75" w:type="dxa"/>
                    <w:bottom w:w="30" w:type="dxa"/>
                    <w:right w:w="30" w:type="dxa"/>
                  </w:tcMar>
                  <w:hideMark/>
                </w:tcPr>
                <w:p w14:paraId="30B4B1A1"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838" w:type="dxa"/>
                  <w:shd w:val="clear" w:color="auto" w:fill="FFFFFF"/>
                  <w:tcMar>
                    <w:top w:w="30" w:type="dxa"/>
                    <w:left w:w="75" w:type="dxa"/>
                    <w:bottom w:w="30" w:type="dxa"/>
                    <w:right w:w="30" w:type="dxa"/>
                  </w:tcMar>
                  <w:hideMark/>
                </w:tcPr>
                <w:p w14:paraId="1F0F4B3A" w14:textId="11E070E2" w:rsidR="00395381" w:rsidRPr="006F5136" w:rsidRDefault="001F623E"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w:t>
                  </w:r>
                  <w:r w:rsidR="00395381" w:rsidRPr="006F5136">
                    <w:rPr>
                      <w:rFonts w:ascii="Times New Roman" w:hAnsi="Times New Roman"/>
                      <w:iCs/>
                      <w:sz w:val="18"/>
                      <w:szCs w:val="18"/>
                      <w:lang w:val="ro-RO" w:eastAsia="ru-RU"/>
                    </w:rPr>
                    <w:t>0 %</w:t>
                  </w:r>
                </w:p>
              </w:tc>
              <w:tc>
                <w:tcPr>
                  <w:tcW w:w="838" w:type="dxa"/>
                  <w:shd w:val="clear" w:color="auto" w:fill="FFFFFF"/>
                  <w:tcMar>
                    <w:top w:w="30" w:type="dxa"/>
                    <w:left w:w="75" w:type="dxa"/>
                    <w:bottom w:w="30" w:type="dxa"/>
                    <w:right w:w="30" w:type="dxa"/>
                  </w:tcMar>
                  <w:hideMark/>
                </w:tcPr>
                <w:p w14:paraId="28C5AC77"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50 %</w:t>
                  </w:r>
                </w:p>
              </w:tc>
              <w:tc>
                <w:tcPr>
                  <w:tcW w:w="1027" w:type="dxa"/>
                  <w:shd w:val="clear" w:color="auto" w:fill="FFFFFF"/>
                  <w:tcMar>
                    <w:top w:w="30" w:type="dxa"/>
                    <w:left w:w="75" w:type="dxa"/>
                    <w:bottom w:w="30" w:type="dxa"/>
                    <w:right w:w="30" w:type="dxa"/>
                  </w:tcMar>
                  <w:hideMark/>
                </w:tcPr>
                <w:p w14:paraId="42761424"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1027" w:type="dxa"/>
                  <w:shd w:val="clear" w:color="auto" w:fill="FFFFFF"/>
                  <w:tcMar>
                    <w:top w:w="30" w:type="dxa"/>
                    <w:left w:w="75" w:type="dxa"/>
                    <w:bottom w:w="30" w:type="dxa"/>
                    <w:right w:w="30" w:type="dxa"/>
                  </w:tcMar>
                  <w:hideMark/>
                </w:tcPr>
                <w:p w14:paraId="46EF8AC9"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1027" w:type="dxa"/>
                  <w:shd w:val="clear" w:color="auto" w:fill="FFFFFF"/>
                  <w:tcMar>
                    <w:top w:w="30" w:type="dxa"/>
                    <w:left w:w="75" w:type="dxa"/>
                    <w:bottom w:w="30" w:type="dxa"/>
                    <w:right w:w="30" w:type="dxa"/>
                  </w:tcMar>
                  <w:hideMark/>
                </w:tcPr>
                <w:p w14:paraId="6EAC1576"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r>
          </w:tbl>
          <w:p w14:paraId="1D2047A2" w14:textId="77777777" w:rsidR="00395381" w:rsidRPr="006F5136" w:rsidRDefault="00395381" w:rsidP="005E4694">
            <w:pPr>
              <w:spacing w:after="0" w:line="240" w:lineRule="auto"/>
              <w:rPr>
                <w:rFonts w:ascii="Times New Roman" w:hAnsi="Times New Roman" w:cs="Times New Roman"/>
                <w:sz w:val="18"/>
                <w:szCs w:val="18"/>
                <w:lang w:val="ro-RO"/>
              </w:rPr>
            </w:pPr>
          </w:p>
        </w:tc>
        <w:tc>
          <w:tcPr>
            <w:tcW w:w="1661" w:type="pct"/>
            <w:shd w:val="clear" w:color="auto" w:fill="auto"/>
          </w:tcPr>
          <w:p w14:paraId="22750186"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 xml:space="preserve">Secțiunea a 7-a. Expuneri față de bănci care beneficiază de rating </w:t>
            </w:r>
          </w:p>
          <w:p w14:paraId="7DC831E4" w14:textId="77777777" w:rsidR="00395381" w:rsidRPr="006F5136" w:rsidRDefault="00395381" w:rsidP="005E4694">
            <w:pPr>
              <w:pStyle w:val="CM4"/>
              <w:tabs>
                <w:tab w:val="left" w:pos="150"/>
              </w:tabs>
              <w:ind w:left="-36" w:firstLine="142"/>
              <w:rPr>
                <w:rFonts w:ascii="Times New Roman" w:hAnsi="Times New Roman"/>
                <w:sz w:val="18"/>
                <w:szCs w:val="18"/>
                <w:lang w:val="ro-RO" w:eastAsia="ru-RU"/>
              </w:rPr>
            </w:pPr>
          </w:p>
          <w:p w14:paraId="042EEB39" w14:textId="183FAF21"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5</w:t>
            </w:r>
            <w:r w:rsidR="008B2CA4" w:rsidRPr="006F5136">
              <w:rPr>
                <w:rFonts w:ascii="Times New Roman" w:hAnsi="Times New Roman"/>
                <w:sz w:val="18"/>
                <w:szCs w:val="18"/>
                <w:lang w:val="ro-RO" w:eastAsia="ru-RU"/>
              </w:rPr>
              <w:t>2</w:t>
            </w:r>
            <w:r w:rsidRPr="006F5136">
              <w:rPr>
                <w:rFonts w:ascii="Times New Roman" w:hAnsi="Times New Roman"/>
                <w:sz w:val="18"/>
                <w:szCs w:val="18"/>
                <w:lang w:val="ro-RO" w:eastAsia="ru-RU"/>
              </w:rPr>
              <w:t>. Expunerile față de bănci, pentru care este disponibilă o evaluare de credit realizată de o ECAI desemnată, primesc o pondere de risc în conformitate cu tabelul nr. 3 care corespunde evaluării de credit realizate de ECAI, conform concordanței efectuate de Banca Națională a Moldovei în baza punctului 101.</w:t>
            </w:r>
          </w:p>
          <w:p w14:paraId="170292B2" w14:textId="77777777" w:rsidR="00395381" w:rsidRPr="006F5136" w:rsidRDefault="00395381" w:rsidP="005E4694">
            <w:pPr>
              <w:pStyle w:val="CM4"/>
              <w:tabs>
                <w:tab w:val="left" w:pos="150"/>
              </w:tabs>
              <w:ind w:left="-43"/>
              <w:jc w:val="center"/>
              <w:rPr>
                <w:rFonts w:ascii="Times New Roman" w:hAnsi="Times New Roman"/>
                <w:iCs/>
                <w:sz w:val="18"/>
                <w:szCs w:val="18"/>
                <w:lang w:val="ro-RO" w:eastAsia="ru-RU"/>
              </w:rPr>
            </w:pPr>
            <w:r w:rsidRPr="006F5136">
              <w:rPr>
                <w:rFonts w:ascii="Times New Roman" w:hAnsi="Times New Roman"/>
                <w:iCs/>
                <w:sz w:val="18"/>
                <w:szCs w:val="18"/>
                <w:lang w:val="ro-RO" w:eastAsia="ru-RU"/>
              </w:rPr>
              <w:t>Tabelul nr.3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858"/>
              <w:gridCol w:w="429"/>
              <w:gridCol w:w="429"/>
              <w:gridCol w:w="429"/>
              <w:gridCol w:w="509"/>
              <w:gridCol w:w="509"/>
              <w:gridCol w:w="509"/>
            </w:tblGrid>
            <w:tr w:rsidR="00395381" w:rsidRPr="006F5136" w14:paraId="7B656F11" w14:textId="77777777" w:rsidTr="00977E5E">
              <w:trPr>
                <w:trHeight w:val="554"/>
                <w:jc w:val="center"/>
              </w:trPr>
              <w:tc>
                <w:tcPr>
                  <w:tcW w:w="4199" w:type="dxa"/>
                  <w:shd w:val="clear" w:color="auto" w:fill="FFFFFF"/>
                  <w:tcMar>
                    <w:top w:w="30" w:type="dxa"/>
                    <w:left w:w="75" w:type="dxa"/>
                    <w:bottom w:w="30" w:type="dxa"/>
                    <w:right w:w="30" w:type="dxa"/>
                  </w:tcMar>
                  <w:hideMark/>
                </w:tcPr>
                <w:p w14:paraId="58C277DA"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Nivel de calitate a creditului</w:t>
                  </w:r>
                </w:p>
              </w:tc>
              <w:tc>
                <w:tcPr>
                  <w:tcW w:w="838" w:type="dxa"/>
                  <w:shd w:val="clear" w:color="auto" w:fill="FFFFFF"/>
                  <w:tcMar>
                    <w:top w:w="30" w:type="dxa"/>
                    <w:left w:w="75" w:type="dxa"/>
                    <w:bottom w:w="30" w:type="dxa"/>
                    <w:right w:w="30" w:type="dxa"/>
                  </w:tcMar>
                  <w:hideMark/>
                </w:tcPr>
                <w:p w14:paraId="377CC116"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w:t>
                  </w:r>
                </w:p>
              </w:tc>
              <w:tc>
                <w:tcPr>
                  <w:tcW w:w="838" w:type="dxa"/>
                  <w:shd w:val="clear" w:color="auto" w:fill="FFFFFF"/>
                  <w:tcMar>
                    <w:top w:w="30" w:type="dxa"/>
                    <w:left w:w="75" w:type="dxa"/>
                    <w:bottom w:w="30" w:type="dxa"/>
                    <w:right w:w="30" w:type="dxa"/>
                  </w:tcMar>
                  <w:hideMark/>
                </w:tcPr>
                <w:p w14:paraId="48082921"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w:t>
                  </w:r>
                </w:p>
              </w:tc>
              <w:tc>
                <w:tcPr>
                  <w:tcW w:w="838" w:type="dxa"/>
                  <w:shd w:val="clear" w:color="auto" w:fill="FFFFFF"/>
                  <w:tcMar>
                    <w:top w:w="30" w:type="dxa"/>
                    <w:left w:w="75" w:type="dxa"/>
                    <w:bottom w:w="30" w:type="dxa"/>
                    <w:right w:w="30" w:type="dxa"/>
                  </w:tcMar>
                  <w:hideMark/>
                </w:tcPr>
                <w:p w14:paraId="7C1EC368"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w:t>
                  </w:r>
                </w:p>
              </w:tc>
              <w:tc>
                <w:tcPr>
                  <w:tcW w:w="1027" w:type="dxa"/>
                  <w:shd w:val="clear" w:color="auto" w:fill="FFFFFF"/>
                  <w:tcMar>
                    <w:top w:w="30" w:type="dxa"/>
                    <w:left w:w="75" w:type="dxa"/>
                    <w:bottom w:w="30" w:type="dxa"/>
                    <w:right w:w="30" w:type="dxa"/>
                  </w:tcMar>
                  <w:hideMark/>
                </w:tcPr>
                <w:p w14:paraId="433B669D"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w:t>
                  </w:r>
                </w:p>
              </w:tc>
              <w:tc>
                <w:tcPr>
                  <w:tcW w:w="1027" w:type="dxa"/>
                  <w:shd w:val="clear" w:color="auto" w:fill="FFFFFF"/>
                  <w:tcMar>
                    <w:top w:w="30" w:type="dxa"/>
                    <w:left w:w="75" w:type="dxa"/>
                    <w:bottom w:w="30" w:type="dxa"/>
                    <w:right w:w="30" w:type="dxa"/>
                  </w:tcMar>
                  <w:hideMark/>
                </w:tcPr>
                <w:p w14:paraId="58DC7C5C"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w:t>
                  </w:r>
                </w:p>
              </w:tc>
              <w:tc>
                <w:tcPr>
                  <w:tcW w:w="1027" w:type="dxa"/>
                  <w:shd w:val="clear" w:color="auto" w:fill="FFFFFF"/>
                  <w:tcMar>
                    <w:top w:w="30" w:type="dxa"/>
                    <w:left w:w="75" w:type="dxa"/>
                    <w:bottom w:w="30" w:type="dxa"/>
                    <w:right w:w="30" w:type="dxa"/>
                  </w:tcMar>
                  <w:hideMark/>
                </w:tcPr>
                <w:p w14:paraId="1D9BC1C5"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6</w:t>
                  </w:r>
                </w:p>
              </w:tc>
            </w:tr>
            <w:tr w:rsidR="00395381" w:rsidRPr="006F5136" w14:paraId="59CC3CB9" w14:textId="77777777" w:rsidTr="00977E5E">
              <w:trPr>
                <w:jc w:val="center"/>
              </w:trPr>
              <w:tc>
                <w:tcPr>
                  <w:tcW w:w="4199" w:type="dxa"/>
                  <w:shd w:val="clear" w:color="auto" w:fill="FFFFFF"/>
                  <w:tcMar>
                    <w:top w:w="30" w:type="dxa"/>
                    <w:left w:w="75" w:type="dxa"/>
                    <w:bottom w:w="30" w:type="dxa"/>
                    <w:right w:w="30" w:type="dxa"/>
                  </w:tcMar>
                  <w:hideMark/>
                </w:tcPr>
                <w:p w14:paraId="7D62CA78"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Pondere de risc</w:t>
                  </w:r>
                </w:p>
              </w:tc>
              <w:tc>
                <w:tcPr>
                  <w:tcW w:w="838" w:type="dxa"/>
                  <w:shd w:val="clear" w:color="auto" w:fill="FFFFFF"/>
                  <w:tcMar>
                    <w:top w:w="30" w:type="dxa"/>
                    <w:left w:w="75" w:type="dxa"/>
                    <w:bottom w:w="30" w:type="dxa"/>
                    <w:right w:w="30" w:type="dxa"/>
                  </w:tcMar>
                  <w:hideMark/>
                </w:tcPr>
                <w:p w14:paraId="51FE61FE"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838" w:type="dxa"/>
                  <w:shd w:val="clear" w:color="auto" w:fill="FFFFFF"/>
                  <w:tcMar>
                    <w:top w:w="30" w:type="dxa"/>
                    <w:left w:w="75" w:type="dxa"/>
                    <w:bottom w:w="30" w:type="dxa"/>
                    <w:right w:w="30" w:type="dxa"/>
                  </w:tcMar>
                  <w:hideMark/>
                </w:tcPr>
                <w:p w14:paraId="2702259E" w14:textId="5E2E4CC5" w:rsidR="00395381" w:rsidRPr="006F5136" w:rsidRDefault="009122D6"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w:t>
                  </w:r>
                  <w:r w:rsidR="00395381" w:rsidRPr="006F5136">
                    <w:rPr>
                      <w:rFonts w:ascii="Times New Roman" w:hAnsi="Times New Roman"/>
                      <w:iCs/>
                      <w:sz w:val="18"/>
                      <w:szCs w:val="18"/>
                      <w:lang w:val="ro-RO" w:eastAsia="ru-RU"/>
                    </w:rPr>
                    <w:t>0 %</w:t>
                  </w:r>
                </w:p>
              </w:tc>
              <w:tc>
                <w:tcPr>
                  <w:tcW w:w="838" w:type="dxa"/>
                  <w:shd w:val="clear" w:color="auto" w:fill="FFFFFF"/>
                  <w:tcMar>
                    <w:top w:w="30" w:type="dxa"/>
                    <w:left w:w="75" w:type="dxa"/>
                    <w:bottom w:w="30" w:type="dxa"/>
                    <w:right w:w="30" w:type="dxa"/>
                  </w:tcMar>
                  <w:hideMark/>
                </w:tcPr>
                <w:p w14:paraId="1869D7CC"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50 %</w:t>
                  </w:r>
                </w:p>
              </w:tc>
              <w:tc>
                <w:tcPr>
                  <w:tcW w:w="1027" w:type="dxa"/>
                  <w:shd w:val="clear" w:color="auto" w:fill="FFFFFF"/>
                  <w:tcMar>
                    <w:top w:w="30" w:type="dxa"/>
                    <w:left w:w="75" w:type="dxa"/>
                    <w:bottom w:w="30" w:type="dxa"/>
                    <w:right w:w="30" w:type="dxa"/>
                  </w:tcMar>
                  <w:hideMark/>
                </w:tcPr>
                <w:p w14:paraId="2F8865D5"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1027" w:type="dxa"/>
                  <w:shd w:val="clear" w:color="auto" w:fill="FFFFFF"/>
                  <w:tcMar>
                    <w:top w:w="30" w:type="dxa"/>
                    <w:left w:w="75" w:type="dxa"/>
                    <w:bottom w:w="30" w:type="dxa"/>
                    <w:right w:w="30" w:type="dxa"/>
                  </w:tcMar>
                  <w:hideMark/>
                </w:tcPr>
                <w:p w14:paraId="1EB7631D"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1027" w:type="dxa"/>
                  <w:shd w:val="clear" w:color="auto" w:fill="FFFFFF"/>
                  <w:tcMar>
                    <w:top w:w="30" w:type="dxa"/>
                    <w:left w:w="75" w:type="dxa"/>
                    <w:bottom w:w="30" w:type="dxa"/>
                    <w:right w:w="30" w:type="dxa"/>
                  </w:tcMar>
                  <w:hideMark/>
                </w:tcPr>
                <w:p w14:paraId="7C6214FE"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r>
          </w:tbl>
          <w:p w14:paraId="0B426724" w14:textId="68D11926" w:rsidR="00395381" w:rsidRPr="006F5136" w:rsidRDefault="003C0493" w:rsidP="005E4694">
            <w:pPr>
              <w:pStyle w:val="CM4"/>
              <w:tabs>
                <w:tab w:val="left" w:pos="150"/>
              </w:tabs>
              <w:ind w:left="-36" w:firstLine="142"/>
              <w:rPr>
                <w:rFonts w:ascii="Times New Roman" w:hAnsi="Times New Roman"/>
                <w:sz w:val="18"/>
                <w:szCs w:val="18"/>
                <w:lang w:val="ro-RO" w:eastAsia="ru-RU"/>
              </w:rPr>
            </w:pPr>
            <w:r w:rsidRPr="006F5136">
              <w:rPr>
                <w:rFonts w:ascii="Times New Roman" w:hAnsi="Times New Roman"/>
                <w:i/>
                <w:iCs/>
                <w:sz w:val="18"/>
                <w:szCs w:val="18"/>
                <w:lang w:val="ro-RO" w:eastAsia="ru-RU"/>
              </w:rPr>
              <w:t>Modificat prin Proiectul HCE al BNM privind modificarea Regulamentului nr.111/2018.</w:t>
            </w:r>
          </w:p>
        </w:tc>
        <w:tc>
          <w:tcPr>
            <w:tcW w:w="503" w:type="pct"/>
          </w:tcPr>
          <w:p w14:paraId="0D7B9311" w14:textId="77777777" w:rsidR="00395381" w:rsidRPr="006F5136" w:rsidRDefault="00395381"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iCs/>
                <w:sz w:val="18"/>
                <w:szCs w:val="18"/>
                <w:lang w:val="ro-RO"/>
              </w:rPr>
              <w:t>Compatibil</w:t>
            </w:r>
          </w:p>
        </w:tc>
        <w:tc>
          <w:tcPr>
            <w:tcW w:w="912" w:type="pct"/>
          </w:tcPr>
          <w:p w14:paraId="58C5B57C" w14:textId="092C675D" w:rsidR="00395381"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F02CF4" w:rsidRPr="006F5136" w14:paraId="5C03160D"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00"/>
        </w:trPr>
        <w:tc>
          <w:tcPr>
            <w:tcW w:w="1924" w:type="pct"/>
          </w:tcPr>
          <w:p w14:paraId="49579D23" w14:textId="2E702CF1"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  </w:t>
            </w:r>
            <w:r w:rsidR="001F623E" w:rsidRPr="006F5136">
              <w:rPr>
                <w:rFonts w:ascii="Times New Roman" w:hAnsi="Times New Roman"/>
                <w:iCs/>
                <w:sz w:val="18"/>
                <w:szCs w:val="18"/>
                <w:lang w:val="ro-RO" w:eastAsia="ru-RU"/>
              </w:rPr>
              <w:t>Expunerile față de instituții cu o scadență inițială de cel mult trei luni pentru care este disponibilă o evaluare de credit emisă de o ECAI desemnată și expunerile care rezultă din circulația mărfurilor peste frontierele naționale cu o scadență inițială de cel mult șase luni și pentru care este disponibilă o evaluare de credit emisă de o ECAI desemnată primesc o pondere de risc în conformitate cu tabelul 2, care corespunde evaluării de credit emise de ECAI în conformitate cu articolul 136.</w:t>
            </w:r>
          </w:p>
          <w:p w14:paraId="413420E1" w14:textId="58DF2EDD" w:rsidR="00F02CF4" w:rsidRPr="006F5136" w:rsidRDefault="00F02CF4" w:rsidP="005E4694">
            <w:pPr>
              <w:pStyle w:val="CM4"/>
              <w:tabs>
                <w:tab w:val="left" w:pos="150"/>
              </w:tabs>
              <w:ind w:left="-43"/>
              <w:jc w:val="center"/>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Tabelul </w:t>
            </w:r>
            <w:r w:rsidR="001F623E" w:rsidRPr="006F5136">
              <w:rPr>
                <w:rFonts w:ascii="Times New Roman" w:hAnsi="Times New Roman"/>
                <w:iCs/>
                <w:sz w:val="18"/>
                <w:szCs w:val="18"/>
                <w:lang w:val="ro-RO" w:eastAsia="ru-RU"/>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300"/>
              <w:gridCol w:w="508"/>
              <w:gridCol w:w="508"/>
              <w:gridCol w:w="508"/>
              <w:gridCol w:w="508"/>
              <w:gridCol w:w="508"/>
              <w:gridCol w:w="609"/>
            </w:tblGrid>
            <w:tr w:rsidR="00F02CF4" w:rsidRPr="006F5136" w14:paraId="73DE71EA" w14:textId="77777777" w:rsidTr="00977E5E">
              <w:trPr>
                <w:jc w:val="center"/>
              </w:trPr>
              <w:tc>
                <w:tcPr>
                  <w:tcW w:w="4367" w:type="dxa"/>
                  <w:shd w:val="clear" w:color="auto" w:fill="FFFFFF"/>
                  <w:tcMar>
                    <w:top w:w="30" w:type="dxa"/>
                    <w:left w:w="75" w:type="dxa"/>
                    <w:bottom w:w="30" w:type="dxa"/>
                    <w:right w:w="30" w:type="dxa"/>
                  </w:tcMar>
                  <w:hideMark/>
                </w:tcPr>
                <w:p w14:paraId="07DE376D"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Nivel de calitate a creditului</w:t>
                  </w:r>
                </w:p>
              </w:tc>
              <w:tc>
                <w:tcPr>
                  <w:tcW w:w="871" w:type="dxa"/>
                  <w:shd w:val="clear" w:color="auto" w:fill="FFFFFF"/>
                  <w:tcMar>
                    <w:top w:w="30" w:type="dxa"/>
                    <w:left w:w="75" w:type="dxa"/>
                    <w:bottom w:w="30" w:type="dxa"/>
                    <w:right w:w="30" w:type="dxa"/>
                  </w:tcMar>
                  <w:hideMark/>
                </w:tcPr>
                <w:p w14:paraId="73010259"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w:t>
                  </w:r>
                </w:p>
              </w:tc>
              <w:tc>
                <w:tcPr>
                  <w:tcW w:w="872" w:type="dxa"/>
                  <w:shd w:val="clear" w:color="auto" w:fill="FFFFFF"/>
                  <w:tcMar>
                    <w:top w:w="30" w:type="dxa"/>
                    <w:left w:w="75" w:type="dxa"/>
                    <w:bottom w:w="30" w:type="dxa"/>
                    <w:right w:w="30" w:type="dxa"/>
                  </w:tcMar>
                  <w:hideMark/>
                </w:tcPr>
                <w:p w14:paraId="08C4018D"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w:t>
                  </w:r>
                </w:p>
              </w:tc>
              <w:tc>
                <w:tcPr>
                  <w:tcW w:w="872" w:type="dxa"/>
                  <w:shd w:val="clear" w:color="auto" w:fill="FFFFFF"/>
                  <w:tcMar>
                    <w:top w:w="30" w:type="dxa"/>
                    <w:left w:w="75" w:type="dxa"/>
                    <w:bottom w:w="30" w:type="dxa"/>
                    <w:right w:w="30" w:type="dxa"/>
                  </w:tcMar>
                  <w:hideMark/>
                </w:tcPr>
                <w:p w14:paraId="627C4361"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w:t>
                  </w:r>
                </w:p>
              </w:tc>
              <w:tc>
                <w:tcPr>
                  <w:tcW w:w="872" w:type="dxa"/>
                  <w:shd w:val="clear" w:color="auto" w:fill="FFFFFF"/>
                  <w:tcMar>
                    <w:top w:w="30" w:type="dxa"/>
                    <w:left w:w="75" w:type="dxa"/>
                    <w:bottom w:w="30" w:type="dxa"/>
                    <w:right w:w="30" w:type="dxa"/>
                  </w:tcMar>
                  <w:hideMark/>
                </w:tcPr>
                <w:p w14:paraId="5431D32D"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w:t>
                  </w:r>
                </w:p>
              </w:tc>
              <w:tc>
                <w:tcPr>
                  <w:tcW w:w="872" w:type="dxa"/>
                  <w:shd w:val="clear" w:color="auto" w:fill="FFFFFF"/>
                  <w:tcMar>
                    <w:top w:w="30" w:type="dxa"/>
                    <w:left w:w="75" w:type="dxa"/>
                    <w:bottom w:w="30" w:type="dxa"/>
                    <w:right w:w="30" w:type="dxa"/>
                  </w:tcMar>
                  <w:hideMark/>
                </w:tcPr>
                <w:p w14:paraId="167F579E"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w:t>
                  </w:r>
                </w:p>
              </w:tc>
              <w:tc>
                <w:tcPr>
                  <w:tcW w:w="1068" w:type="dxa"/>
                  <w:shd w:val="clear" w:color="auto" w:fill="FFFFFF"/>
                  <w:tcMar>
                    <w:top w:w="30" w:type="dxa"/>
                    <w:left w:w="75" w:type="dxa"/>
                    <w:bottom w:w="30" w:type="dxa"/>
                    <w:right w:w="30" w:type="dxa"/>
                  </w:tcMar>
                  <w:hideMark/>
                </w:tcPr>
                <w:p w14:paraId="2E50FBF3"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6</w:t>
                  </w:r>
                </w:p>
              </w:tc>
            </w:tr>
            <w:tr w:rsidR="00F02CF4" w:rsidRPr="006F5136" w14:paraId="076E57EF" w14:textId="77777777" w:rsidTr="00977E5E">
              <w:trPr>
                <w:jc w:val="center"/>
              </w:trPr>
              <w:tc>
                <w:tcPr>
                  <w:tcW w:w="4367" w:type="dxa"/>
                  <w:shd w:val="clear" w:color="auto" w:fill="FFFFFF"/>
                  <w:tcMar>
                    <w:top w:w="30" w:type="dxa"/>
                    <w:left w:w="75" w:type="dxa"/>
                    <w:bottom w:w="30" w:type="dxa"/>
                    <w:right w:w="30" w:type="dxa"/>
                  </w:tcMar>
                  <w:hideMark/>
                </w:tcPr>
                <w:p w14:paraId="37C519A4"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Pondere de risc</w:t>
                  </w:r>
                </w:p>
              </w:tc>
              <w:tc>
                <w:tcPr>
                  <w:tcW w:w="871" w:type="dxa"/>
                  <w:shd w:val="clear" w:color="auto" w:fill="FFFFFF"/>
                  <w:tcMar>
                    <w:top w:w="30" w:type="dxa"/>
                    <w:left w:w="75" w:type="dxa"/>
                    <w:bottom w:w="30" w:type="dxa"/>
                    <w:right w:w="30" w:type="dxa"/>
                  </w:tcMar>
                  <w:hideMark/>
                </w:tcPr>
                <w:p w14:paraId="1F757754"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872" w:type="dxa"/>
                  <w:shd w:val="clear" w:color="auto" w:fill="FFFFFF"/>
                  <w:tcMar>
                    <w:top w:w="30" w:type="dxa"/>
                    <w:left w:w="75" w:type="dxa"/>
                    <w:bottom w:w="30" w:type="dxa"/>
                    <w:right w:w="30" w:type="dxa"/>
                  </w:tcMar>
                  <w:hideMark/>
                </w:tcPr>
                <w:p w14:paraId="786FA7AE"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872" w:type="dxa"/>
                  <w:shd w:val="clear" w:color="auto" w:fill="FFFFFF"/>
                  <w:tcMar>
                    <w:top w:w="30" w:type="dxa"/>
                    <w:left w:w="75" w:type="dxa"/>
                    <w:bottom w:w="30" w:type="dxa"/>
                    <w:right w:w="30" w:type="dxa"/>
                  </w:tcMar>
                  <w:hideMark/>
                </w:tcPr>
                <w:p w14:paraId="6E80BA11"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872" w:type="dxa"/>
                  <w:shd w:val="clear" w:color="auto" w:fill="FFFFFF"/>
                  <w:tcMar>
                    <w:top w:w="30" w:type="dxa"/>
                    <w:left w:w="75" w:type="dxa"/>
                    <w:bottom w:w="30" w:type="dxa"/>
                    <w:right w:w="30" w:type="dxa"/>
                  </w:tcMar>
                  <w:hideMark/>
                </w:tcPr>
                <w:p w14:paraId="5B6F01C1"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50 %</w:t>
                  </w:r>
                </w:p>
              </w:tc>
              <w:tc>
                <w:tcPr>
                  <w:tcW w:w="872" w:type="dxa"/>
                  <w:shd w:val="clear" w:color="auto" w:fill="FFFFFF"/>
                  <w:tcMar>
                    <w:top w:w="30" w:type="dxa"/>
                    <w:left w:w="75" w:type="dxa"/>
                    <w:bottom w:w="30" w:type="dxa"/>
                    <w:right w:w="30" w:type="dxa"/>
                  </w:tcMar>
                  <w:hideMark/>
                </w:tcPr>
                <w:p w14:paraId="4CA33263"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50 %</w:t>
                  </w:r>
                </w:p>
              </w:tc>
              <w:tc>
                <w:tcPr>
                  <w:tcW w:w="1068" w:type="dxa"/>
                  <w:shd w:val="clear" w:color="auto" w:fill="FFFFFF"/>
                  <w:tcMar>
                    <w:top w:w="30" w:type="dxa"/>
                    <w:left w:w="75" w:type="dxa"/>
                    <w:bottom w:w="30" w:type="dxa"/>
                    <w:right w:w="30" w:type="dxa"/>
                  </w:tcMar>
                  <w:hideMark/>
                </w:tcPr>
                <w:p w14:paraId="2BD0E1AC"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r>
          </w:tbl>
          <w:p w14:paraId="2F301423"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p>
        </w:tc>
        <w:tc>
          <w:tcPr>
            <w:tcW w:w="1661" w:type="pct"/>
            <w:shd w:val="clear" w:color="auto" w:fill="auto"/>
          </w:tcPr>
          <w:p w14:paraId="163057A0" w14:textId="3143FBDB" w:rsidR="00F02CF4" w:rsidRPr="006F5136" w:rsidRDefault="00F02CF4"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5</w:t>
            </w:r>
            <w:r w:rsidR="008B2CA4" w:rsidRPr="006F5136">
              <w:rPr>
                <w:rFonts w:ascii="Times New Roman" w:hAnsi="Times New Roman"/>
                <w:sz w:val="18"/>
                <w:szCs w:val="18"/>
                <w:lang w:val="ro-RO" w:eastAsia="ru-RU"/>
              </w:rPr>
              <w:t>3</w:t>
            </w:r>
            <w:r w:rsidRPr="006F5136">
              <w:rPr>
                <w:rFonts w:ascii="Times New Roman" w:hAnsi="Times New Roman"/>
                <w:sz w:val="18"/>
                <w:szCs w:val="18"/>
                <w:lang w:val="ro-RO" w:eastAsia="ru-RU"/>
              </w:rPr>
              <w:t xml:space="preserve">. </w:t>
            </w:r>
            <w:r w:rsidR="0070405F" w:rsidRPr="006F5136">
              <w:rPr>
                <w:rFonts w:ascii="Times New Roman" w:hAnsi="Times New Roman"/>
                <w:sz w:val="18"/>
                <w:szCs w:val="18"/>
                <w:lang w:val="ro-RO" w:eastAsia="ro-MD"/>
              </w:rPr>
              <w:t>Expunerile față de bănci, cu o scadență inițială de cel mult trei luni, pentru care este disponibilă o evaluare de credit realizată de o ECAI desemnată și expunerile care rezultă din circulația mărfurilor peste frontierele naționale cu o scadență inițială de cel mult șase luni, pentru care este disponibilă o evaluare de credit realizată de o  ECAI desemnată,</w:t>
            </w:r>
            <w:r w:rsidR="0070405F" w:rsidRPr="006F5136">
              <w:rPr>
                <w:rFonts w:ascii="Times New Roman" w:hAnsi="Times New Roman"/>
                <w:sz w:val="18"/>
                <w:szCs w:val="18"/>
              </w:rPr>
              <w:t xml:space="preserve"> </w:t>
            </w:r>
            <w:r w:rsidR="0070405F" w:rsidRPr="006F5136">
              <w:rPr>
                <w:rFonts w:ascii="Times New Roman" w:hAnsi="Times New Roman"/>
                <w:sz w:val="18"/>
                <w:szCs w:val="18"/>
                <w:lang w:val="ro-RO" w:eastAsia="ro-MD"/>
              </w:rPr>
              <w:t>primesc o pondere de risc în conformitate cu tabelul nr.4 care corespunde evaluării de credit realizate de ECAI, conform concordanței efectuate de Banca Națională a Moldovei în baza punctului 100:</w:t>
            </w:r>
          </w:p>
          <w:p w14:paraId="579E51E4" w14:textId="77777777" w:rsidR="00F02CF4" w:rsidRPr="006F5136" w:rsidRDefault="00F02CF4" w:rsidP="005E4694">
            <w:pPr>
              <w:pStyle w:val="CM4"/>
              <w:tabs>
                <w:tab w:val="left" w:pos="150"/>
              </w:tabs>
              <w:ind w:left="-36"/>
              <w:jc w:val="center"/>
              <w:rPr>
                <w:rFonts w:ascii="Times New Roman" w:hAnsi="Times New Roman"/>
                <w:sz w:val="18"/>
                <w:szCs w:val="18"/>
                <w:lang w:val="ro-RO" w:eastAsia="ru-RU"/>
              </w:rPr>
            </w:pPr>
            <w:r w:rsidRPr="006F5136">
              <w:rPr>
                <w:rFonts w:ascii="Times New Roman" w:hAnsi="Times New Roman"/>
                <w:sz w:val="18"/>
                <w:szCs w:val="18"/>
                <w:lang w:val="ro-RO" w:eastAsia="ru-RU"/>
              </w:rPr>
              <w:t>Tabelul nr.4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931"/>
              <w:gridCol w:w="443"/>
              <w:gridCol w:w="443"/>
              <w:gridCol w:w="443"/>
              <w:gridCol w:w="443"/>
              <w:gridCol w:w="443"/>
              <w:gridCol w:w="526"/>
            </w:tblGrid>
            <w:tr w:rsidR="00F02CF4" w:rsidRPr="006F5136" w14:paraId="0EC7EF1E" w14:textId="77777777" w:rsidTr="00977E5E">
              <w:trPr>
                <w:jc w:val="center"/>
              </w:trPr>
              <w:tc>
                <w:tcPr>
                  <w:tcW w:w="4367" w:type="dxa"/>
                  <w:shd w:val="clear" w:color="auto" w:fill="FFFFFF"/>
                  <w:tcMar>
                    <w:top w:w="30" w:type="dxa"/>
                    <w:left w:w="75" w:type="dxa"/>
                    <w:bottom w:w="30" w:type="dxa"/>
                    <w:right w:w="30" w:type="dxa"/>
                  </w:tcMar>
                  <w:hideMark/>
                </w:tcPr>
                <w:p w14:paraId="6FB87D94"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Nivel de calitate a creditului</w:t>
                  </w:r>
                </w:p>
              </w:tc>
              <w:tc>
                <w:tcPr>
                  <w:tcW w:w="871" w:type="dxa"/>
                  <w:shd w:val="clear" w:color="auto" w:fill="FFFFFF"/>
                  <w:tcMar>
                    <w:top w:w="30" w:type="dxa"/>
                    <w:left w:w="75" w:type="dxa"/>
                    <w:bottom w:w="30" w:type="dxa"/>
                    <w:right w:w="30" w:type="dxa"/>
                  </w:tcMar>
                  <w:hideMark/>
                </w:tcPr>
                <w:p w14:paraId="13B68A3C"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w:t>
                  </w:r>
                </w:p>
              </w:tc>
              <w:tc>
                <w:tcPr>
                  <w:tcW w:w="872" w:type="dxa"/>
                  <w:shd w:val="clear" w:color="auto" w:fill="FFFFFF"/>
                  <w:tcMar>
                    <w:top w:w="30" w:type="dxa"/>
                    <w:left w:w="75" w:type="dxa"/>
                    <w:bottom w:w="30" w:type="dxa"/>
                    <w:right w:w="30" w:type="dxa"/>
                  </w:tcMar>
                  <w:hideMark/>
                </w:tcPr>
                <w:p w14:paraId="5CE1CFD3"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w:t>
                  </w:r>
                </w:p>
              </w:tc>
              <w:tc>
                <w:tcPr>
                  <w:tcW w:w="872" w:type="dxa"/>
                  <w:shd w:val="clear" w:color="auto" w:fill="FFFFFF"/>
                  <w:tcMar>
                    <w:top w:w="30" w:type="dxa"/>
                    <w:left w:w="75" w:type="dxa"/>
                    <w:bottom w:w="30" w:type="dxa"/>
                    <w:right w:w="30" w:type="dxa"/>
                  </w:tcMar>
                  <w:hideMark/>
                </w:tcPr>
                <w:p w14:paraId="5DEEBC0D"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w:t>
                  </w:r>
                </w:p>
              </w:tc>
              <w:tc>
                <w:tcPr>
                  <w:tcW w:w="872" w:type="dxa"/>
                  <w:shd w:val="clear" w:color="auto" w:fill="FFFFFF"/>
                  <w:tcMar>
                    <w:top w:w="30" w:type="dxa"/>
                    <w:left w:w="75" w:type="dxa"/>
                    <w:bottom w:w="30" w:type="dxa"/>
                    <w:right w:w="30" w:type="dxa"/>
                  </w:tcMar>
                  <w:hideMark/>
                </w:tcPr>
                <w:p w14:paraId="2AB115DE"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w:t>
                  </w:r>
                </w:p>
              </w:tc>
              <w:tc>
                <w:tcPr>
                  <w:tcW w:w="872" w:type="dxa"/>
                  <w:shd w:val="clear" w:color="auto" w:fill="FFFFFF"/>
                  <w:tcMar>
                    <w:top w:w="30" w:type="dxa"/>
                    <w:left w:w="75" w:type="dxa"/>
                    <w:bottom w:w="30" w:type="dxa"/>
                    <w:right w:w="30" w:type="dxa"/>
                  </w:tcMar>
                  <w:hideMark/>
                </w:tcPr>
                <w:p w14:paraId="66A0A2A3"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w:t>
                  </w:r>
                </w:p>
              </w:tc>
              <w:tc>
                <w:tcPr>
                  <w:tcW w:w="1068" w:type="dxa"/>
                  <w:shd w:val="clear" w:color="auto" w:fill="FFFFFF"/>
                  <w:tcMar>
                    <w:top w:w="30" w:type="dxa"/>
                    <w:left w:w="75" w:type="dxa"/>
                    <w:bottom w:w="30" w:type="dxa"/>
                    <w:right w:w="30" w:type="dxa"/>
                  </w:tcMar>
                  <w:hideMark/>
                </w:tcPr>
                <w:p w14:paraId="3B8C41E0"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6</w:t>
                  </w:r>
                </w:p>
              </w:tc>
            </w:tr>
            <w:tr w:rsidR="00F02CF4" w:rsidRPr="006F5136" w14:paraId="2354A0BE" w14:textId="77777777" w:rsidTr="00977E5E">
              <w:trPr>
                <w:jc w:val="center"/>
              </w:trPr>
              <w:tc>
                <w:tcPr>
                  <w:tcW w:w="4367" w:type="dxa"/>
                  <w:shd w:val="clear" w:color="auto" w:fill="FFFFFF"/>
                  <w:tcMar>
                    <w:top w:w="30" w:type="dxa"/>
                    <w:left w:w="75" w:type="dxa"/>
                    <w:bottom w:w="30" w:type="dxa"/>
                    <w:right w:w="30" w:type="dxa"/>
                  </w:tcMar>
                  <w:hideMark/>
                </w:tcPr>
                <w:p w14:paraId="272D02FA"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Pondere de risc</w:t>
                  </w:r>
                </w:p>
              </w:tc>
              <w:tc>
                <w:tcPr>
                  <w:tcW w:w="871" w:type="dxa"/>
                  <w:shd w:val="clear" w:color="auto" w:fill="FFFFFF"/>
                  <w:tcMar>
                    <w:top w:w="30" w:type="dxa"/>
                    <w:left w:w="75" w:type="dxa"/>
                    <w:bottom w:w="30" w:type="dxa"/>
                    <w:right w:w="30" w:type="dxa"/>
                  </w:tcMar>
                  <w:hideMark/>
                </w:tcPr>
                <w:p w14:paraId="04D809B0"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872" w:type="dxa"/>
                  <w:shd w:val="clear" w:color="auto" w:fill="FFFFFF"/>
                  <w:tcMar>
                    <w:top w:w="30" w:type="dxa"/>
                    <w:left w:w="75" w:type="dxa"/>
                    <w:bottom w:w="30" w:type="dxa"/>
                    <w:right w:w="30" w:type="dxa"/>
                  </w:tcMar>
                  <w:hideMark/>
                </w:tcPr>
                <w:p w14:paraId="6EF868BF"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872" w:type="dxa"/>
                  <w:shd w:val="clear" w:color="auto" w:fill="FFFFFF"/>
                  <w:tcMar>
                    <w:top w:w="30" w:type="dxa"/>
                    <w:left w:w="75" w:type="dxa"/>
                    <w:bottom w:w="30" w:type="dxa"/>
                    <w:right w:w="30" w:type="dxa"/>
                  </w:tcMar>
                  <w:hideMark/>
                </w:tcPr>
                <w:p w14:paraId="4AD74FFC"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872" w:type="dxa"/>
                  <w:shd w:val="clear" w:color="auto" w:fill="FFFFFF"/>
                  <w:tcMar>
                    <w:top w:w="30" w:type="dxa"/>
                    <w:left w:w="75" w:type="dxa"/>
                    <w:bottom w:w="30" w:type="dxa"/>
                    <w:right w:w="30" w:type="dxa"/>
                  </w:tcMar>
                  <w:hideMark/>
                </w:tcPr>
                <w:p w14:paraId="41246644"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50 %</w:t>
                  </w:r>
                </w:p>
              </w:tc>
              <w:tc>
                <w:tcPr>
                  <w:tcW w:w="872" w:type="dxa"/>
                  <w:shd w:val="clear" w:color="auto" w:fill="FFFFFF"/>
                  <w:tcMar>
                    <w:top w:w="30" w:type="dxa"/>
                    <w:left w:w="75" w:type="dxa"/>
                    <w:bottom w:w="30" w:type="dxa"/>
                    <w:right w:w="30" w:type="dxa"/>
                  </w:tcMar>
                  <w:hideMark/>
                </w:tcPr>
                <w:p w14:paraId="2C7411E0"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50 %</w:t>
                  </w:r>
                </w:p>
              </w:tc>
              <w:tc>
                <w:tcPr>
                  <w:tcW w:w="1068" w:type="dxa"/>
                  <w:shd w:val="clear" w:color="auto" w:fill="FFFFFF"/>
                  <w:tcMar>
                    <w:top w:w="30" w:type="dxa"/>
                    <w:left w:w="75" w:type="dxa"/>
                    <w:bottom w:w="30" w:type="dxa"/>
                    <w:right w:w="30" w:type="dxa"/>
                  </w:tcMar>
                  <w:hideMark/>
                </w:tcPr>
                <w:p w14:paraId="7BDE89AD"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r>
          </w:tbl>
          <w:p w14:paraId="3F7D79C6" w14:textId="77777777" w:rsidR="003C0493" w:rsidRPr="006F5136" w:rsidRDefault="003C0493" w:rsidP="005E4694">
            <w:pPr>
              <w:pStyle w:val="CM4"/>
              <w:tabs>
                <w:tab w:val="left" w:pos="150"/>
              </w:tabs>
              <w:ind w:left="-36" w:firstLine="142"/>
              <w:rPr>
                <w:rFonts w:ascii="Times New Roman" w:hAnsi="Times New Roman"/>
                <w:i/>
                <w:iCs/>
                <w:sz w:val="18"/>
                <w:szCs w:val="18"/>
                <w:lang w:val="ro-RO" w:eastAsia="ru-RU"/>
              </w:rPr>
            </w:pPr>
          </w:p>
          <w:p w14:paraId="00A76C46" w14:textId="70F343D0" w:rsidR="00F02CF4" w:rsidRPr="006F5136" w:rsidRDefault="003C0493" w:rsidP="005E4694">
            <w:pPr>
              <w:pStyle w:val="CM4"/>
              <w:tabs>
                <w:tab w:val="left" w:pos="150"/>
              </w:tabs>
              <w:ind w:left="-36" w:firstLine="142"/>
              <w:rPr>
                <w:rFonts w:ascii="Times New Roman" w:hAnsi="Times New Roman"/>
                <w:i/>
                <w:iCs/>
                <w:sz w:val="18"/>
                <w:szCs w:val="18"/>
                <w:lang w:val="ro-RO" w:eastAsia="ru-RU"/>
              </w:rPr>
            </w:pPr>
            <w:r w:rsidRPr="006F5136">
              <w:rPr>
                <w:rFonts w:ascii="Times New Roman" w:hAnsi="Times New Roman"/>
                <w:i/>
                <w:iCs/>
                <w:sz w:val="18"/>
                <w:szCs w:val="18"/>
                <w:lang w:val="ro-RO" w:eastAsia="ru-RU"/>
              </w:rPr>
              <w:t>Modificat prin Proiectul HCE al BNM privind modificarea Regulamentului nr.111/2018.</w:t>
            </w:r>
          </w:p>
        </w:tc>
        <w:tc>
          <w:tcPr>
            <w:tcW w:w="503" w:type="pct"/>
          </w:tcPr>
          <w:p w14:paraId="31F16557" w14:textId="77777777" w:rsidR="00F02CF4" w:rsidRPr="006F5136" w:rsidRDefault="00F02CF4"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iCs/>
                <w:sz w:val="18"/>
                <w:szCs w:val="18"/>
                <w:lang w:val="ro-RO"/>
              </w:rPr>
              <w:t>Compatibil</w:t>
            </w:r>
          </w:p>
        </w:tc>
        <w:tc>
          <w:tcPr>
            <w:tcW w:w="912" w:type="pct"/>
          </w:tcPr>
          <w:p w14:paraId="14C97F05" w14:textId="3E733FC7" w:rsidR="00F02CF4"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F02CF4" w:rsidRPr="006F5136" w14:paraId="4867169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4586479"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  Interacțiunea dintre tratamentul evaluării de credit pe termen scurt în temeiul articolului 131 și tratamentul preferențial general pentru expunerile pe termen scurt prevăzut la alineatul (2) este după cum urmează:</w:t>
            </w:r>
          </w:p>
          <w:p w14:paraId="6E13483A"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p>
          <w:p w14:paraId="74C6C3D7"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în cazul în care nu există o evaluare a expunerilor pe termen scurt, se aplică tratamentul preferențial general pentru expunerile pe termen scurt menționat la alineatul (2) în cazul tuturor expunerilor față de instituții cu o scadență reziduală de până la trei luni;</w:t>
            </w:r>
          </w:p>
          <w:p w14:paraId="0854092B"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în cazul în care există o evaluare pe termen scurt, iar evaluarea respectivă determină aplicarea unei ponderi de risc identice sau mai favorabile decât utilizarea tratamentului preferențial general pentru expunerile pe termen scurt, menționat la alineatul (2), atunci evaluarea pe termen scurt se utilizează numai pentru expunerea respectivă. Celelalte expuneri pe termen scurt fac obiectul tratamentului preferențial general pentru expuneri pe termen scurt, menționat la alineatul (2);</w:t>
            </w:r>
          </w:p>
          <w:p w14:paraId="1AF0660E"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p>
          <w:p w14:paraId="1387D9BE" w14:textId="77777777" w:rsidR="00F02CF4" w:rsidRPr="006F5136" w:rsidRDefault="00F02CF4"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 în cazul în care există o evaluare pe termen scurt, iar evaluarea respectivă determină aplicarea unei ponderi de risc mai puțin favorabile decât utilizarea tratamentului preferențial general pentru expunerile pe termen scurt, menționat la alineatul (2), atunci tratamentul preferențial general pentru expunerile pe termen scurt nu se utilizează și tuturor creanțelor pe termen scurt care nu beneficiază de rating li se aplică aceeași pondere de risc ca și cea aplicată prin evaluarea specifică pe termen scurt.</w:t>
            </w:r>
          </w:p>
        </w:tc>
        <w:tc>
          <w:tcPr>
            <w:tcW w:w="1661" w:type="pct"/>
            <w:shd w:val="clear" w:color="auto" w:fill="auto"/>
          </w:tcPr>
          <w:p w14:paraId="1C44EB24" w14:textId="097DEE0F" w:rsidR="00F02CF4" w:rsidRPr="006F5136" w:rsidRDefault="00F02CF4" w:rsidP="005E4694">
            <w:pPr>
              <w:pStyle w:val="CM4"/>
              <w:tabs>
                <w:tab w:val="left" w:pos="150"/>
              </w:tabs>
              <w:rPr>
                <w:rFonts w:ascii="Times New Roman" w:hAnsi="Times New Roman"/>
                <w:sz w:val="18"/>
                <w:szCs w:val="18"/>
                <w:lang w:val="ro-RO" w:eastAsia="ru-RU"/>
              </w:rPr>
            </w:pPr>
            <w:r w:rsidRPr="006F5136">
              <w:rPr>
                <w:rFonts w:ascii="Times New Roman" w:hAnsi="Times New Roman"/>
                <w:sz w:val="18"/>
                <w:szCs w:val="18"/>
                <w:lang w:val="ro-RO" w:eastAsia="ru-RU"/>
              </w:rPr>
              <w:t>5</w:t>
            </w:r>
            <w:r w:rsidR="003C0493" w:rsidRPr="006F5136">
              <w:rPr>
                <w:rFonts w:ascii="Times New Roman" w:hAnsi="Times New Roman"/>
                <w:sz w:val="18"/>
                <w:szCs w:val="18"/>
                <w:lang w:val="ro-RO" w:eastAsia="ru-RU"/>
              </w:rPr>
              <w:t>4</w:t>
            </w:r>
            <w:r w:rsidRPr="006F5136">
              <w:rPr>
                <w:rFonts w:ascii="Times New Roman" w:hAnsi="Times New Roman"/>
                <w:sz w:val="18"/>
                <w:szCs w:val="18"/>
                <w:lang w:val="ro-RO" w:eastAsia="ru-RU"/>
              </w:rPr>
              <w:t>. Interacțiunea dintre tratamentul evaluării de credit pe termen scurt în temeiul punctului 82 și tratamentul preferențial general pentru expunerile pe termen scurt prevăzut la punctul 52 se stabilește după cum urmează:</w:t>
            </w:r>
          </w:p>
          <w:p w14:paraId="1AFD8E2F" w14:textId="77777777" w:rsidR="00F02CF4" w:rsidRPr="006F5136" w:rsidRDefault="00F02CF4" w:rsidP="005E4694">
            <w:pPr>
              <w:pStyle w:val="CM4"/>
              <w:tabs>
                <w:tab w:val="left" w:pos="150"/>
              </w:tabs>
              <w:rPr>
                <w:rFonts w:ascii="Times New Roman" w:hAnsi="Times New Roman"/>
                <w:sz w:val="18"/>
                <w:szCs w:val="18"/>
                <w:lang w:val="ro-RO" w:eastAsia="ru-RU"/>
              </w:rPr>
            </w:pPr>
            <w:r w:rsidRPr="006F5136">
              <w:rPr>
                <w:rFonts w:ascii="Times New Roman" w:hAnsi="Times New Roman"/>
                <w:sz w:val="18"/>
                <w:szCs w:val="18"/>
                <w:lang w:val="ro-RO" w:eastAsia="ru-RU"/>
              </w:rPr>
              <w:t>1) în cazul în care nu există o evaluare a expunerilor pe termen scurt, tuturor expunerilor față de bănci cu o scadență reziduală de cel mult trei luni se aplică tratamentul preferențial general pentru expunerile pe termen scurt, menționat la punctul 52;</w:t>
            </w:r>
          </w:p>
          <w:p w14:paraId="0C446D34" w14:textId="77777777" w:rsidR="00F02CF4" w:rsidRPr="006F5136" w:rsidRDefault="00F02CF4" w:rsidP="005E4694">
            <w:pPr>
              <w:pStyle w:val="CM4"/>
              <w:tabs>
                <w:tab w:val="left" w:pos="150"/>
              </w:tabs>
              <w:rPr>
                <w:rFonts w:ascii="Times New Roman" w:hAnsi="Times New Roman"/>
                <w:sz w:val="18"/>
                <w:szCs w:val="18"/>
                <w:lang w:val="ro-RO" w:eastAsia="ru-RU"/>
              </w:rPr>
            </w:pPr>
            <w:r w:rsidRPr="006F5136">
              <w:rPr>
                <w:rFonts w:ascii="Times New Roman" w:hAnsi="Times New Roman"/>
                <w:sz w:val="18"/>
                <w:szCs w:val="18"/>
                <w:lang w:val="ro-RO" w:eastAsia="ru-RU"/>
              </w:rPr>
              <w:t>2) în cazul în care există o evaluare pe termen scurt care determină aplicarea unei ponderi de risc identice sau mai favorabile decât utilizarea tratamentului preferențial general pentru expunerile pe termen scurt, menționat la punctul 52, atunci această evaluare se utilizează numai pentru expunerea specifică respectivă. Celelalte expuneri pe termen scurt fac obiectul tratamentului preferențial general pentru expunerile pe termen scurt, menționat la punctul 52;</w:t>
            </w:r>
          </w:p>
          <w:p w14:paraId="381E2C59" w14:textId="77777777" w:rsidR="00F02CF4" w:rsidRPr="006F5136" w:rsidRDefault="00F02CF4" w:rsidP="005E4694">
            <w:pPr>
              <w:pStyle w:val="CM4"/>
              <w:tabs>
                <w:tab w:val="left" w:pos="150"/>
              </w:tabs>
              <w:rPr>
                <w:rFonts w:ascii="Times New Roman" w:hAnsi="Times New Roman"/>
                <w:sz w:val="18"/>
                <w:szCs w:val="18"/>
                <w:lang w:val="ro-RO" w:eastAsia="ru-RU"/>
              </w:rPr>
            </w:pPr>
            <w:r w:rsidRPr="006F5136">
              <w:rPr>
                <w:rFonts w:ascii="Times New Roman" w:hAnsi="Times New Roman"/>
                <w:sz w:val="18"/>
                <w:szCs w:val="18"/>
                <w:lang w:val="ro-RO" w:eastAsia="ru-RU"/>
              </w:rPr>
              <w:t>3) în cazul în care există o evaluare pe termen scurt care determină aplicarea unei ponderi de risc mai puțin favorabile decât utilizarea tratamentului preferențial general pentru expunerile pe termen scurt, menționat la punctul 52, atunci tratamentul preferențial general pentru expunerile pe termen scurt nu se utilizează și tuturor creanțelor pe termen scurt care nu beneficiază de rating li se aplică aceeași pondere de risc ca și cea aplicată prin evaluarea specifică pe termen scurt.</w:t>
            </w:r>
          </w:p>
        </w:tc>
        <w:tc>
          <w:tcPr>
            <w:tcW w:w="503" w:type="pct"/>
          </w:tcPr>
          <w:p w14:paraId="78981E9B" w14:textId="77777777" w:rsidR="00F02CF4" w:rsidRPr="006F5136" w:rsidRDefault="00F02CF4"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7EDB1D10" w14:textId="6D31077F" w:rsidR="00F02CF4"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BB2F88" w:rsidRPr="006F5136" w14:paraId="5F8E1720"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2FF3836" w14:textId="77777777" w:rsidR="00395381" w:rsidRPr="006F5136" w:rsidRDefault="00395381" w:rsidP="005E4694">
            <w:pPr>
              <w:pStyle w:val="CM4"/>
              <w:tabs>
                <w:tab w:val="left" w:pos="150"/>
              </w:tabs>
              <w:ind w:left="-43"/>
              <w:jc w:val="both"/>
              <w:rPr>
                <w:rFonts w:ascii="Times New Roman" w:hAnsi="Times New Roman"/>
                <w:b/>
                <w:iCs/>
                <w:sz w:val="18"/>
                <w:szCs w:val="18"/>
                <w:lang w:val="ro-RO" w:eastAsia="ru-RU"/>
              </w:rPr>
            </w:pPr>
            <w:r w:rsidRPr="006F5136">
              <w:rPr>
                <w:rFonts w:ascii="Times New Roman" w:hAnsi="Times New Roman"/>
                <w:i/>
                <w:iCs/>
                <w:sz w:val="18"/>
                <w:szCs w:val="18"/>
                <w:lang w:val="ro-RO" w:eastAsia="ru-RU"/>
              </w:rPr>
              <w:t>Artiloclul 121</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Expuneri față de instituții care nu beneficiază de rating</w:t>
            </w:r>
          </w:p>
          <w:p w14:paraId="51FBA57F" w14:textId="77777777" w:rsidR="001F623E" w:rsidRPr="006F5136" w:rsidRDefault="001F623E" w:rsidP="005E4694">
            <w:pPr>
              <w:spacing w:after="0" w:line="240" w:lineRule="auto"/>
              <w:rPr>
                <w:rFonts w:ascii="Times New Roman" w:hAnsi="Times New Roman" w:cs="Times New Roman"/>
                <w:sz w:val="18"/>
                <w:szCs w:val="18"/>
              </w:rPr>
            </w:pPr>
            <w:r w:rsidRPr="006F5136">
              <w:rPr>
                <w:rFonts w:ascii="Times New Roman" w:hAnsi="Times New Roman" w:cs="Times New Roman"/>
                <w:sz w:val="18"/>
                <w:szCs w:val="18"/>
              </w:rPr>
              <w:t>(1)   Expunerile față de instituții pentru care nu este disponibilă o evaluare de credit emisă de o ECAI desemnată se încadrează într-una dintre următoarele clase de rating:</w:t>
            </w:r>
          </w:p>
          <w:p w14:paraId="761F1522" w14:textId="360DB1D7" w:rsidR="001F623E" w:rsidRPr="006F5136" w:rsidRDefault="001F623E" w:rsidP="005E4694">
            <w:pPr>
              <w:spacing w:after="0" w:line="240" w:lineRule="auto"/>
              <w:rPr>
                <w:rFonts w:ascii="Times New Roman" w:hAnsi="Times New Roman" w:cs="Times New Roman"/>
                <w:sz w:val="18"/>
                <w:szCs w:val="18"/>
              </w:rPr>
            </w:pPr>
            <w:r w:rsidRPr="006F5136">
              <w:rPr>
                <w:rFonts w:ascii="Times New Roman" w:hAnsi="Times New Roman" w:cs="Times New Roman"/>
                <w:sz w:val="18"/>
                <w:szCs w:val="18"/>
              </w:rPr>
              <w:t>(a) dacă sunt îndeplinite toate condițiile următoare, expunerile față de instituții se încadrează în clasa de rating A:</w:t>
            </w:r>
          </w:p>
          <w:p w14:paraId="7F4A1B8F" w14:textId="1FEF57FC" w:rsidR="001F623E" w:rsidRPr="006F5136" w:rsidRDefault="001F623E" w:rsidP="005E4694">
            <w:pPr>
              <w:spacing w:after="0" w:line="240" w:lineRule="auto"/>
              <w:rPr>
                <w:rFonts w:ascii="Times New Roman" w:hAnsi="Times New Roman" w:cs="Times New Roman"/>
                <w:sz w:val="18"/>
                <w:szCs w:val="18"/>
              </w:rPr>
            </w:pPr>
            <w:r w:rsidRPr="006F5136">
              <w:rPr>
                <w:rFonts w:ascii="Times New Roman" w:hAnsi="Times New Roman" w:cs="Times New Roman"/>
                <w:sz w:val="18"/>
                <w:szCs w:val="18"/>
              </w:rPr>
              <w:t xml:space="preserve">(i) instituția are capacitatea adecvată de a-și îndeplini angajamentele financiare, inclusiv rambursările principalului și ale dobânzii, în timp util, pe durata de viață preconizată </w:t>
            </w:r>
            <w:proofErr w:type="gramStart"/>
            <w:r w:rsidRPr="006F5136">
              <w:rPr>
                <w:rFonts w:ascii="Times New Roman" w:hAnsi="Times New Roman" w:cs="Times New Roman"/>
                <w:sz w:val="18"/>
                <w:szCs w:val="18"/>
              </w:rPr>
              <w:t>a</w:t>
            </w:r>
            <w:proofErr w:type="gramEnd"/>
            <w:r w:rsidRPr="006F5136">
              <w:rPr>
                <w:rFonts w:ascii="Times New Roman" w:hAnsi="Times New Roman" w:cs="Times New Roman"/>
                <w:sz w:val="18"/>
                <w:szCs w:val="18"/>
              </w:rPr>
              <w:t xml:space="preserve"> activelor sau </w:t>
            </w:r>
            <w:proofErr w:type="gramStart"/>
            <w:r w:rsidRPr="006F5136">
              <w:rPr>
                <w:rFonts w:ascii="Times New Roman" w:hAnsi="Times New Roman" w:cs="Times New Roman"/>
                <w:sz w:val="18"/>
                <w:szCs w:val="18"/>
              </w:rPr>
              <w:t>a</w:t>
            </w:r>
            <w:proofErr w:type="gramEnd"/>
            <w:r w:rsidRPr="006F5136">
              <w:rPr>
                <w:rFonts w:ascii="Times New Roman" w:hAnsi="Times New Roman" w:cs="Times New Roman"/>
                <w:sz w:val="18"/>
                <w:szCs w:val="18"/>
              </w:rPr>
              <w:t xml:space="preserve"> expunerilor și indiferent de ciclurile economice și de condițiile </w:t>
            </w:r>
            <w:proofErr w:type="gramStart"/>
            <w:r w:rsidRPr="006F5136">
              <w:rPr>
                <w:rFonts w:ascii="Times New Roman" w:hAnsi="Times New Roman" w:cs="Times New Roman"/>
                <w:sz w:val="18"/>
                <w:szCs w:val="18"/>
              </w:rPr>
              <w:t>comerciale;</w:t>
            </w:r>
            <w:proofErr w:type="gramEnd"/>
          </w:p>
          <w:p w14:paraId="1C3AAB1D" w14:textId="7DBEE8A1" w:rsidR="001F623E" w:rsidRPr="006F5136" w:rsidRDefault="001F623E" w:rsidP="005E4694">
            <w:pPr>
              <w:spacing w:after="0" w:line="240" w:lineRule="auto"/>
              <w:rPr>
                <w:rFonts w:ascii="Times New Roman" w:hAnsi="Times New Roman" w:cs="Times New Roman"/>
                <w:sz w:val="18"/>
                <w:szCs w:val="18"/>
              </w:rPr>
            </w:pPr>
            <w:r w:rsidRPr="006F5136">
              <w:rPr>
                <w:rFonts w:ascii="Times New Roman" w:hAnsi="Times New Roman" w:cs="Times New Roman"/>
                <w:sz w:val="18"/>
                <w:szCs w:val="18"/>
              </w:rPr>
              <w:t>(ii) instituția îndeplinește sau depășește cerința prevăzută la articolul 92 alineatul (1) din prezentul regulament, ținând seama de articolul 458 alineatul (2) litera (d) punctele (i) și (vi) și de articolul 459 litera (a) din prezentul regulament, după caz, cerințele specifice de fonduri proprii menționate la articolul 104 din Directiva 2013/36/UE, cerința amortizorului combinat definită la articolul 128 punctul 6 din Directiva 2013/36/UE sau orice cerințe locale de supraveghere sau de reglementare echivalente și suplimentare din țări terțe, în măsura în care aceste cerințe sunt publicate și trebuie să fie îndeplinite cu fonduri proprii de nivel 1 de bază, cu fonduri proprii de nivel 1 sau cu fonduri proprii, după caz;</w:t>
            </w:r>
          </w:p>
          <w:p w14:paraId="02EA6AF5" w14:textId="6C74B25A" w:rsidR="001F623E" w:rsidRPr="006F5136" w:rsidRDefault="001F623E" w:rsidP="005E4694">
            <w:pPr>
              <w:spacing w:after="0" w:line="240" w:lineRule="auto"/>
              <w:rPr>
                <w:rFonts w:ascii="Times New Roman" w:hAnsi="Times New Roman" w:cs="Times New Roman"/>
                <w:sz w:val="18"/>
                <w:szCs w:val="18"/>
              </w:rPr>
            </w:pPr>
            <w:r w:rsidRPr="006F5136">
              <w:rPr>
                <w:rFonts w:ascii="Times New Roman" w:hAnsi="Times New Roman" w:cs="Times New Roman"/>
                <w:sz w:val="18"/>
                <w:szCs w:val="18"/>
              </w:rPr>
              <w:t xml:space="preserve">(iii) informațiile care specifică dacă cerințele menționate la punctul (ii) de la prezenta literă au fost îndeplinite sau depășite de către instituție sunt publice sau sunt puse la dispoziția instituției creditoare în alt </w:t>
            </w:r>
            <w:proofErr w:type="gramStart"/>
            <w:r w:rsidRPr="006F5136">
              <w:rPr>
                <w:rFonts w:ascii="Times New Roman" w:hAnsi="Times New Roman" w:cs="Times New Roman"/>
                <w:sz w:val="18"/>
                <w:szCs w:val="18"/>
              </w:rPr>
              <w:t>mod;</w:t>
            </w:r>
            <w:proofErr w:type="gramEnd"/>
          </w:p>
          <w:p w14:paraId="146856CD" w14:textId="53EB1CDB" w:rsidR="00395381" w:rsidRPr="006F5136" w:rsidRDefault="001F623E" w:rsidP="005E4694">
            <w:pPr>
              <w:spacing w:after="0" w:line="240" w:lineRule="auto"/>
              <w:rPr>
                <w:rFonts w:ascii="Times New Roman" w:hAnsi="Times New Roman" w:cs="Times New Roman"/>
                <w:sz w:val="18"/>
                <w:szCs w:val="18"/>
              </w:rPr>
            </w:pPr>
            <w:r w:rsidRPr="006F5136">
              <w:rPr>
                <w:rFonts w:ascii="Times New Roman" w:hAnsi="Times New Roman" w:cs="Times New Roman"/>
                <w:sz w:val="18"/>
                <w:szCs w:val="18"/>
              </w:rPr>
              <w:t xml:space="preserve">(iv) evaluarea efectuată de către instituția creditoare în conformitate cu articolul 79 din Directiva 2013/36/UE nu </w:t>
            </w:r>
            <w:proofErr w:type="gramStart"/>
            <w:r w:rsidRPr="006F5136">
              <w:rPr>
                <w:rFonts w:ascii="Times New Roman" w:hAnsi="Times New Roman" w:cs="Times New Roman"/>
                <w:sz w:val="18"/>
                <w:szCs w:val="18"/>
              </w:rPr>
              <w:t>a</w:t>
            </w:r>
            <w:proofErr w:type="gramEnd"/>
            <w:r w:rsidRPr="006F5136">
              <w:rPr>
                <w:rFonts w:ascii="Times New Roman" w:hAnsi="Times New Roman" w:cs="Times New Roman"/>
                <w:sz w:val="18"/>
                <w:szCs w:val="18"/>
              </w:rPr>
              <w:t xml:space="preserve"> arătat că instituția nu îndeplinește condițiile prevăzute la punctele (i) și (ii) de la prezenta literă;</w:t>
            </w:r>
          </w:p>
        </w:tc>
        <w:tc>
          <w:tcPr>
            <w:tcW w:w="1661" w:type="pct"/>
            <w:shd w:val="clear" w:color="auto" w:fill="auto"/>
          </w:tcPr>
          <w:p w14:paraId="22B5C74A" w14:textId="77777777" w:rsidR="00395381" w:rsidRPr="006F5136" w:rsidRDefault="00395381" w:rsidP="005E4694">
            <w:pPr>
              <w:tabs>
                <w:tab w:val="left" w:pos="540"/>
                <w:tab w:val="left" w:pos="3900"/>
              </w:tabs>
              <w:spacing w:after="0" w:line="240" w:lineRule="auto"/>
              <w:rPr>
                <w:rFonts w:ascii="Times New Roman" w:hAnsi="Times New Roman" w:cs="Times New Roman"/>
                <w:iCs/>
                <w:sz w:val="18"/>
                <w:szCs w:val="18"/>
                <w:lang w:val="ro-RO"/>
              </w:rPr>
            </w:pPr>
            <w:r w:rsidRPr="006F5136">
              <w:rPr>
                <w:rFonts w:ascii="Times New Roman" w:hAnsi="Times New Roman" w:cs="Times New Roman"/>
                <w:iCs/>
                <w:sz w:val="18"/>
                <w:szCs w:val="18"/>
                <w:lang w:val="ro-RO"/>
              </w:rPr>
              <w:t xml:space="preserve">Secțiunea a 8-a. </w:t>
            </w:r>
            <w:r w:rsidRPr="006F5136">
              <w:rPr>
                <w:rFonts w:ascii="Times New Roman" w:hAnsi="Times New Roman" w:cs="Times New Roman"/>
                <w:b/>
                <w:bCs/>
                <w:iCs/>
                <w:sz w:val="18"/>
                <w:szCs w:val="18"/>
                <w:lang w:val="ro-RO"/>
              </w:rPr>
              <w:t>Expuneri față de bănci care nu beneficiază de rating</w:t>
            </w:r>
            <w:r w:rsidRPr="006F5136">
              <w:rPr>
                <w:rFonts w:ascii="Times New Roman" w:hAnsi="Times New Roman" w:cs="Times New Roman"/>
                <w:iCs/>
                <w:sz w:val="18"/>
                <w:szCs w:val="18"/>
                <w:lang w:val="ro-RO"/>
              </w:rPr>
              <w:t xml:space="preserve"> </w:t>
            </w:r>
          </w:p>
          <w:p w14:paraId="69D22269" w14:textId="5290C1B2" w:rsidR="00395381" w:rsidRPr="006F5136" w:rsidRDefault="009F400A" w:rsidP="005E4694">
            <w:pPr>
              <w:spacing w:after="0" w:line="240" w:lineRule="auto"/>
              <w:ind w:left="-43"/>
              <w:jc w:val="both"/>
              <w:rPr>
                <w:rFonts w:ascii="Times New Roman" w:hAnsi="Times New Roman" w:cs="Times New Roman"/>
                <w:iCs/>
                <w:sz w:val="18"/>
                <w:szCs w:val="18"/>
                <w:lang w:val="ro-RO"/>
              </w:rPr>
            </w:pPr>
            <w:r w:rsidRPr="006F5136">
              <w:rPr>
                <w:rFonts w:ascii="Times New Roman" w:hAnsi="Times New Roman" w:cs="Times New Roman"/>
                <w:b/>
                <w:bCs/>
                <w:iCs/>
                <w:sz w:val="18"/>
                <w:szCs w:val="18"/>
                <w:lang w:val="ro-RO"/>
              </w:rPr>
              <w:t>55</w:t>
            </w:r>
            <w:r w:rsidR="00395381" w:rsidRPr="006F5136">
              <w:rPr>
                <w:rFonts w:ascii="Times New Roman" w:hAnsi="Times New Roman" w:cs="Times New Roman"/>
                <w:iCs/>
                <w:sz w:val="18"/>
                <w:szCs w:val="18"/>
                <w:lang w:val="ro-RO"/>
              </w:rPr>
              <w:t>.</w:t>
            </w:r>
            <w:r w:rsidR="00395381" w:rsidRPr="006F5136">
              <w:rPr>
                <w:rFonts w:ascii="Times New Roman" w:hAnsi="Times New Roman" w:cs="Times New Roman"/>
                <w:iCs/>
                <w:sz w:val="18"/>
                <w:szCs w:val="18"/>
                <w:lang w:val="ro-RO"/>
              </w:rPr>
              <w:tab/>
              <w:t xml:space="preserve">Expunerile față de băncile pentru care nu este disponibilă o evaluare de credit realizată de o ECAI desemnată, </w:t>
            </w:r>
            <w:r w:rsidRPr="006F5136">
              <w:rPr>
                <w:rFonts w:ascii="Times New Roman" w:hAnsi="Times New Roman" w:cs="Times New Roman"/>
                <w:iCs/>
                <w:sz w:val="18"/>
                <w:szCs w:val="18"/>
                <w:lang w:val="ro-RO"/>
              </w:rPr>
              <w:t>se încadrează într-una dintre clasele de rating prevăzute la punctele 55</w:t>
            </w:r>
            <w:r w:rsidRPr="006F5136">
              <w:rPr>
                <w:rFonts w:ascii="Times New Roman" w:hAnsi="Times New Roman" w:cs="Times New Roman"/>
                <w:iCs/>
                <w:sz w:val="18"/>
                <w:szCs w:val="18"/>
                <w:vertAlign w:val="superscript"/>
                <w:lang w:val="ro-RO"/>
              </w:rPr>
              <w:t>1</w:t>
            </w:r>
            <w:r w:rsidRPr="006F5136">
              <w:rPr>
                <w:rFonts w:ascii="Times New Roman" w:hAnsi="Times New Roman" w:cs="Times New Roman"/>
                <w:iCs/>
                <w:sz w:val="18"/>
                <w:szCs w:val="18"/>
                <w:lang w:val="ro-RO"/>
              </w:rPr>
              <w:t xml:space="preserve"> -55</w:t>
            </w:r>
            <w:r w:rsidRPr="006F5136">
              <w:rPr>
                <w:rFonts w:ascii="Times New Roman" w:hAnsi="Times New Roman" w:cs="Times New Roman"/>
                <w:iCs/>
                <w:sz w:val="18"/>
                <w:szCs w:val="18"/>
                <w:vertAlign w:val="superscript"/>
                <w:lang w:val="ro-RO"/>
              </w:rPr>
              <w:t>4</w:t>
            </w:r>
            <w:r w:rsidRPr="006F5136">
              <w:rPr>
                <w:rFonts w:ascii="Times New Roman" w:hAnsi="Times New Roman" w:cs="Times New Roman"/>
                <w:iCs/>
                <w:sz w:val="18"/>
                <w:szCs w:val="18"/>
                <w:lang w:val="ro-RO"/>
              </w:rPr>
              <w:t>.</w:t>
            </w:r>
          </w:p>
          <w:p w14:paraId="1AE5EBB7" w14:textId="77777777" w:rsidR="00395381" w:rsidRPr="006F5136" w:rsidRDefault="00395381" w:rsidP="005E4694">
            <w:pPr>
              <w:pStyle w:val="CM4"/>
              <w:tabs>
                <w:tab w:val="left" w:pos="150"/>
              </w:tabs>
              <w:ind w:left="-36" w:firstLine="142"/>
              <w:rPr>
                <w:rFonts w:ascii="Times New Roman" w:hAnsi="Times New Roman"/>
                <w:sz w:val="18"/>
                <w:szCs w:val="18"/>
                <w:lang w:val="ro-RO" w:eastAsia="ru-RU"/>
              </w:rPr>
            </w:pPr>
          </w:p>
          <w:p w14:paraId="2F3D7EA6" w14:textId="7A664317" w:rsidR="009F400A" w:rsidRPr="006F5136" w:rsidRDefault="009F400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55</w:t>
            </w:r>
            <w:r w:rsidRPr="006F5136">
              <w:rPr>
                <w:rFonts w:ascii="Times New Roman" w:eastAsia="Times New Roman" w:hAnsi="Times New Roman" w:cs="Times New Roman"/>
                <w:b/>
                <w:bCs/>
                <w:sz w:val="18"/>
                <w:szCs w:val="18"/>
                <w:vertAlign w:val="superscript"/>
                <w:lang w:val="ro-RO" w:eastAsia="ro-MD"/>
              </w:rPr>
              <w:t>1</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Dacă sunt îndeplinite </w:t>
            </w:r>
            <w:r w:rsidR="003C0493" w:rsidRPr="006F5136">
              <w:rPr>
                <w:rFonts w:ascii="Times New Roman" w:eastAsia="Times New Roman" w:hAnsi="Times New Roman" w:cs="Times New Roman"/>
                <w:sz w:val="18"/>
                <w:szCs w:val="18"/>
                <w:lang w:val="ro-RO" w:eastAsia="ro-MD"/>
              </w:rPr>
              <w:t>cumulativ</w:t>
            </w:r>
            <w:r w:rsidRPr="006F5136">
              <w:rPr>
                <w:rFonts w:ascii="Times New Roman" w:eastAsia="Times New Roman" w:hAnsi="Times New Roman" w:cs="Times New Roman"/>
                <w:sz w:val="18"/>
                <w:szCs w:val="18"/>
                <w:lang w:val="ro-RO" w:eastAsia="ro-MD"/>
              </w:rPr>
              <w:t xml:space="preserve"> următoare</w:t>
            </w:r>
            <w:r w:rsidR="003C0493" w:rsidRPr="006F5136">
              <w:rPr>
                <w:rFonts w:ascii="Times New Roman" w:eastAsia="Times New Roman" w:hAnsi="Times New Roman" w:cs="Times New Roman"/>
                <w:sz w:val="18"/>
                <w:szCs w:val="18"/>
                <w:lang w:val="ro-RO" w:eastAsia="ro-MD"/>
              </w:rPr>
              <w:t>le condiții</w:t>
            </w:r>
            <w:r w:rsidRPr="006F5136">
              <w:rPr>
                <w:rFonts w:ascii="Times New Roman" w:eastAsia="Times New Roman" w:hAnsi="Times New Roman" w:cs="Times New Roman"/>
                <w:sz w:val="18"/>
                <w:szCs w:val="18"/>
                <w:lang w:val="ro-RO" w:eastAsia="ro-MD"/>
              </w:rPr>
              <w:t>, expunerile față de bănci se încadrează în clasa de rating A:</w:t>
            </w:r>
          </w:p>
          <w:p w14:paraId="6530779A" w14:textId="77777777" w:rsidR="009F400A" w:rsidRPr="006F5136" w:rsidRDefault="009F400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banca are capacitatea adecvată de a-și îndeplini angajamentele financiare, inclusiv rambursările principalului și ale dobânzii, în timp util, pe durata de viață preconizată a activelor sau a expunerilor și indiferent de ciclurile economice și de condițiile comerciale;</w:t>
            </w:r>
          </w:p>
          <w:p w14:paraId="0F692BDC" w14:textId="5DD798C2" w:rsidR="009F400A" w:rsidRPr="006F5136" w:rsidRDefault="009F400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banca îndeplinește sau depășește cerința prevăzută la punctul 130 din Regulamentul nr.109/2018, ținând seama de măsurile pentru bănci menite să reducă riscul sistemic privind nivelul fondurilor proprii și nivelul amortizorului de conservare a capitalului, după caz, cerințele specifice de fonduri proprii conform articolului 139 din Legea nr.202/2017, cerința amortizorului combinat definită în Regulamentul nr.110/2018 sau orice cerințe locale de supraveghere sau de reglementare echivalente și suplimentare din țări terțe, în măsura în care aceste cerințe sunt publicate și trebuie să fie îndeplinite cu fonduri proprii de nivel 1 de bază, cu fonduri proprii de nivel 1 sau cu fonduri proprii, după caz;</w:t>
            </w:r>
          </w:p>
          <w:p w14:paraId="50C45363" w14:textId="77777777" w:rsidR="009F400A" w:rsidRPr="006F5136" w:rsidRDefault="009F400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informațiile care specifică dacă cerințele menționate la subpunctul 2) au fost îndeplinite sau depășite de către bancă sunt publice sau sunt puse la dispoziția băncii creditoare în alt mod;</w:t>
            </w:r>
          </w:p>
          <w:p w14:paraId="620F8D1E" w14:textId="77777777" w:rsidR="009F400A" w:rsidRPr="006F5136" w:rsidRDefault="009F400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xml:space="preserve">4) evaluarea efectuată de către banca creditoare în conformitate cu cerințele privind riscul de credit și riscul de credit al contrapărții prevăzute </w:t>
            </w:r>
            <w:r w:rsidR="003C0493" w:rsidRPr="006F5136">
              <w:rPr>
                <w:rFonts w:ascii="Times New Roman" w:eastAsia="Times New Roman" w:hAnsi="Times New Roman" w:cs="Times New Roman"/>
                <w:sz w:val="18"/>
                <w:szCs w:val="18"/>
                <w:lang w:val="ro-RO" w:eastAsia="ro-MD"/>
              </w:rPr>
              <w:t xml:space="preserve">la punctele 240-247 din </w:t>
            </w:r>
            <w:r w:rsidRPr="006F5136">
              <w:rPr>
                <w:rFonts w:ascii="Times New Roman" w:eastAsia="Times New Roman" w:hAnsi="Times New Roman" w:cs="Times New Roman"/>
                <w:sz w:val="18"/>
                <w:szCs w:val="18"/>
                <w:lang w:val="ro-RO" w:eastAsia="ro-MD"/>
              </w:rPr>
              <w:t>Regulamentul nr.322/2018 nu au arătat că banca nu îndeplinește condițiile prevăzute la subpunctele 1) și 2).</w:t>
            </w:r>
          </w:p>
          <w:p w14:paraId="7651B916" w14:textId="5DCB6B8C" w:rsidR="003C0493" w:rsidRPr="006F5136" w:rsidRDefault="003C0493" w:rsidP="005E4694">
            <w:pPr>
              <w:spacing w:after="0" w:line="240" w:lineRule="auto"/>
              <w:jc w:val="both"/>
              <w:rPr>
                <w:rFonts w:ascii="Times New Roman" w:eastAsia="Times New Roman" w:hAnsi="Times New Roman" w:cs="Times New Roman"/>
                <w:i/>
                <w:iCs/>
                <w:sz w:val="18"/>
                <w:szCs w:val="18"/>
                <w:lang w:val="ro-RO" w:eastAsia="ro-MD"/>
              </w:rPr>
            </w:pPr>
            <w:r w:rsidRPr="006F5136">
              <w:rPr>
                <w:rFonts w:ascii="Times New Roman" w:eastAsia="Times New Roman" w:hAnsi="Times New Roman" w:cs="Times New Roman"/>
                <w:i/>
                <w:iCs/>
                <w:sz w:val="18"/>
                <w:szCs w:val="18"/>
                <w:lang w:val="ro-RO" w:eastAsia="ro-MD"/>
              </w:rPr>
              <w:t>Proiectul HCE al BNM privind modificarea Regulamentului nr.111/2018</w:t>
            </w:r>
          </w:p>
        </w:tc>
        <w:tc>
          <w:tcPr>
            <w:tcW w:w="503" w:type="pct"/>
          </w:tcPr>
          <w:p w14:paraId="38367E46" w14:textId="77777777"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1D9711E2" w14:textId="0A27DF26" w:rsidR="00395381" w:rsidRPr="006F5136" w:rsidRDefault="00F02CF4"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914DC9" w:rsidRPr="006F5136" w14:paraId="6E1389B7"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F6B7E69" w14:textId="22208D23" w:rsidR="00914DC9" w:rsidRPr="006F5136" w:rsidRDefault="00914DC9" w:rsidP="00914DC9">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(b) dacă sunt îndeplinite toate condițiile următoare, dar una sau mai multe dintre condițiile de la litera (a) din prezentul alineat nu sunt îndeplinite, expunerile față de instituții se încadrează în clasa de rating B:</w:t>
            </w:r>
          </w:p>
          <w:p w14:paraId="2D9B5FB4" w14:textId="027E6063" w:rsidR="00914DC9" w:rsidRPr="006F5136" w:rsidRDefault="00914DC9" w:rsidP="00914DC9">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(i) instituția face obiectul unui risc de credit substanțial, inclusiv al unor capacități de rambursare care depind de existența unor condiții economice sau comerciale stabile sau favorabile;</w:t>
            </w:r>
          </w:p>
          <w:p w14:paraId="4734E2E0" w14:textId="35E26909" w:rsidR="00914DC9" w:rsidRPr="006F5136" w:rsidRDefault="00914DC9" w:rsidP="00914DC9">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(ii) instituția îndeplinește sau depășește cerința prevăzută la articolul 92 alineatul (1) din prezentul regulament, ținând seama de articolul 458 alineatul (2) litera (d) punctul (i) și de articolul 459 litera (a) din prezentul regulament, după caz, cerințele specifice de fonduri proprii menționate la articolul 104 din Directiva 2013/36/UE sau orice cerințe locale de supraveghere sau de reglementare echivalente și suplimentare din țări terțe, în măsura în care aceste cerințe sunt publicate și trebuie să fie îndeplinite cu fonduri proprii de nivel 1 de bază, cu fonduri proprii de nivel 1 sau cu fonduri proprii, după caz;</w:t>
            </w:r>
          </w:p>
          <w:p w14:paraId="58585874" w14:textId="0ED0A798" w:rsidR="00914DC9" w:rsidRPr="006F5136" w:rsidRDefault="00914DC9" w:rsidP="00914DC9">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(iii) informațiile care specifică dacă cerințele menționate la punctul (ii) de la prezenta literă au fost îndeplinite sau depășite de către instituție sunt publice sau sunt puse la dispoziția instituției creditoare în alt mod;</w:t>
            </w:r>
          </w:p>
          <w:p w14:paraId="03F74FDF" w14:textId="5D95C553" w:rsidR="00914DC9" w:rsidRPr="006F5136" w:rsidRDefault="00914DC9" w:rsidP="00914DC9">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(iv) evaluarea efectuată de către instituția creditoare în conformitate cu articolul 79 din Directiva 2013/36/UE nu a arătat că instituția nu îndeplinește condițiile prevăzute la punctele (i) și (ii) de la prezenta literă;</w:t>
            </w:r>
          </w:p>
        </w:tc>
        <w:tc>
          <w:tcPr>
            <w:tcW w:w="1661" w:type="pct"/>
            <w:shd w:val="clear" w:color="auto" w:fill="auto"/>
          </w:tcPr>
          <w:p w14:paraId="780135DC" w14:textId="5E874E91" w:rsidR="00914DC9" w:rsidRPr="006F5136" w:rsidRDefault="00914DC9" w:rsidP="00914DC9">
            <w:pPr>
              <w:tabs>
                <w:tab w:val="left" w:pos="540"/>
                <w:tab w:val="left" w:pos="3900"/>
              </w:tabs>
              <w:spacing w:after="0" w:line="240" w:lineRule="auto"/>
              <w:rPr>
                <w:rFonts w:ascii="Times New Roman" w:hAnsi="Times New Roman" w:cs="Times New Roman"/>
                <w:iCs/>
                <w:sz w:val="18"/>
                <w:szCs w:val="18"/>
                <w:lang w:val="ro-RO"/>
              </w:rPr>
            </w:pPr>
            <w:r w:rsidRPr="006F5136">
              <w:rPr>
                <w:rFonts w:ascii="Times New Roman" w:hAnsi="Times New Roman" w:cs="Times New Roman"/>
                <w:b/>
                <w:bCs/>
                <w:iCs/>
                <w:sz w:val="18"/>
                <w:szCs w:val="18"/>
                <w:lang w:val="ro-RO"/>
              </w:rPr>
              <w:t>55</w:t>
            </w:r>
            <w:r w:rsidRPr="006F5136">
              <w:rPr>
                <w:rFonts w:ascii="Times New Roman" w:hAnsi="Times New Roman" w:cs="Times New Roman"/>
                <w:b/>
                <w:bCs/>
                <w:iCs/>
                <w:sz w:val="18"/>
                <w:szCs w:val="18"/>
                <w:vertAlign w:val="superscript"/>
                <w:lang w:val="ro-RO"/>
              </w:rPr>
              <w:t>2</w:t>
            </w:r>
            <w:r w:rsidRPr="006F5136">
              <w:rPr>
                <w:rFonts w:ascii="Times New Roman" w:hAnsi="Times New Roman" w:cs="Times New Roman"/>
                <w:b/>
                <w:bCs/>
                <w:iCs/>
                <w:sz w:val="18"/>
                <w:szCs w:val="18"/>
                <w:lang w:val="ro-RO"/>
              </w:rPr>
              <w:t>.</w:t>
            </w:r>
            <w:r w:rsidRPr="006F5136">
              <w:rPr>
                <w:rFonts w:ascii="Times New Roman" w:hAnsi="Times New Roman" w:cs="Times New Roman"/>
                <w:iCs/>
                <w:sz w:val="18"/>
                <w:szCs w:val="18"/>
                <w:lang w:val="ro-RO"/>
              </w:rPr>
              <w:t xml:space="preserve"> </w:t>
            </w:r>
            <w:r w:rsidRPr="006F5136">
              <w:rPr>
                <w:rFonts w:ascii="Times New Roman" w:eastAsia="Times New Roman" w:hAnsi="Times New Roman" w:cs="Times New Roman"/>
                <w:sz w:val="18"/>
                <w:szCs w:val="18"/>
                <w:lang w:val="ro-RO" w:eastAsia="ro-MD"/>
              </w:rPr>
              <w:t>Dacă sunt îndeplinite cumulativ următoarele condiții, dar una sau mai multe dintre condițiile de la punctul 55</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 xml:space="preserve"> nu sunt îndeplinite, expunerile față de bănci se încadrează în clasa de rating B</w:t>
            </w:r>
            <w:r w:rsidRPr="006F5136">
              <w:rPr>
                <w:rFonts w:ascii="Times New Roman" w:hAnsi="Times New Roman" w:cs="Times New Roman"/>
                <w:iCs/>
                <w:sz w:val="18"/>
                <w:szCs w:val="18"/>
                <w:lang w:val="ro-RO"/>
              </w:rPr>
              <w:t>:</w:t>
            </w:r>
          </w:p>
          <w:p w14:paraId="617C30E1" w14:textId="77777777" w:rsidR="00914DC9" w:rsidRPr="006F5136" w:rsidRDefault="00914DC9" w:rsidP="00914DC9">
            <w:pPr>
              <w:tabs>
                <w:tab w:val="left" w:pos="540"/>
                <w:tab w:val="left" w:pos="3900"/>
              </w:tabs>
              <w:spacing w:after="0" w:line="240" w:lineRule="auto"/>
              <w:rPr>
                <w:rFonts w:ascii="Times New Roman" w:hAnsi="Times New Roman" w:cs="Times New Roman"/>
                <w:iCs/>
                <w:sz w:val="18"/>
                <w:szCs w:val="18"/>
                <w:lang w:val="ro-RO"/>
              </w:rPr>
            </w:pPr>
            <w:r w:rsidRPr="006F5136">
              <w:rPr>
                <w:rFonts w:ascii="Times New Roman" w:hAnsi="Times New Roman" w:cs="Times New Roman"/>
                <w:iCs/>
                <w:sz w:val="18"/>
                <w:szCs w:val="18"/>
                <w:lang w:val="ro-RO"/>
              </w:rPr>
              <w:t>1) banca face obiectul unui risc de credit substanțial, inclusiv al unor capacități de rambursare care depind de existența unor condiții economice sau comerciale stabile sau favorabile;</w:t>
            </w:r>
          </w:p>
          <w:p w14:paraId="746C2098" w14:textId="685FE793" w:rsidR="00914DC9" w:rsidRPr="006F5136" w:rsidRDefault="00914DC9" w:rsidP="00914DC9">
            <w:pPr>
              <w:tabs>
                <w:tab w:val="left" w:pos="540"/>
                <w:tab w:val="left" w:pos="3900"/>
              </w:tabs>
              <w:spacing w:after="0" w:line="240" w:lineRule="auto"/>
              <w:rPr>
                <w:rFonts w:ascii="Times New Roman" w:hAnsi="Times New Roman" w:cs="Times New Roman"/>
                <w:iCs/>
                <w:sz w:val="18"/>
                <w:szCs w:val="18"/>
                <w:lang w:val="ro-RO"/>
              </w:rPr>
            </w:pPr>
            <w:r w:rsidRPr="006F5136">
              <w:rPr>
                <w:rFonts w:ascii="Times New Roman" w:hAnsi="Times New Roman" w:cs="Times New Roman"/>
                <w:iCs/>
                <w:sz w:val="18"/>
                <w:szCs w:val="18"/>
                <w:lang w:val="ro-RO"/>
              </w:rPr>
              <w:t>2) banca îndeplinește sau depășește cerința prevăzută la punctul 130 din Regulamentul nr.109/2018, ținând seama de măsurile pentru bănci menite să reducă riscul sistemic privind nivelul fondurilor proprii, după caz, cerințele specifice de fonduri proprii conform articolului 139 din Legea nr.202/2017, sau orice cerințe locale de supraveghere sau de reglementare echivalente și suplimentare din țări terțe, în măsura în care aceste cerințe sunt publicate și trebuie să fie îndeplinite cu fonduri proprii de nivel 1 de bază, cu fonduri proprii de nivel 1 sau cu fonduri proprii, după caz;</w:t>
            </w:r>
          </w:p>
          <w:p w14:paraId="732B66E5" w14:textId="77777777" w:rsidR="00914DC9" w:rsidRPr="006F5136" w:rsidRDefault="00914DC9" w:rsidP="00914DC9">
            <w:pPr>
              <w:tabs>
                <w:tab w:val="left" w:pos="540"/>
                <w:tab w:val="left" w:pos="3900"/>
              </w:tabs>
              <w:spacing w:after="0" w:line="240" w:lineRule="auto"/>
              <w:rPr>
                <w:rFonts w:ascii="Times New Roman" w:hAnsi="Times New Roman" w:cs="Times New Roman"/>
                <w:iCs/>
                <w:sz w:val="18"/>
                <w:szCs w:val="18"/>
                <w:lang w:val="ro-RO"/>
              </w:rPr>
            </w:pPr>
            <w:r w:rsidRPr="006F5136">
              <w:rPr>
                <w:rFonts w:ascii="Times New Roman" w:hAnsi="Times New Roman" w:cs="Times New Roman"/>
                <w:iCs/>
                <w:sz w:val="18"/>
                <w:szCs w:val="18"/>
                <w:lang w:val="ro-RO"/>
              </w:rPr>
              <w:t>3) informațiile care specifică dacă cerințele menționate la subpunctul 2) au fost îndeplinite sau depășite de către bancă sunt publice sau sunt puse la dispoziția băncii creditoare în alt mod;</w:t>
            </w:r>
          </w:p>
          <w:p w14:paraId="44A908F7" w14:textId="77777777" w:rsidR="00914DC9" w:rsidRPr="006F5136" w:rsidRDefault="00914DC9" w:rsidP="00914DC9">
            <w:pPr>
              <w:tabs>
                <w:tab w:val="left" w:pos="540"/>
                <w:tab w:val="left" w:pos="3900"/>
              </w:tabs>
              <w:spacing w:after="0" w:line="240" w:lineRule="auto"/>
              <w:rPr>
                <w:rFonts w:ascii="Times New Roman" w:hAnsi="Times New Roman" w:cs="Times New Roman"/>
                <w:iCs/>
                <w:sz w:val="18"/>
                <w:szCs w:val="18"/>
                <w:lang w:val="ro-RO"/>
              </w:rPr>
            </w:pPr>
            <w:r w:rsidRPr="006F5136">
              <w:rPr>
                <w:rFonts w:ascii="Times New Roman" w:hAnsi="Times New Roman" w:cs="Times New Roman"/>
                <w:iCs/>
                <w:sz w:val="18"/>
                <w:szCs w:val="18"/>
                <w:lang w:val="ro-RO"/>
              </w:rPr>
              <w:t>4) evaluarea efectuată de către banca creditoare în conformitate cu cerințele privind riscul de credit și riscul de credit al contrapărții prevăzute la punctele 240-247 din Regulamentul nr.322/2018 nu au arătat că banca nu îndeplinește condițiile prevăzute la subpunctele 1) și 2);</w:t>
            </w:r>
          </w:p>
          <w:p w14:paraId="41BFD6E2" w14:textId="23C9C5A5" w:rsidR="00914DC9" w:rsidRPr="006F5136" w:rsidRDefault="00914DC9" w:rsidP="00914DC9">
            <w:pPr>
              <w:tabs>
                <w:tab w:val="left" w:pos="540"/>
                <w:tab w:val="left" w:pos="3900"/>
              </w:tabs>
              <w:spacing w:after="0" w:line="240" w:lineRule="auto"/>
              <w:rPr>
                <w:rFonts w:ascii="Times New Roman" w:hAnsi="Times New Roman" w:cs="Times New Roman"/>
                <w:iCs/>
                <w:sz w:val="18"/>
                <w:szCs w:val="18"/>
                <w:lang w:val="ro-RO"/>
              </w:rPr>
            </w:pPr>
            <w:r w:rsidRPr="006F5136">
              <w:rPr>
                <w:rFonts w:ascii="Times New Roman" w:eastAsia="Times New Roman" w:hAnsi="Times New Roman" w:cs="Times New Roman"/>
                <w:i/>
                <w:iCs/>
                <w:sz w:val="18"/>
                <w:szCs w:val="18"/>
                <w:lang w:val="ro-RO" w:eastAsia="ro-MD"/>
              </w:rPr>
              <w:t>Proiectul HCE al BNM privind modificarea Regulamentului nr.111/2018</w:t>
            </w:r>
          </w:p>
        </w:tc>
        <w:tc>
          <w:tcPr>
            <w:tcW w:w="503" w:type="pct"/>
          </w:tcPr>
          <w:p w14:paraId="77A370C4" w14:textId="474F7ECE"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542A1925" w14:textId="4FC087AA"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6D9A587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0E52AF2" w14:textId="72BA8020" w:rsidR="00914DC9" w:rsidRPr="006F5136" w:rsidRDefault="00914DC9" w:rsidP="00914DC9">
            <w:pPr>
              <w:pStyle w:val="CM4"/>
              <w:tabs>
                <w:tab w:val="left" w:pos="150"/>
              </w:tabs>
              <w:ind w:left="-43"/>
              <w:jc w:val="both"/>
              <w:rPr>
                <w:rFonts w:ascii="Times New Roman" w:hAnsi="Times New Roman"/>
                <w:sz w:val="18"/>
                <w:szCs w:val="18"/>
                <w:lang w:eastAsia="ru-RU"/>
              </w:rPr>
            </w:pPr>
            <w:r w:rsidRPr="006F5136">
              <w:rPr>
                <w:rFonts w:ascii="Times New Roman" w:hAnsi="Times New Roman"/>
                <w:sz w:val="18"/>
                <w:szCs w:val="18"/>
                <w:lang w:eastAsia="ru-RU"/>
              </w:rPr>
              <w:t>(c) în cazul în care expunerile față de instituții nu se încadrează în clasa de rating A sau în clasa de rating B sau în cazul în care este îndeplinită oricare dintre condițiile următoare, expunerile față de instituții se încadrează în clasa de rating C:</w:t>
            </w:r>
          </w:p>
          <w:p w14:paraId="7BA64FA9" w14:textId="3C921BE9" w:rsidR="00914DC9" w:rsidRPr="006F5136" w:rsidRDefault="00914DC9" w:rsidP="00914DC9">
            <w:pPr>
              <w:pStyle w:val="CM4"/>
              <w:tabs>
                <w:tab w:val="left" w:pos="150"/>
              </w:tabs>
              <w:ind w:left="-43"/>
              <w:jc w:val="both"/>
              <w:rPr>
                <w:rFonts w:ascii="Times New Roman" w:hAnsi="Times New Roman"/>
                <w:sz w:val="18"/>
                <w:szCs w:val="18"/>
                <w:lang w:eastAsia="ru-RU"/>
              </w:rPr>
            </w:pPr>
            <w:r w:rsidRPr="006F5136">
              <w:rPr>
                <w:rFonts w:ascii="Times New Roman" w:hAnsi="Times New Roman"/>
                <w:sz w:val="18"/>
                <w:szCs w:val="18"/>
                <w:lang w:eastAsia="ru-RU"/>
              </w:rPr>
              <w:t xml:space="preserve">(i) instituția are riscuri de nerambursare semnificative și marje de siguranță </w:t>
            </w:r>
            <w:proofErr w:type="gramStart"/>
            <w:r w:rsidRPr="006F5136">
              <w:rPr>
                <w:rFonts w:ascii="Times New Roman" w:hAnsi="Times New Roman"/>
                <w:sz w:val="18"/>
                <w:szCs w:val="18"/>
                <w:lang w:eastAsia="ru-RU"/>
              </w:rPr>
              <w:t>limitate;</w:t>
            </w:r>
            <w:proofErr w:type="gramEnd"/>
          </w:p>
          <w:p w14:paraId="40523F32" w14:textId="1D9DFD65" w:rsidR="00914DC9" w:rsidRPr="006F5136" w:rsidRDefault="00914DC9" w:rsidP="00914DC9">
            <w:pPr>
              <w:pStyle w:val="CM4"/>
              <w:tabs>
                <w:tab w:val="left" w:pos="150"/>
              </w:tabs>
              <w:ind w:left="-43"/>
              <w:jc w:val="both"/>
              <w:rPr>
                <w:rFonts w:ascii="Times New Roman" w:hAnsi="Times New Roman"/>
                <w:sz w:val="18"/>
                <w:szCs w:val="18"/>
                <w:lang w:eastAsia="ru-RU"/>
              </w:rPr>
            </w:pPr>
            <w:r w:rsidRPr="006F5136">
              <w:rPr>
                <w:rFonts w:ascii="Times New Roman" w:hAnsi="Times New Roman"/>
                <w:sz w:val="18"/>
                <w:szCs w:val="18"/>
                <w:lang w:eastAsia="ru-RU"/>
              </w:rPr>
              <w:t xml:space="preserve">(ii) existența unor condiții comerciale, financiare sau economice nefavorabile este foarte susceptibilă să ducă sau a dus la incapacitatea instituției de a-și îndeplini angajamentele </w:t>
            </w:r>
            <w:proofErr w:type="gramStart"/>
            <w:r w:rsidRPr="006F5136">
              <w:rPr>
                <w:rFonts w:ascii="Times New Roman" w:hAnsi="Times New Roman"/>
                <w:sz w:val="18"/>
                <w:szCs w:val="18"/>
                <w:lang w:eastAsia="ru-RU"/>
              </w:rPr>
              <w:t>financiare;</w:t>
            </w:r>
            <w:proofErr w:type="gramEnd"/>
          </w:p>
          <w:p w14:paraId="688C7869" w14:textId="3A5241FC" w:rsidR="00914DC9" w:rsidRPr="006F5136" w:rsidRDefault="00914DC9" w:rsidP="00914DC9">
            <w:pPr>
              <w:pStyle w:val="CM4"/>
              <w:tabs>
                <w:tab w:val="left" w:pos="150"/>
              </w:tabs>
              <w:ind w:left="-43"/>
              <w:jc w:val="both"/>
              <w:rPr>
                <w:rFonts w:ascii="Times New Roman" w:hAnsi="Times New Roman"/>
                <w:sz w:val="18"/>
                <w:szCs w:val="18"/>
                <w:lang w:eastAsia="ru-RU"/>
              </w:rPr>
            </w:pPr>
            <w:r w:rsidRPr="006F5136">
              <w:rPr>
                <w:rFonts w:ascii="Times New Roman" w:hAnsi="Times New Roman"/>
                <w:sz w:val="18"/>
                <w:szCs w:val="18"/>
                <w:lang w:eastAsia="ru-RU"/>
              </w:rPr>
              <w:t xml:space="preserve">(iii) în cazul în care legea prevede auditarea situațiilor financiare ale instituției, auditorul extern </w:t>
            </w:r>
            <w:proofErr w:type="gramStart"/>
            <w:r w:rsidRPr="006F5136">
              <w:rPr>
                <w:rFonts w:ascii="Times New Roman" w:hAnsi="Times New Roman"/>
                <w:sz w:val="18"/>
                <w:szCs w:val="18"/>
                <w:lang w:eastAsia="ru-RU"/>
              </w:rPr>
              <w:t>a</w:t>
            </w:r>
            <w:proofErr w:type="gramEnd"/>
            <w:r w:rsidRPr="006F5136">
              <w:rPr>
                <w:rFonts w:ascii="Times New Roman" w:hAnsi="Times New Roman"/>
                <w:sz w:val="18"/>
                <w:szCs w:val="18"/>
                <w:lang w:eastAsia="ru-RU"/>
              </w:rPr>
              <w:t xml:space="preserve"> emis o opinie de audit contrară sau </w:t>
            </w:r>
            <w:proofErr w:type="gramStart"/>
            <w:r w:rsidRPr="006F5136">
              <w:rPr>
                <w:rFonts w:ascii="Times New Roman" w:hAnsi="Times New Roman"/>
                <w:sz w:val="18"/>
                <w:szCs w:val="18"/>
                <w:lang w:eastAsia="ru-RU"/>
              </w:rPr>
              <w:t>a</w:t>
            </w:r>
            <w:proofErr w:type="gramEnd"/>
            <w:r w:rsidRPr="006F5136">
              <w:rPr>
                <w:rFonts w:ascii="Times New Roman" w:hAnsi="Times New Roman"/>
                <w:sz w:val="18"/>
                <w:szCs w:val="18"/>
                <w:lang w:eastAsia="ru-RU"/>
              </w:rPr>
              <w:t xml:space="preserve"> exprimat îndoieli serioase privind capacitatea instituției de a-și continua activitatea în situațiile sale financiare auditate sau în rapoartele auditate pe care le-a redactat în ultimele 12 luni.</w:t>
            </w:r>
          </w:p>
          <w:p w14:paraId="0B2AB082" w14:textId="1730A1C4" w:rsidR="00914DC9" w:rsidRPr="006F5136" w:rsidRDefault="00914DC9" w:rsidP="00914DC9">
            <w:pPr>
              <w:pStyle w:val="CM4"/>
              <w:tabs>
                <w:tab w:val="left" w:pos="150"/>
              </w:tabs>
              <w:jc w:val="both"/>
              <w:rPr>
                <w:rFonts w:ascii="Times New Roman" w:hAnsi="Times New Roman"/>
                <w:sz w:val="18"/>
                <w:szCs w:val="18"/>
                <w:lang w:eastAsia="ru-RU"/>
              </w:rPr>
            </w:pPr>
          </w:p>
        </w:tc>
        <w:tc>
          <w:tcPr>
            <w:tcW w:w="1661" w:type="pct"/>
            <w:shd w:val="clear" w:color="auto" w:fill="auto"/>
          </w:tcPr>
          <w:p w14:paraId="501F6BEE" w14:textId="77777777" w:rsidR="00914DC9" w:rsidRPr="006F5136" w:rsidRDefault="00914DC9" w:rsidP="00914DC9">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b/>
                <w:bCs/>
                <w:iCs/>
                <w:sz w:val="18"/>
                <w:szCs w:val="18"/>
                <w:lang w:val="ro-RO"/>
              </w:rPr>
              <w:t>55</w:t>
            </w:r>
            <w:r w:rsidRPr="006F5136">
              <w:rPr>
                <w:rFonts w:ascii="Times New Roman" w:hAnsi="Times New Roman" w:cs="Times New Roman"/>
                <w:b/>
                <w:bCs/>
                <w:iCs/>
                <w:sz w:val="18"/>
                <w:szCs w:val="18"/>
                <w:vertAlign w:val="superscript"/>
                <w:lang w:val="ro-RO"/>
              </w:rPr>
              <w:t>4</w:t>
            </w:r>
            <w:r w:rsidRPr="006F5136">
              <w:rPr>
                <w:rFonts w:ascii="Times New Roman" w:hAnsi="Times New Roman" w:cs="Times New Roman"/>
                <w:b/>
                <w:bCs/>
                <w:iCs/>
                <w:sz w:val="18"/>
                <w:szCs w:val="18"/>
                <w:lang w:val="ro-RO"/>
              </w:rPr>
              <w:t>.</w:t>
            </w:r>
            <w:r w:rsidRPr="006F5136">
              <w:rPr>
                <w:rFonts w:ascii="Times New Roman" w:hAnsi="Times New Roman" w:cs="Times New Roman"/>
                <w:iCs/>
                <w:sz w:val="18"/>
                <w:szCs w:val="18"/>
                <w:lang w:val="ro-RO"/>
              </w:rPr>
              <w:t xml:space="preserve"> În cazul în care expunerile față de bănci nu se încadrează în clasa de rating A sau B, sau în cazul în care este îndeplinită oricare dintre condițiile următoare, expunerile față de bănci se încadrează în clasa de rating C:</w:t>
            </w:r>
          </w:p>
          <w:p w14:paraId="607C5B95" w14:textId="77777777" w:rsidR="00914DC9" w:rsidRPr="006F5136" w:rsidRDefault="00914DC9" w:rsidP="00914DC9">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1) banca are riscuri de nerambursare semnificative și marje de siguranță limitate;</w:t>
            </w:r>
          </w:p>
          <w:p w14:paraId="1DD24B6E" w14:textId="77777777" w:rsidR="00914DC9" w:rsidRPr="006F5136" w:rsidRDefault="00914DC9" w:rsidP="00914DC9">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2) existența unor condiții comerciale, financiare sau economice nefavorabile este foarte susceptibilă să ducă sau a dus la incapacitatea băncii de a-și îndeplini angajamentele financiare;</w:t>
            </w:r>
          </w:p>
          <w:p w14:paraId="1651E066" w14:textId="77777777" w:rsidR="00914DC9" w:rsidRPr="006F5136" w:rsidRDefault="00914DC9" w:rsidP="00914DC9">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3) auditorul extern a emis o opinie de audit contrară sau a exprimat îndoieli serioase privind capacitatea băncii de a-și continua activitatea, în situațiile sale financiare auditate sau în rapoartele auditate pe care le-a redactat în ultimele 12 luni.</w:t>
            </w:r>
          </w:p>
          <w:p w14:paraId="7FC21435" w14:textId="5E1A77A7" w:rsidR="00914DC9" w:rsidRPr="006F5136" w:rsidRDefault="00914DC9" w:rsidP="00914DC9">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eastAsia="Times New Roman" w:hAnsi="Times New Roman" w:cs="Times New Roman"/>
                <w:i/>
                <w:iCs/>
                <w:sz w:val="18"/>
                <w:szCs w:val="18"/>
                <w:lang w:val="ro-RO" w:eastAsia="ro-MD"/>
              </w:rPr>
              <w:t>Proiectul HCE al BNM privind modificarea Regulamentului nr.111/2018</w:t>
            </w:r>
          </w:p>
        </w:tc>
        <w:tc>
          <w:tcPr>
            <w:tcW w:w="503" w:type="pct"/>
          </w:tcPr>
          <w:p w14:paraId="538E432B" w14:textId="3A2709AD"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13B3A3A9" w14:textId="06AB0360"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76247AEE"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EA6CD0B" w14:textId="3FBA94C6" w:rsidR="00914DC9" w:rsidRPr="006F5136" w:rsidRDefault="00914DC9" w:rsidP="00914DC9">
            <w:pPr>
              <w:pStyle w:val="CM4"/>
              <w:tabs>
                <w:tab w:val="left" w:pos="150"/>
              </w:tabs>
              <w:ind w:left="-43"/>
              <w:jc w:val="both"/>
              <w:rPr>
                <w:rFonts w:ascii="Times New Roman" w:hAnsi="Times New Roman"/>
                <w:sz w:val="18"/>
                <w:szCs w:val="18"/>
                <w:lang w:eastAsia="ru-RU"/>
              </w:rPr>
            </w:pPr>
            <w:r w:rsidRPr="006F5136">
              <w:rPr>
                <w:rFonts w:ascii="Times New Roman" w:hAnsi="Times New Roman"/>
                <w:sz w:val="18"/>
                <w:szCs w:val="18"/>
                <w:lang w:eastAsia="ru-RU"/>
              </w:rPr>
              <w:t>În sensul primului paragraf litera (b) punctul (ii) de la prezentul alineat, cerințele locale de supraveghere sau de reglementare echivalente și suplimentare nu includ amortizoare de capital echivalente cu cele definite la articolul 128 din Directiva 2013/36/UE.</w:t>
            </w:r>
          </w:p>
        </w:tc>
        <w:tc>
          <w:tcPr>
            <w:tcW w:w="1661" w:type="pct"/>
            <w:shd w:val="clear" w:color="auto" w:fill="auto"/>
          </w:tcPr>
          <w:p w14:paraId="205A504F" w14:textId="77777777" w:rsidR="00914DC9" w:rsidRPr="006F5136" w:rsidRDefault="00914DC9" w:rsidP="00914DC9">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b/>
                <w:bCs/>
                <w:iCs/>
                <w:sz w:val="18"/>
                <w:szCs w:val="18"/>
                <w:lang w:val="ro-RO"/>
              </w:rPr>
              <w:t>55</w:t>
            </w:r>
            <w:r w:rsidRPr="006F5136">
              <w:rPr>
                <w:rFonts w:ascii="Times New Roman" w:hAnsi="Times New Roman" w:cs="Times New Roman"/>
                <w:b/>
                <w:bCs/>
                <w:iCs/>
                <w:sz w:val="18"/>
                <w:szCs w:val="18"/>
                <w:vertAlign w:val="superscript"/>
                <w:lang w:val="ro-RO"/>
              </w:rPr>
              <w:t>3</w:t>
            </w:r>
            <w:r w:rsidRPr="006F5136">
              <w:rPr>
                <w:rFonts w:ascii="Times New Roman" w:hAnsi="Times New Roman" w:cs="Times New Roman"/>
                <w:b/>
                <w:bCs/>
                <w:iCs/>
                <w:sz w:val="18"/>
                <w:szCs w:val="18"/>
                <w:lang w:val="ro-RO"/>
              </w:rPr>
              <w:t>.</w:t>
            </w:r>
            <w:r w:rsidRPr="006F5136">
              <w:rPr>
                <w:rFonts w:ascii="Times New Roman" w:hAnsi="Times New Roman" w:cs="Times New Roman"/>
                <w:iCs/>
                <w:sz w:val="18"/>
                <w:szCs w:val="18"/>
                <w:lang w:val="ro-RO"/>
              </w:rPr>
              <w:t xml:space="preserve"> În sensul punctului 55</w:t>
            </w:r>
            <w:r w:rsidRPr="006F5136">
              <w:rPr>
                <w:rFonts w:ascii="Times New Roman" w:hAnsi="Times New Roman" w:cs="Times New Roman"/>
                <w:iCs/>
                <w:sz w:val="18"/>
                <w:szCs w:val="18"/>
                <w:vertAlign w:val="superscript"/>
                <w:lang w:val="ro-RO"/>
              </w:rPr>
              <w:t>2</w:t>
            </w:r>
            <w:r w:rsidRPr="006F5136">
              <w:rPr>
                <w:rFonts w:ascii="Times New Roman" w:hAnsi="Times New Roman" w:cs="Times New Roman"/>
                <w:iCs/>
                <w:sz w:val="18"/>
                <w:szCs w:val="18"/>
                <w:lang w:val="ro-RO"/>
              </w:rPr>
              <w:t>, subpunctului 2), cerințele locale de supraveghere sau de reglementare echivalente și suplimentare nu includ amortizoare de capital echivalente cu cele definite în Regulamentul nr. 110/2018.</w:t>
            </w:r>
          </w:p>
          <w:p w14:paraId="10151D7A" w14:textId="43C7BCF1" w:rsidR="00914DC9" w:rsidRPr="006F5136" w:rsidRDefault="00914DC9" w:rsidP="00914DC9">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eastAsia="Times New Roman" w:hAnsi="Times New Roman" w:cs="Times New Roman"/>
                <w:i/>
                <w:iCs/>
                <w:sz w:val="18"/>
                <w:szCs w:val="18"/>
                <w:lang w:val="ro-RO" w:eastAsia="ro-MD"/>
              </w:rPr>
              <w:t>Proiectul HCE al BNM privind modificarea Regulamentului nr.111/2018</w:t>
            </w:r>
          </w:p>
        </w:tc>
        <w:tc>
          <w:tcPr>
            <w:tcW w:w="503" w:type="pct"/>
          </w:tcPr>
          <w:p w14:paraId="15189C2D" w14:textId="4076DB4A"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6C2C2F6E" w14:textId="2AC77861"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487100" w:rsidRPr="006F5136" w14:paraId="7309245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EFDA10C" w14:textId="70A9143D" w:rsidR="00487100" w:rsidRPr="006F5136" w:rsidRDefault="00487100" w:rsidP="005E4694">
            <w:pPr>
              <w:pStyle w:val="CM4"/>
              <w:tabs>
                <w:tab w:val="left" w:pos="150"/>
              </w:tabs>
              <w:ind w:left="-43"/>
              <w:jc w:val="both"/>
              <w:rPr>
                <w:rFonts w:ascii="Times New Roman" w:hAnsi="Times New Roman"/>
                <w:sz w:val="18"/>
                <w:szCs w:val="18"/>
                <w:lang w:eastAsia="ru-RU"/>
              </w:rPr>
            </w:pPr>
            <w:r w:rsidRPr="006F5136">
              <w:rPr>
                <w:rFonts w:ascii="Times New Roman" w:hAnsi="Times New Roman"/>
                <w:sz w:val="18"/>
                <w:szCs w:val="18"/>
                <w:lang w:eastAsia="ru-RU"/>
              </w:rPr>
              <w:t xml:space="preserve">(2)   În cazul expunerilor față de instituții financiare care sunt tratate ca expuneri față de instituții în conformitate cu articolul 119 alineatul (5), pentru </w:t>
            </w:r>
            <w:proofErr w:type="gramStart"/>
            <w:r w:rsidRPr="006F5136">
              <w:rPr>
                <w:rFonts w:ascii="Times New Roman" w:hAnsi="Times New Roman"/>
                <w:sz w:val="18"/>
                <w:szCs w:val="18"/>
                <w:lang w:eastAsia="ru-RU"/>
              </w:rPr>
              <w:t>a</w:t>
            </w:r>
            <w:proofErr w:type="gramEnd"/>
            <w:r w:rsidRPr="006F5136">
              <w:rPr>
                <w:rFonts w:ascii="Times New Roman" w:hAnsi="Times New Roman"/>
                <w:sz w:val="18"/>
                <w:szCs w:val="18"/>
                <w:lang w:eastAsia="ru-RU"/>
              </w:rPr>
              <w:t xml:space="preserve"> evalua dacă respectivele instituții financiare îndeplinesc condițiile prevăzute la alineatul (1) litera (a) punctul (ii) și la alineatul (1) litera (b) punctul (ii) de la prezentul articol, instituțiile evaluează dacă respectivele instituții financiare îndeplinesc sau depășesc orice cerințe prudențiale comparabile.</w:t>
            </w:r>
          </w:p>
        </w:tc>
        <w:tc>
          <w:tcPr>
            <w:tcW w:w="1661" w:type="pct"/>
            <w:shd w:val="clear" w:color="auto" w:fill="auto"/>
          </w:tcPr>
          <w:p w14:paraId="664E8200" w14:textId="77777777" w:rsidR="00487100" w:rsidRPr="006F5136" w:rsidRDefault="00A2713C" w:rsidP="005E4694">
            <w:pPr>
              <w:tabs>
                <w:tab w:val="left" w:pos="540"/>
                <w:tab w:val="left" w:pos="3900"/>
              </w:tabs>
              <w:spacing w:after="0" w:line="240" w:lineRule="auto"/>
              <w:rPr>
                <w:rFonts w:ascii="Times New Roman" w:hAnsi="Times New Roman" w:cs="Times New Roman"/>
                <w:iCs/>
                <w:sz w:val="18"/>
                <w:szCs w:val="18"/>
                <w:lang w:val="ro-RO"/>
              </w:rPr>
            </w:pPr>
            <w:r w:rsidRPr="006F5136">
              <w:rPr>
                <w:rFonts w:ascii="Times New Roman" w:hAnsi="Times New Roman" w:cs="Times New Roman"/>
                <w:b/>
                <w:bCs/>
                <w:iCs/>
                <w:sz w:val="18"/>
                <w:szCs w:val="18"/>
                <w:lang w:val="ro-RO"/>
              </w:rPr>
              <w:t>56.</w:t>
            </w:r>
            <w:r w:rsidRPr="006F5136">
              <w:rPr>
                <w:rFonts w:ascii="Times New Roman" w:hAnsi="Times New Roman" w:cs="Times New Roman"/>
                <w:iCs/>
                <w:sz w:val="18"/>
                <w:szCs w:val="18"/>
                <w:lang w:val="ro-RO"/>
              </w:rPr>
              <w:t xml:space="preserve"> În cazul expunerilor față de societățile de investiții care sunt tratate ca expuneri față de bănci în conformitate cu punctul 51, pentru a evalua dacă acestea îndeplinesc condițiile prevăzute la punctul 55</w:t>
            </w:r>
            <w:r w:rsidRPr="006F5136">
              <w:rPr>
                <w:rFonts w:ascii="Times New Roman" w:hAnsi="Times New Roman" w:cs="Times New Roman"/>
                <w:iCs/>
                <w:sz w:val="18"/>
                <w:szCs w:val="18"/>
                <w:vertAlign w:val="superscript"/>
                <w:lang w:val="ro-RO"/>
              </w:rPr>
              <w:t>1</w:t>
            </w:r>
            <w:r w:rsidRPr="006F5136">
              <w:rPr>
                <w:rFonts w:ascii="Times New Roman" w:hAnsi="Times New Roman" w:cs="Times New Roman"/>
                <w:iCs/>
                <w:sz w:val="18"/>
                <w:szCs w:val="18"/>
                <w:lang w:val="ro-RO"/>
              </w:rPr>
              <w:t xml:space="preserve"> subpunctul 2) și punctul 55</w:t>
            </w:r>
            <w:r w:rsidRPr="006F5136">
              <w:rPr>
                <w:rFonts w:ascii="Times New Roman" w:hAnsi="Times New Roman" w:cs="Times New Roman"/>
                <w:iCs/>
                <w:sz w:val="18"/>
                <w:szCs w:val="18"/>
                <w:vertAlign w:val="superscript"/>
                <w:lang w:val="ro-RO"/>
              </w:rPr>
              <w:t>2</w:t>
            </w:r>
            <w:r w:rsidRPr="006F5136">
              <w:rPr>
                <w:rFonts w:ascii="Times New Roman" w:hAnsi="Times New Roman" w:cs="Times New Roman"/>
                <w:iCs/>
                <w:sz w:val="18"/>
                <w:szCs w:val="18"/>
                <w:lang w:val="ro-RO"/>
              </w:rPr>
              <w:t xml:space="preserve"> subpunctul 2), băncile evaluează dacă respectivele societăți de investiții îndeplinesc sau depășesc orice cerințe prudențiale comparabile.</w:t>
            </w:r>
          </w:p>
          <w:p w14:paraId="73183541" w14:textId="0F7888AB" w:rsidR="00C91941" w:rsidRPr="006F5136" w:rsidRDefault="00C91941" w:rsidP="005E4694">
            <w:pPr>
              <w:tabs>
                <w:tab w:val="left" w:pos="540"/>
                <w:tab w:val="left" w:pos="3900"/>
              </w:tabs>
              <w:spacing w:after="0" w:line="240" w:lineRule="auto"/>
              <w:rPr>
                <w:rFonts w:ascii="Times New Roman" w:hAnsi="Times New Roman" w:cs="Times New Roman"/>
                <w:iCs/>
                <w:sz w:val="18"/>
                <w:szCs w:val="18"/>
                <w:lang w:val="ro-RO"/>
              </w:rPr>
            </w:pPr>
            <w:r w:rsidRPr="006F5136">
              <w:rPr>
                <w:rFonts w:ascii="Times New Roman" w:eastAsia="Times New Roman" w:hAnsi="Times New Roman" w:cs="Times New Roman"/>
                <w:i/>
                <w:iCs/>
                <w:sz w:val="18"/>
                <w:szCs w:val="18"/>
                <w:lang w:val="ro-RO" w:eastAsia="ro-MD"/>
              </w:rPr>
              <w:t>Modificat prin proiectul HCE al BNM privind modificarea Regulamentului nr.111/2018</w:t>
            </w:r>
          </w:p>
        </w:tc>
        <w:tc>
          <w:tcPr>
            <w:tcW w:w="503" w:type="pct"/>
          </w:tcPr>
          <w:p w14:paraId="02BFEE09" w14:textId="71AADBCF" w:rsidR="00487100" w:rsidRPr="006F5136" w:rsidRDefault="00C9194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181B86A5" w14:textId="6E382FF6" w:rsidR="00487100" w:rsidRPr="006F5136" w:rsidRDefault="00C91941"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487100" w:rsidRPr="006F5136" w14:paraId="61FC3FC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AEC9FCD" w14:textId="77777777" w:rsidR="00487100" w:rsidRPr="006F5136" w:rsidRDefault="00487100" w:rsidP="005E4694">
            <w:pPr>
              <w:pStyle w:val="CM4"/>
              <w:tabs>
                <w:tab w:val="left" w:pos="150"/>
              </w:tabs>
              <w:ind w:left="-43"/>
              <w:jc w:val="both"/>
              <w:rPr>
                <w:rFonts w:ascii="Times New Roman" w:hAnsi="Times New Roman"/>
                <w:sz w:val="18"/>
                <w:szCs w:val="18"/>
                <w:lang w:eastAsia="ru-RU"/>
              </w:rPr>
            </w:pPr>
            <w:r w:rsidRPr="006F5136">
              <w:rPr>
                <w:rFonts w:ascii="Times New Roman" w:hAnsi="Times New Roman"/>
                <w:sz w:val="18"/>
                <w:szCs w:val="18"/>
                <w:lang w:eastAsia="ru-RU"/>
              </w:rPr>
              <w:t>(3)   Expunerile încadrate în clasa de rating A, B sau C în conformitate cu alineatul (1) primesc o pondere de risc după cum urmează:</w:t>
            </w:r>
          </w:p>
          <w:p w14:paraId="2B9EA361" w14:textId="547D2659" w:rsidR="00487100" w:rsidRPr="006F5136" w:rsidRDefault="00487100" w:rsidP="005E4694">
            <w:pPr>
              <w:pStyle w:val="CM4"/>
              <w:tabs>
                <w:tab w:val="left" w:pos="150"/>
              </w:tabs>
              <w:ind w:left="-43"/>
              <w:jc w:val="both"/>
              <w:rPr>
                <w:rFonts w:ascii="Times New Roman" w:hAnsi="Times New Roman"/>
                <w:sz w:val="18"/>
                <w:szCs w:val="18"/>
                <w:lang w:eastAsia="ru-RU"/>
              </w:rPr>
            </w:pPr>
            <w:r w:rsidRPr="006F5136">
              <w:rPr>
                <w:rFonts w:ascii="Times New Roman" w:hAnsi="Times New Roman"/>
                <w:sz w:val="18"/>
                <w:szCs w:val="18"/>
                <w:lang w:eastAsia="ru-RU"/>
              </w:rPr>
              <w:t>(a) expunerile încadrate în clasa de rating A, B sau C care îndeplinesc oricare dintre următoarele condiții primesc o pondere de risc pentru expunerile pe termen scurt în conformitate cu tabelul 1:</w:t>
            </w:r>
          </w:p>
          <w:p w14:paraId="2E18B4A7" w14:textId="1C5D5157" w:rsidR="00487100" w:rsidRPr="006F5136" w:rsidRDefault="00487100" w:rsidP="005E4694">
            <w:pPr>
              <w:pStyle w:val="CM4"/>
              <w:tabs>
                <w:tab w:val="left" w:pos="150"/>
              </w:tabs>
              <w:ind w:left="-43"/>
              <w:jc w:val="both"/>
              <w:rPr>
                <w:rFonts w:ascii="Times New Roman" w:hAnsi="Times New Roman"/>
                <w:sz w:val="18"/>
                <w:szCs w:val="18"/>
                <w:lang w:eastAsia="ru-RU"/>
              </w:rPr>
            </w:pPr>
            <w:r w:rsidRPr="006F5136">
              <w:rPr>
                <w:rFonts w:ascii="Times New Roman" w:hAnsi="Times New Roman"/>
                <w:sz w:val="18"/>
                <w:szCs w:val="18"/>
                <w:lang w:eastAsia="ru-RU"/>
              </w:rPr>
              <w:t xml:space="preserve">(i) expunerea are o scadență inițială de cel mult trei </w:t>
            </w:r>
            <w:proofErr w:type="gramStart"/>
            <w:r w:rsidRPr="006F5136">
              <w:rPr>
                <w:rFonts w:ascii="Times New Roman" w:hAnsi="Times New Roman"/>
                <w:sz w:val="18"/>
                <w:szCs w:val="18"/>
                <w:lang w:eastAsia="ru-RU"/>
              </w:rPr>
              <w:t>luni;</w:t>
            </w:r>
            <w:proofErr w:type="gramEnd"/>
          </w:p>
          <w:p w14:paraId="1E3547B0" w14:textId="3E4E646A" w:rsidR="00487100" w:rsidRPr="006F5136" w:rsidRDefault="00487100" w:rsidP="005E4694">
            <w:pPr>
              <w:pStyle w:val="CM4"/>
              <w:tabs>
                <w:tab w:val="left" w:pos="150"/>
              </w:tabs>
              <w:ind w:left="-43"/>
              <w:jc w:val="both"/>
              <w:rPr>
                <w:rFonts w:ascii="Times New Roman" w:hAnsi="Times New Roman"/>
                <w:sz w:val="18"/>
                <w:szCs w:val="18"/>
                <w:lang w:eastAsia="ru-RU"/>
              </w:rPr>
            </w:pPr>
            <w:r w:rsidRPr="006F5136">
              <w:rPr>
                <w:rFonts w:ascii="Times New Roman" w:hAnsi="Times New Roman"/>
                <w:sz w:val="18"/>
                <w:szCs w:val="18"/>
                <w:lang w:eastAsia="ru-RU"/>
              </w:rPr>
              <w:t xml:space="preserve">(ii) expunerea are o scadență inițială de cel mult șase luni și rezultă din circulația mărfurilor peste frontierele </w:t>
            </w:r>
            <w:proofErr w:type="gramStart"/>
            <w:r w:rsidRPr="006F5136">
              <w:rPr>
                <w:rFonts w:ascii="Times New Roman" w:hAnsi="Times New Roman"/>
                <w:sz w:val="18"/>
                <w:szCs w:val="18"/>
                <w:lang w:eastAsia="ru-RU"/>
              </w:rPr>
              <w:t>naționale;</w:t>
            </w:r>
            <w:proofErr w:type="gramEnd"/>
          </w:p>
          <w:p w14:paraId="2E3B7CE5" w14:textId="7201983C" w:rsidR="00487100" w:rsidRPr="006F5136" w:rsidRDefault="00487100" w:rsidP="005E4694">
            <w:pPr>
              <w:pStyle w:val="CM4"/>
              <w:tabs>
                <w:tab w:val="left" w:pos="150"/>
              </w:tabs>
              <w:ind w:left="-43"/>
              <w:jc w:val="both"/>
              <w:rPr>
                <w:rFonts w:ascii="Times New Roman" w:hAnsi="Times New Roman"/>
                <w:sz w:val="18"/>
                <w:szCs w:val="18"/>
                <w:lang w:eastAsia="ru-RU"/>
              </w:rPr>
            </w:pPr>
            <w:r w:rsidRPr="006F5136">
              <w:rPr>
                <w:rFonts w:ascii="Times New Roman" w:hAnsi="Times New Roman"/>
                <w:sz w:val="18"/>
                <w:szCs w:val="18"/>
                <w:lang w:eastAsia="ru-RU"/>
              </w:rPr>
              <w:t>(b) expunerile încadrate în clasa de rating A care nu sunt expuneri pe termen scurt primesc o pondere de risc de 30 % dacă sunt îndeplinite toate condițiile următoare:</w:t>
            </w:r>
          </w:p>
          <w:p w14:paraId="623E246F" w14:textId="05DAC26F" w:rsidR="00487100" w:rsidRPr="006F5136" w:rsidRDefault="00487100" w:rsidP="005E4694">
            <w:pPr>
              <w:pStyle w:val="CM4"/>
              <w:tabs>
                <w:tab w:val="left" w:pos="150"/>
              </w:tabs>
              <w:ind w:left="-43"/>
              <w:jc w:val="both"/>
              <w:rPr>
                <w:rFonts w:ascii="Times New Roman" w:hAnsi="Times New Roman"/>
                <w:sz w:val="18"/>
                <w:szCs w:val="18"/>
                <w:lang w:eastAsia="ru-RU"/>
              </w:rPr>
            </w:pPr>
            <w:r w:rsidRPr="006F5136">
              <w:rPr>
                <w:rFonts w:ascii="Times New Roman" w:hAnsi="Times New Roman"/>
                <w:sz w:val="18"/>
                <w:szCs w:val="18"/>
                <w:lang w:eastAsia="ru-RU"/>
              </w:rPr>
              <w:t>(i) expunerea nu îndeplinește niciuna dintre condițiile prevăzute la litera (a</w:t>
            </w:r>
            <w:proofErr w:type="gramStart"/>
            <w:r w:rsidRPr="006F5136">
              <w:rPr>
                <w:rFonts w:ascii="Times New Roman" w:hAnsi="Times New Roman"/>
                <w:sz w:val="18"/>
                <w:szCs w:val="18"/>
                <w:lang w:eastAsia="ru-RU"/>
              </w:rPr>
              <w:t>);</w:t>
            </w:r>
            <w:proofErr w:type="gramEnd"/>
          </w:p>
          <w:p w14:paraId="2DD7EE4E" w14:textId="6BA53A1F" w:rsidR="00487100" w:rsidRPr="006F5136" w:rsidRDefault="00487100" w:rsidP="005E4694">
            <w:pPr>
              <w:pStyle w:val="CM4"/>
              <w:tabs>
                <w:tab w:val="left" w:pos="150"/>
              </w:tabs>
              <w:ind w:left="-43"/>
              <w:jc w:val="both"/>
              <w:rPr>
                <w:rFonts w:ascii="Times New Roman" w:hAnsi="Times New Roman"/>
                <w:sz w:val="18"/>
                <w:szCs w:val="18"/>
                <w:lang w:eastAsia="ru-RU"/>
              </w:rPr>
            </w:pPr>
            <w:r w:rsidRPr="006F5136">
              <w:rPr>
                <w:rFonts w:ascii="Times New Roman" w:hAnsi="Times New Roman"/>
                <w:sz w:val="18"/>
                <w:szCs w:val="18"/>
                <w:lang w:eastAsia="ru-RU"/>
              </w:rPr>
              <w:t xml:space="preserve">(ii) rata fondurilor proprii de nivel 1 de bază </w:t>
            </w:r>
            <w:proofErr w:type="gramStart"/>
            <w:r w:rsidRPr="006F5136">
              <w:rPr>
                <w:rFonts w:ascii="Times New Roman" w:hAnsi="Times New Roman"/>
                <w:sz w:val="18"/>
                <w:szCs w:val="18"/>
                <w:lang w:eastAsia="ru-RU"/>
              </w:rPr>
              <w:t>a</w:t>
            </w:r>
            <w:proofErr w:type="gramEnd"/>
            <w:r w:rsidRPr="006F5136">
              <w:rPr>
                <w:rFonts w:ascii="Times New Roman" w:hAnsi="Times New Roman"/>
                <w:sz w:val="18"/>
                <w:szCs w:val="18"/>
                <w:lang w:eastAsia="ru-RU"/>
              </w:rPr>
              <w:t xml:space="preserve"> instituției este mai mare sau egală cu </w:t>
            </w:r>
            <w:proofErr w:type="gramStart"/>
            <w:r w:rsidRPr="006F5136">
              <w:rPr>
                <w:rFonts w:ascii="Times New Roman" w:hAnsi="Times New Roman"/>
                <w:sz w:val="18"/>
                <w:szCs w:val="18"/>
                <w:lang w:eastAsia="ru-RU"/>
              </w:rPr>
              <w:t>14 %;</w:t>
            </w:r>
            <w:proofErr w:type="gramEnd"/>
          </w:p>
          <w:p w14:paraId="6E7F9455" w14:textId="45AA0562" w:rsidR="00487100" w:rsidRPr="006F5136" w:rsidRDefault="00487100" w:rsidP="005E4694">
            <w:pPr>
              <w:pStyle w:val="CM4"/>
              <w:tabs>
                <w:tab w:val="left" w:pos="150"/>
              </w:tabs>
              <w:ind w:left="-43"/>
              <w:jc w:val="both"/>
              <w:rPr>
                <w:rFonts w:ascii="Times New Roman" w:hAnsi="Times New Roman"/>
                <w:sz w:val="18"/>
                <w:szCs w:val="18"/>
                <w:lang w:eastAsia="ru-RU"/>
              </w:rPr>
            </w:pPr>
            <w:r w:rsidRPr="006F5136">
              <w:rPr>
                <w:rFonts w:ascii="Times New Roman" w:hAnsi="Times New Roman"/>
                <w:sz w:val="18"/>
                <w:szCs w:val="18"/>
                <w:lang w:eastAsia="ru-RU"/>
              </w:rPr>
              <w:t xml:space="preserve">(iii) indicatorul efectului de levier al instituției este egal sau mai mare de </w:t>
            </w:r>
            <w:proofErr w:type="gramStart"/>
            <w:r w:rsidRPr="006F5136">
              <w:rPr>
                <w:rFonts w:ascii="Times New Roman" w:hAnsi="Times New Roman"/>
                <w:sz w:val="18"/>
                <w:szCs w:val="18"/>
                <w:lang w:eastAsia="ru-RU"/>
              </w:rPr>
              <w:t>5 %;</w:t>
            </w:r>
            <w:proofErr w:type="gramEnd"/>
          </w:p>
          <w:p w14:paraId="2995B89E" w14:textId="6F16365D" w:rsidR="00487100" w:rsidRPr="006F5136" w:rsidRDefault="00487100" w:rsidP="005E4694">
            <w:pPr>
              <w:pStyle w:val="CM4"/>
              <w:tabs>
                <w:tab w:val="left" w:pos="150"/>
              </w:tabs>
              <w:ind w:left="-43"/>
              <w:jc w:val="both"/>
              <w:rPr>
                <w:rFonts w:ascii="Times New Roman" w:hAnsi="Times New Roman"/>
                <w:sz w:val="18"/>
                <w:szCs w:val="18"/>
                <w:lang w:eastAsia="ru-RU"/>
              </w:rPr>
            </w:pPr>
            <w:r w:rsidRPr="006F5136">
              <w:rPr>
                <w:rFonts w:ascii="Times New Roman" w:hAnsi="Times New Roman"/>
                <w:sz w:val="18"/>
                <w:szCs w:val="18"/>
                <w:lang w:eastAsia="ru-RU"/>
              </w:rPr>
              <w:t>(c) expunerile încadrate în clasa de rating A, B sau C care nu îndeplinesc condițiile prevăzute la litera (a) sau (b) primesc o pondere de risc în conformitate cu tabelul 1.</w:t>
            </w:r>
          </w:p>
        </w:tc>
        <w:tc>
          <w:tcPr>
            <w:tcW w:w="1661" w:type="pct"/>
            <w:shd w:val="clear" w:color="auto" w:fill="auto"/>
          </w:tcPr>
          <w:p w14:paraId="1C9A008C" w14:textId="77777777" w:rsidR="00A2713C" w:rsidRPr="006F5136" w:rsidRDefault="00A2713C" w:rsidP="005E4694">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b/>
                <w:bCs/>
                <w:iCs/>
                <w:sz w:val="18"/>
                <w:szCs w:val="18"/>
                <w:lang w:val="ro-RO"/>
              </w:rPr>
              <w:t>57.</w:t>
            </w:r>
            <w:r w:rsidRPr="006F5136">
              <w:rPr>
                <w:rFonts w:ascii="Times New Roman" w:hAnsi="Times New Roman" w:cs="Times New Roman"/>
                <w:iCs/>
                <w:sz w:val="18"/>
                <w:szCs w:val="18"/>
                <w:lang w:val="ro-RO"/>
              </w:rPr>
              <w:t xml:space="preserve"> Expunerile încadrate în clasa de rating A, B sau C primesc o pondere de risc după cum urmează:</w:t>
            </w:r>
          </w:p>
          <w:p w14:paraId="5B13CA22" w14:textId="77777777" w:rsidR="00A2713C" w:rsidRPr="006F5136" w:rsidRDefault="00A2713C" w:rsidP="005E4694">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1) expunerile încadrate în clasa de rating A, B sau C care îndeplinesc oricare dintre următoarele condiții primesc o pondere de risc pentru expunerile pe termen scurt în conformitate cu tabelul nr.5:</w:t>
            </w:r>
          </w:p>
          <w:p w14:paraId="213E5AF0" w14:textId="77777777" w:rsidR="00A2713C" w:rsidRPr="006F5136" w:rsidRDefault="00A2713C" w:rsidP="005E4694">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a) expunerea are o scadență inițială de cel mult trei luni;</w:t>
            </w:r>
          </w:p>
          <w:p w14:paraId="703361D5" w14:textId="77777777" w:rsidR="00A2713C" w:rsidRPr="006F5136" w:rsidRDefault="00A2713C" w:rsidP="005E4694">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b) expunerea are o scadență inițială de cel mult șase luni și rezultă din circulația mărfurilor peste frontierele naționale;</w:t>
            </w:r>
          </w:p>
          <w:p w14:paraId="7E3D0E81" w14:textId="77777777" w:rsidR="00A2713C" w:rsidRPr="006F5136" w:rsidRDefault="00A2713C" w:rsidP="005E4694">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2) expunerile încadrate în clasa de rating A care nu sunt expuneri pe termen scurt primesc o pondere de risc de 30 % dacă sunt îndeplinite cumulativ următoarele condiții:</w:t>
            </w:r>
          </w:p>
          <w:p w14:paraId="07625AE3" w14:textId="77777777" w:rsidR="00A2713C" w:rsidRPr="006F5136" w:rsidRDefault="00A2713C" w:rsidP="005E4694">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a) expunerea nu îndeplinește niciuna dintre condițiile prevăzute la subpunctul 1);</w:t>
            </w:r>
          </w:p>
          <w:p w14:paraId="634558DB" w14:textId="77777777" w:rsidR="00A2713C" w:rsidRPr="006F5136" w:rsidRDefault="00A2713C" w:rsidP="005E4694">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b) rata fondurilor proprii de nivel 1 de bază a băncii este mai mare sau egală cu 14 %;</w:t>
            </w:r>
          </w:p>
          <w:p w14:paraId="766EB1B5" w14:textId="77777777" w:rsidR="00A2713C" w:rsidRPr="006F5136" w:rsidRDefault="00A2713C" w:rsidP="005E4694">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 indicatorul efectului de levier al băncii este egal sau mai mare de 5 %;</w:t>
            </w:r>
          </w:p>
          <w:p w14:paraId="30574494" w14:textId="77777777" w:rsidR="00487100" w:rsidRPr="006F5136" w:rsidRDefault="00A2713C" w:rsidP="005E4694">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3) expunerile încadrate în clasa de rating A, B sau C care nu îndeplinesc condițiile prevăzute la subpunctul 1) sau 2) primesc o pondere de risc, în conformitate cu tabelul nr.5</w:t>
            </w:r>
          </w:p>
          <w:p w14:paraId="6FD85365" w14:textId="1EEEC187" w:rsidR="0085595E" w:rsidRPr="006F5136" w:rsidRDefault="0085595E" w:rsidP="005E4694">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eastAsia="Times New Roman" w:hAnsi="Times New Roman" w:cs="Times New Roman"/>
                <w:i/>
                <w:iCs/>
                <w:sz w:val="18"/>
                <w:szCs w:val="18"/>
                <w:lang w:val="ro-RO" w:eastAsia="ro-MD"/>
              </w:rPr>
              <w:t>Modificat prin proiectul HCE al BNM privind modificarea Regulamentului nr.111/2018</w:t>
            </w:r>
          </w:p>
        </w:tc>
        <w:tc>
          <w:tcPr>
            <w:tcW w:w="503" w:type="pct"/>
          </w:tcPr>
          <w:p w14:paraId="59044D44" w14:textId="38B1488F" w:rsidR="00487100" w:rsidRPr="006F5136" w:rsidRDefault="0085595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1515020C" w14:textId="4CD04CF0" w:rsidR="00487100" w:rsidRPr="006F5136" w:rsidRDefault="0085595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487100" w:rsidRPr="006F5136" w14:paraId="29D4613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6"/>
        </w:trPr>
        <w:tc>
          <w:tcPr>
            <w:tcW w:w="1924" w:type="pct"/>
          </w:tcPr>
          <w:p w14:paraId="504F105D" w14:textId="77777777" w:rsidR="00487100" w:rsidRPr="006F5136" w:rsidRDefault="00487100" w:rsidP="005E4694">
            <w:pPr>
              <w:pStyle w:val="CM4"/>
              <w:tabs>
                <w:tab w:val="left" w:pos="150"/>
              </w:tabs>
              <w:ind w:left="-43"/>
              <w:jc w:val="both"/>
              <w:rPr>
                <w:rFonts w:ascii="Times New Roman" w:hAnsi="Times New Roman"/>
                <w:sz w:val="18"/>
                <w:szCs w:val="18"/>
                <w:lang w:eastAsia="ru-RU"/>
              </w:rPr>
            </w:pPr>
            <w:r w:rsidRPr="006F5136">
              <w:rPr>
                <w:rFonts w:ascii="Times New Roman" w:hAnsi="Times New Roman"/>
                <w:sz w:val="18"/>
                <w:szCs w:val="18"/>
                <w:lang w:eastAsia="ru-RU"/>
              </w:rPr>
              <w:t>În cazul în care o expunere față de o instituție nu este denominată în moneda națională a jurisdicției de înregistrare a instituției respective sau în cazul în care instituția respectivă a înregistrat obligația din credite într-o sucursală dintr-o altă jurisdicție, iar expunerea nu este în moneda națională a jurisdicției în care își desfășoară activitatea sucursala, ponderea de risc atribuită în conformitate cu litera (a), (b) sau (c) expunerilor diferite de cele cu o scadență de cel mult un an rezultate din elemente contingente legate de comerț care se lichidează de la sine care decurg din circulația mărfurilor peste frontierele naționale nu poate fi mai scăzută decât ponderea de risc a unei expuneri față de administrația centrală a țării în care este înregistrată instituția.</w:t>
            </w:r>
          </w:p>
          <w:tbl>
            <w:tblPr>
              <w:tblW w:w="43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369"/>
              <w:gridCol w:w="696"/>
              <w:gridCol w:w="861"/>
              <w:gridCol w:w="836"/>
            </w:tblGrid>
            <w:tr w:rsidR="00487100" w:rsidRPr="006F5136" w14:paraId="0849CA32" w14:textId="77777777" w:rsidTr="00487100">
              <w:trPr>
                <w:jc w:val="center"/>
              </w:trPr>
              <w:tc>
                <w:tcPr>
                  <w:tcW w:w="2412" w:type="dxa"/>
                  <w:shd w:val="clear" w:color="auto" w:fill="FFFFFF"/>
                  <w:tcMar>
                    <w:top w:w="30" w:type="dxa"/>
                    <w:left w:w="75" w:type="dxa"/>
                    <w:bottom w:w="30" w:type="dxa"/>
                    <w:right w:w="30" w:type="dxa"/>
                  </w:tcMar>
                  <w:hideMark/>
                </w:tcPr>
                <w:p w14:paraId="39F784D5" w14:textId="1DB17141" w:rsidR="00487100" w:rsidRPr="006F5136" w:rsidRDefault="004871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Evaluarea riscului de credit</w:t>
                  </w:r>
                </w:p>
              </w:tc>
              <w:tc>
                <w:tcPr>
                  <w:tcW w:w="707" w:type="dxa"/>
                  <w:shd w:val="clear" w:color="auto" w:fill="FFFFFF"/>
                  <w:tcMar>
                    <w:top w:w="30" w:type="dxa"/>
                    <w:left w:w="75" w:type="dxa"/>
                    <w:bottom w:w="30" w:type="dxa"/>
                    <w:right w:w="30" w:type="dxa"/>
                  </w:tcMar>
                  <w:hideMark/>
                </w:tcPr>
                <w:p w14:paraId="67AFB2FF" w14:textId="2C9104A6" w:rsidR="00487100" w:rsidRPr="006F5136" w:rsidRDefault="004871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Clasa de rating A</w:t>
                  </w:r>
                </w:p>
              </w:tc>
              <w:tc>
                <w:tcPr>
                  <w:tcW w:w="875" w:type="dxa"/>
                  <w:shd w:val="clear" w:color="auto" w:fill="FFFFFF"/>
                  <w:tcMar>
                    <w:top w:w="30" w:type="dxa"/>
                    <w:left w:w="75" w:type="dxa"/>
                    <w:bottom w:w="30" w:type="dxa"/>
                    <w:right w:w="30" w:type="dxa"/>
                  </w:tcMar>
                  <w:hideMark/>
                </w:tcPr>
                <w:p w14:paraId="5A72D5C0" w14:textId="0EE51EBD" w:rsidR="00487100" w:rsidRPr="006F5136" w:rsidRDefault="004871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Clasa de rating B</w:t>
                  </w:r>
                </w:p>
              </w:tc>
              <w:tc>
                <w:tcPr>
                  <w:tcW w:w="850" w:type="dxa"/>
                  <w:shd w:val="clear" w:color="auto" w:fill="FFFFFF"/>
                  <w:tcMar>
                    <w:top w:w="30" w:type="dxa"/>
                    <w:left w:w="75" w:type="dxa"/>
                    <w:bottom w:w="30" w:type="dxa"/>
                    <w:right w:w="30" w:type="dxa"/>
                  </w:tcMar>
                  <w:hideMark/>
                </w:tcPr>
                <w:p w14:paraId="027EFCEC" w14:textId="098DA661" w:rsidR="00487100" w:rsidRPr="006F5136" w:rsidRDefault="004871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Clasa de rating C</w:t>
                  </w:r>
                </w:p>
              </w:tc>
            </w:tr>
            <w:tr w:rsidR="00487100" w:rsidRPr="006F5136" w14:paraId="5D1577B4" w14:textId="77777777" w:rsidTr="00487100">
              <w:trPr>
                <w:jc w:val="center"/>
              </w:trPr>
              <w:tc>
                <w:tcPr>
                  <w:tcW w:w="2412" w:type="dxa"/>
                  <w:shd w:val="clear" w:color="auto" w:fill="FFFFFF"/>
                  <w:tcMar>
                    <w:top w:w="30" w:type="dxa"/>
                    <w:left w:w="75" w:type="dxa"/>
                    <w:bottom w:w="30" w:type="dxa"/>
                    <w:right w:w="30" w:type="dxa"/>
                  </w:tcMar>
                  <w:hideMark/>
                </w:tcPr>
                <w:p w14:paraId="11DE92D2" w14:textId="758B90A0" w:rsidR="00487100" w:rsidRPr="006F5136" w:rsidRDefault="004871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Ponderea de risc a expunerii pe termen scurt</w:t>
                  </w:r>
                </w:p>
              </w:tc>
              <w:tc>
                <w:tcPr>
                  <w:tcW w:w="707" w:type="dxa"/>
                  <w:shd w:val="clear" w:color="auto" w:fill="FFFFFF"/>
                  <w:tcMar>
                    <w:top w:w="30" w:type="dxa"/>
                    <w:left w:w="75" w:type="dxa"/>
                    <w:bottom w:w="30" w:type="dxa"/>
                    <w:right w:w="30" w:type="dxa"/>
                  </w:tcMar>
                  <w:hideMark/>
                </w:tcPr>
                <w:p w14:paraId="22B32DAD" w14:textId="77777777" w:rsidR="00487100" w:rsidRPr="006F5136" w:rsidRDefault="004871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875" w:type="dxa"/>
                  <w:shd w:val="clear" w:color="auto" w:fill="FFFFFF"/>
                  <w:tcMar>
                    <w:top w:w="30" w:type="dxa"/>
                    <w:left w:w="75" w:type="dxa"/>
                    <w:bottom w:w="30" w:type="dxa"/>
                    <w:right w:w="30" w:type="dxa"/>
                  </w:tcMar>
                  <w:hideMark/>
                </w:tcPr>
                <w:p w14:paraId="4EEBFFD7" w14:textId="77777777" w:rsidR="00487100" w:rsidRPr="006F5136" w:rsidRDefault="004871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50 %</w:t>
                  </w:r>
                </w:p>
              </w:tc>
              <w:tc>
                <w:tcPr>
                  <w:tcW w:w="850" w:type="dxa"/>
                  <w:shd w:val="clear" w:color="auto" w:fill="FFFFFF"/>
                  <w:tcMar>
                    <w:top w:w="30" w:type="dxa"/>
                    <w:left w:w="75" w:type="dxa"/>
                    <w:bottom w:w="30" w:type="dxa"/>
                    <w:right w:w="30" w:type="dxa"/>
                  </w:tcMar>
                  <w:hideMark/>
                </w:tcPr>
                <w:p w14:paraId="4EC2CB92" w14:textId="368B813B" w:rsidR="00487100" w:rsidRPr="006F5136" w:rsidRDefault="004871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r>
            <w:tr w:rsidR="00487100" w:rsidRPr="006F5136" w14:paraId="0761F929" w14:textId="77777777" w:rsidTr="00487100">
              <w:trPr>
                <w:jc w:val="center"/>
              </w:trPr>
              <w:tc>
                <w:tcPr>
                  <w:tcW w:w="2412" w:type="dxa"/>
                  <w:shd w:val="clear" w:color="auto" w:fill="FFFFFF"/>
                  <w:tcMar>
                    <w:top w:w="30" w:type="dxa"/>
                    <w:left w:w="75" w:type="dxa"/>
                    <w:bottom w:w="30" w:type="dxa"/>
                    <w:right w:w="30" w:type="dxa"/>
                  </w:tcMar>
                </w:tcPr>
                <w:p w14:paraId="1149FD83" w14:textId="4C8B7AE7" w:rsidR="00487100" w:rsidRPr="006F5136" w:rsidRDefault="004871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Pondere de risc</w:t>
                  </w:r>
                </w:p>
              </w:tc>
              <w:tc>
                <w:tcPr>
                  <w:tcW w:w="707" w:type="dxa"/>
                  <w:shd w:val="clear" w:color="auto" w:fill="FFFFFF"/>
                  <w:tcMar>
                    <w:top w:w="30" w:type="dxa"/>
                    <w:left w:w="75" w:type="dxa"/>
                    <w:bottom w:w="30" w:type="dxa"/>
                    <w:right w:w="30" w:type="dxa"/>
                  </w:tcMar>
                </w:tcPr>
                <w:p w14:paraId="5E8F499A" w14:textId="4DB3E111" w:rsidR="00487100" w:rsidRPr="006F5136" w:rsidRDefault="004871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40 %</w:t>
                  </w:r>
                </w:p>
              </w:tc>
              <w:tc>
                <w:tcPr>
                  <w:tcW w:w="875" w:type="dxa"/>
                  <w:shd w:val="clear" w:color="auto" w:fill="FFFFFF"/>
                  <w:tcMar>
                    <w:top w:w="30" w:type="dxa"/>
                    <w:left w:w="75" w:type="dxa"/>
                    <w:bottom w:w="30" w:type="dxa"/>
                    <w:right w:w="30" w:type="dxa"/>
                  </w:tcMar>
                </w:tcPr>
                <w:p w14:paraId="3A078FEF" w14:textId="2E19EB24" w:rsidR="00487100" w:rsidRPr="006F5136" w:rsidRDefault="004871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75 %</w:t>
                  </w:r>
                </w:p>
              </w:tc>
              <w:tc>
                <w:tcPr>
                  <w:tcW w:w="850" w:type="dxa"/>
                  <w:shd w:val="clear" w:color="auto" w:fill="FFFFFF"/>
                  <w:tcMar>
                    <w:top w:w="30" w:type="dxa"/>
                    <w:left w:w="75" w:type="dxa"/>
                    <w:bottom w:w="30" w:type="dxa"/>
                    <w:right w:w="30" w:type="dxa"/>
                  </w:tcMar>
                </w:tcPr>
                <w:p w14:paraId="4F298862" w14:textId="4C58B39F" w:rsidR="00487100" w:rsidRPr="006F5136" w:rsidRDefault="004871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r>
          </w:tbl>
          <w:p w14:paraId="6F0E5263" w14:textId="4391BDA6" w:rsidR="00487100" w:rsidRPr="006F5136" w:rsidRDefault="00487100" w:rsidP="005E4694">
            <w:pPr>
              <w:spacing w:after="0" w:line="240" w:lineRule="auto"/>
              <w:rPr>
                <w:rFonts w:ascii="Times New Roman" w:hAnsi="Times New Roman" w:cs="Times New Roman"/>
                <w:sz w:val="18"/>
                <w:szCs w:val="18"/>
                <w:lang w:eastAsia="ru-RU"/>
              </w:rPr>
            </w:pPr>
          </w:p>
        </w:tc>
        <w:tc>
          <w:tcPr>
            <w:tcW w:w="1661" w:type="pct"/>
            <w:shd w:val="clear" w:color="auto" w:fill="auto"/>
          </w:tcPr>
          <w:p w14:paraId="1C09A73B" w14:textId="19226EED" w:rsidR="00E00300" w:rsidRPr="006F5136" w:rsidRDefault="00E00300" w:rsidP="005E4694">
            <w:pPr>
              <w:tabs>
                <w:tab w:val="left" w:pos="540"/>
                <w:tab w:val="left" w:pos="3900"/>
              </w:tabs>
              <w:spacing w:after="0" w:line="240" w:lineRule="auto"/>
              <w:jc w:val="center"/>
              <w:rPr>
                <w:rFonts w:ascii="Times New Roman" w:eastAsia="Times New Roman" w:hAnsi="Times New Roman" w:cs="Times New Roman"/>
                <w:i/>
                <w:iCs/>
                <w:sz w:val="18"/>
                <w:szCs w:val="18"/>
                <w:lang w:eastAsia="ru-RU"/>
              </w:rPr>
            </w:pPr>
            <w:r w:rsidRPr="006F5136">
              <w:rPr>
                <w:rFonts w:ascii="Times New Roman" w:eastAsia="Times New Roman" w:hAnsi="Times New Roman" w:cs="Times New Roman"/>
                <w:i/>
                <w:iCs/>
                <w:sz w:val="18"/>
                <w:szCs w:val="18"/>
                <w:lang w:eastAsia="ru-RU"/>
              </w:rPr>
              <w:t>Tabelul nr.5</w:t>
            </w:r>
          </w:p>
          <w:tbl>
            <w:tblPr>
              <w:tblW w:w="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325"/>
              <w:gridCol w:w="803"/>
              <w:gridCol w:w="877"/>
              <w:gridCol w:w="736"/>
            </w:tblGrid>
            <w:tr w:rsidR="00E00300" w:rsidRPr="006F5136" w14:paraId="5A963D2A" w14:textId="77777777" w:rsidTr="00E00300">
              <w:trPr>
                <w:trHeight w:val="703"/>
                <w:jc w:val="center"/>
              </w:trPr>
              <w:tc>
                <w:tcPr>
                  <w:tcW w:w="2325" w:type="dxa"/>
                  <w:shd w:val="clear" w:color="auto" w:fill="FFFFFF"/>
                  <w:tcMar>
                    <w:top w:w="30" w:type="dxa"/>
                    <w:left w:w="75" w:type="dxa"/>
                    <w:bottom w:w="30" w:type="dxa"/>
                    <w:right w:w="30" w:type="dxa"/>
                  </w:tcMar>
                  <w:hideMark/>
                </w:tcPr>
                <w:p w14:paraId="115B8513" w14:textId="77777777" w:rsidR="00E00300" w:rsidRPr="006F5136" w:rsidRDefault="00E003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Evaluarea riscului de credit</w:t>
                  </w:r>
                </w:p>
              </w:tc>
              <w:tc>
                <w:tcPr>
                  <w:tcW w:w="803" w:type="dxa"/>
                  <w:shd w:val="clear" w:color="auto" w:fill="FFFFFF"/>
                  <w:tcMar>
                    <w:top w:w="30" w:type="dxa"/>
                    <w:left w:w="75" w:type="dxa"/>
                    <w:bottom w:w="30" w:type="dxa"/>
                    <w:right w:w="30" w:type="dxa"/>
                  </w:tcMar>
                  <w:hideMark/>
                </w:tcPr>
                <w:p w14:paraId="7F0CEBC3" w14:textId="77777777" w:rsidR="00E00300" w:rsidRPr="006F5136" w:rsidRDefault="00E003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Clasa de rating A</w:t>
                  </w:r>
                </w:p>
              </w:tc>
              <w:tc>
                <w:tcPr>
                  <w:tcW w:w="877" w:type="dxa"/>
                  <w:shd w:val="clear" w:color="auto" w:fill="FFFFFF"/>
                  <w:tcMar>
                    <w:top w:w="30" w:type="dxa"/>
                    <w:left w:w="75" w:type="dxa"/>
                    <w:bottom w:w="30" w:type="dxa"/>
                    <w:right w:w="30" w:type="dxa"/>
                  </w:tcMar>
                  <w:hideMark/>
                </w:tcPr>
                <w:p w14:paraId="2DBD8B15" w14:textId="77777777" w:rsidR="00E00300" w:rsidRPr="006F5136" w:rsidRDefault="00E003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Clasa de rating B</w:t>
                  </w:r>
                </w:p>
              </w:tc>
              <w:tc>
                <w:tcPr>
                  <w:tcW w:w="736" w:type="dxa"/>
                  <w:shd w:val="clear" w:color="auto" w:fill="FFFFFF"/>
                  <w:tcMar>
                    <w:top w:w="30" w:type="dxa"/>
                    <w:left w:w="75" w:type="dxa"/>
                    <w:bottom w:w="30" w:type="dxa"/>
                    <w:right w:w="30" w:type="dxa"/>
                  </w:tcMar>
                  <w:hideMark/>
                </w:tcPr>
                <w:p w14:paraId="5B8D6631" w14:textId="77777777" w:rsidR="00E00300" w:rsidRPr="006F5136" w:rsidRDefault="00E003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Clasa de rating C</w:t>
                  </w:r>
                </w:p>
              </w:tc>
            </w:tr>
            <w:tr w:rsidR="00E00300" w:rsidRPr="006F5136" w14:paraId="217AAFEC" w14:textId="77777777" w:rsidTr="00E00300">
              <w:trPr>
                <w:trHeight w:val="458"/>
                <w:jc w:val="center"/>
              </w:trPr>
              <w:tc>
                <w:tcPr>
                  <w:tcW w:w="2325" w:type="dxa"/>
                  <w:shd w:val="clear" w:color="auto" w:fill="FFFFFF"/>
                  <w:tcMar>
                    <w:top w:w="30" w:type="dxa"/>
                    <w:left w:w="75" w:type="dxa"/>
                    <w:bottom w:w="30" w:type="dxa"/>
                    <w:right w:w="30" w:type="dxa"/>
                  </w:tcMar>
                  <w:hideMark/>
                </w:tcPr>
                <w:p w14:paraId="50B56C84" w14:textId="77777777" w:rsidR="00E00300" w:rsidRPr="006F5136" w:rsidRDefault="00E003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Ponderea de risc a expunerii pe termen scurt</w:t>
                  </w:r>
                </w:p>
              </w:tc>
              <w:tc>
                <w:tcPr>
                  <w:tcW w:w="803" w:type="dxa"/>
                  <w:shd w:val="clear" w:color="auto" w:fill="FFFFFF"/>
                  <w:tcMar>
                    <w:top w:w="30" w:type="dxa"/>
                    <w:left w:w="75" w:type="dxa"/>
                    <w:bottom w:w="30" w:type="dxa"/>
                    <w:right w:w="30" w:type="dxa"/>
                  </w:tcMar>
                  <w:hideMark/>
                </w:tcPr>
                <w:p w14:paraId="5B10F23F" w14:textId="77777777" w:rsidR="00E00300" w:rsidRPr="006F5136" w:rsidRDefault="00E003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877" w:type="dxa"/>
                  <w:shd w:val="clear" w:color="auto" w:fill="FFFFFF"/>
                  <w:tcMar>
                    <w:top w:w="30" w:type="dxa"/>
                    <w:left w:w="75" w:type="dxa"/>
                    <w:bottom w:w="30" w:type="dxa"/>
                    <w:right w:w="30" w:type="dxa"/>
                  </w:tcMar>
                  <w:hideMark/>
                </w:tcPr>
                <w:p w14:paraId="342A431D" w14:textId="77777777" w:rsidR="00E00300" w:rsidRPr="006F5136" w:rsidRDefault="00E003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50 %</w:t>
                  </w:r>
                </w:p>
              </w:tc>
              <w:tc>
                <w:tcPr>
                  <w:tcW w:w="736" w:type="dxa"/>
                  <w:shd w:val="clear" w:color="auto" w:fill="FFFFFF"/>
                  <w:tcMar>
                    <w:top w:w="30" w:type="dxa"/>
                    <w:left w:w="75" w:type="dxa"/>
                    <w:bottom w:w="30" w:type="dxa"/>
                    <w:right w:w="30" w:type="dxa"/>
                  </w:tcMar>
                  <w:hideMark/>
                </w:tcPr>
                <w:p w14:paraId="545D7C69" w14:textId="77777777" w:rsidR="00E00300" w:rsidRPr="006F5136" w:rsidRDefault="00E003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r>
            <w:tr w:rsidR="00E00300" w:rsidRPr="006F5136" w14:paraId="08B401CB" w14:textId="77777777" w:rsidTr="00E00300">
              <w:trPr>
                <w:trHeight w:val="229"/>
                <w:jc w:val="center"/>
              </w:trPr>
              <w:tc>
                <w:tcPr>
                  <w:tcW w:w="2325" w:type="dxa"/>
                  <w:shd w:val="clear" w:color="auto" w:fill="FFFFFF"/>
                  <w:tcMar>
                    <w:top w:w="30" w:type="dxa"/>
                    <w:left w:w="75" w:type="dxa"/>
                    <w:bottom w:w="30" w:type="dxa"/>
                    <w:right w:w="30" w:type="dxa"/>
                  </w:tcMar>
                </w:tcPr>
                <w:p w14:paraId="7ABBBA29" w14:textId="77777777" w:rsidR="00E00300" w:rsidRPr="006F5136" w:rsidRDefault="00E003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Pondere de risc</w:t>
                  </w:r>
                </w:p>
              </w:tc>
              <w:tc>
                <w:tcPr>
                  <w:tcW w:w="803" w:type="dxa"/>
                  <w:shd w:val="clear" w:color="auto" w:fill="FFFFFF"/>
                  <w:tcMar>
                    <w:top w:w="30" w:type="dxa"/>
                    <w:left w:w="75" w:type="dxa"/>
                    <w:bottom w:w="30" w:type="dxa"/>
                    <w:right w:w="30" w:type="dxa"/>
                  </w:tcMar>
                </w:tcPr>
                <w:p w14:paraId="0EE1B766" w14:textId="77777777" w:rsidR="00E00300" w:rsidRPr="006F5136" w:rsidRDefault="00E003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40 %</w:t>
                  </w:r>
                </w:p>
              </w:tc>
              <w:tc>
                <w:tcPr>
                  <w:tcW w:w="877" w:type="dxa"/>
                  <w:shd w:val="clear" w:color="auto" w:fill="FFFFFF"/>
                  <w:tcMar>
                    <w:top w:w="30" w:type="dxa"/>
                    <w:left w:w="75" w:type="dxa"/>
                    <w:bottom w:w="30" w:type="dxa"/>
                    <w:right w:w="30" w:type="dxa"/>
                  </w:tcMar>
                </w:tcPr>
                <w:p w14:paraId="04458B51" w14:textId="77777777" w:rsidR="00E00300" w:rsidRPr="006F5136" w:rsidRDefault="00E003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75 %</w:t>
                  </w:r>
                </w:p>
              </w:tc>
              <w:tc>
                <w:tcPr>
                  <w:tcW w:w="736" w:type="dxa"/>
                  <w:shd w:val="clear" w:color="auto" w:fill="FFFFFF"/>
                  <w:tcMar>
                    <w:top w:w="30" w:type="dxa"/>
                    <w:left w:w="75" w:type="dxa"/>
                    <w:bottom w:w="30" w:type="dxa"/>
                    <w:right w:w="30" w:type="dxa"/>
                  </w:tcMar>
                </w:tcPr>
                <w:p w14:paraId="7AFE4BEF" w14:textId="77777777" w:rsidR="00E00300" w:rsidRPr="006F5136" w:rsidRDefault="00E0030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r>
          </w:tbl>
          <w:p w14:paraId="2910EE91" w14:textId="77777777" w:rsidR="00E00300" w:rsidRPr="006F5136" w:rsidRDefault="00E00300" w:rsidP="005E4694">
            <w:pPr>
              <w:tabs>
                <w:tab w:val="left" w:pos="540"/>
                <w:tab w:val="left" w:pos="3900"/>
              </w:tabs>
              <w:spacing w:after="0" w:line="240" w:lineRule="auto"/>
              <w:rPr>
                <w:rFonts w:ascii="Times New Roman" w:eastAsia="Times New Roman" w:hAnsi="Times New Roman" w:cs="Times New Roman"/>
                <w:sz w:val="18"/>
                <w:szCs w:val="18"/>
                <w:lang w:eastAsia="ru-RU"/>
              </w:rPr>
            </w:pPr>
          </w:p>
          <w:p w14:paraId="207F9696" w14:textId="77777777" w:rsidR="00487100" w:rsidRPr="006F5136" w:rsidRDefault="00E00300" w:rsidP="005E4694">
            <w:pPr>
              <w:tabs>
                <w:tab w:val="left" w:pos="540"/>
                <w:tab w:val="left" w:pos="3900"/>
              </w:tabs>
              <w:spacing w:after="0" w:line="240" w:lineRule="auto"/>
              <w:jc w:val="both"/>
              <w:rPr>
                <w:rFonts w:ascii="Times New Roman" w:eastAsia="Times New Roman" w:hAnsi="Times New Roman" w:cs="Times New Roman"/>
                <w:sz w:val="18"/>
                <w:szCs w:val="18"/>
                <w:lang w:eastAsia="ru-RU"/>
              </w:rPr>
            </w:pPr>
            <w:r w:rsidRPr="006F5136">
              <w:rPr>
                <w:rFonts w:ascii="Times New Roman" w:eastAsia="Times New Roman" w:hAnsi="Times New Roman" w:cs="Times New Roman"/>
                <w:b/>
                <w:bCs/>
                <w:sz w:val="18"/>
                <w:szCs w:val="18"/>
                <w:lang w:eastAsia="ru-RU"/>
              </w:rPr>
              <w:t>58.</w:t>
            </w:r>
            <w:r w:rsidRPr="006F5136">
              <w:rPr>
                <w:rFonts w:ascii="Times New Roman" w:eastAsia="Times New Roman" w:hAnsi="Times New Roman" w:cs="Times New Roman"/>
                <w:sz w:val="18"/>
                <w:szCs w:val="18"/>
                <w:lang w:eastAsia="ru-RU"/>
              </w:rPr>
              <w:t xml:space="preserve"> În cazul în care o expunere față de o bancă nu este denominată în moneda națională a jurisdicției de înregistrare a băncii respective sau în cazul în care banca respectivă a înregistrat obligația din credite într-o sucursală dintr-o altă jurisdicție, iar expunerea nu este în moneda națională a jurisdicției în care își desfășoară activitatea sucursala, ponderea de risc atribuită în conformitate cu punctul 57 expunerilor diferite de cele cu o scadență de cel mult un an rezultate din elemente contingente legate de comerț care se lichidează de la sine care decurg din circulația mărfurilor peste frontierele naționale nu poate fi mai scăzută decât ponderea de risc a unei expuneri față de administrația centrală a țării în care este înregistrată banca.</w:t>
            </w:r>
          </w:p>
          <w:p w14:paraId="137B8007" w14:textId="59C0C30B" w:rsidR="0085595E" w:rsidRPr="006F5136" w:rsidRDefault="0085595E" w:rsidP="005E4694">
            <w:pPr>
              <w:tabs>
                <w:tab w:val="left" w:pos="540"/>
                <w:tab w:val="left" w:pos="3900"/>
              </w:tabs>
              <w:spacing w:after="0" w:line="240" w:lineRule="auto"/>
              <w:jc w:val="both"/>
              <w:rPr>
                <w:rFonts w:ascii="Times New Roman" w:hAnsi="Times New Roman" w:cs="Times New Roman"/>
                <w:iCs/>
                <w:sz w:val="18"/>
                <w:szCs w:val="18"/>
                <w:lang w:val="ro-RO"/>
              </w:rPr>
            </w:pPr>
            <w:r w:rsidRPr="006F5136">
              <w:rPr>
                <w:rFonts w:ascii="Times New Roman" w:eastAsia="Times New Roman" w:hAnsi="Times New Roman" w:cs="Times New Roman"/>
                <w:i/>
                <w:iCs/>
                <w:sz w:val="18"/>
                <w:szCs w:val="18"/>
                <w:lang w:val="ro-RO" w:eastAsia="ro-MD"/>
              </w:rPr>
              <w:t>Modificat prin proiectul HCE al BNM privind modificarea Regulamentului nr.111/2018</w:t>
            </w:r>
          </w:p>
        </w:tc>
        <w:tc>
          <w:tcPr>
            <w:tcW w:w="503" w:type="pct"/>
          </w:tcPr>
          <w:p w14:paraId="03EB3AED" w14:textId="6553945A" w:rsidR="00487100" w:rsidRPr="006F5136" w:rsidRDefault="0085595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72405A48" w14:textId="6E24836D" w:rsidR="00487100" w:rsidRPr="006F5136" w:rsidRDefault="0085595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BB2F88" w:rsidRPr="006F5136" w14:paraId="4EE4FFF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37"/>
        </w:trPr>
        <w:tc>
          <w:tcPr>
            <w:tcW w:w="1924" w:type="pct"/>
          </w:tcPr>
          <w:p w14:paraId="5970875E"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122</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Expuneri față de societăți</w:t>
            </w:r>
          </w:p>
          <w:p w14:paraId="4D05FF42"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  Expunerile pentru care este disponibilă o evaluare de credit efectuată de o ECAI desemnată primesc o pondere de risc în conformitate cu tabelul 6, care corespunde evaluării de credit emise de ECAI în conformitate cu articolul 136.</w:t>
            </w:r>
          </w:p>
          <w:p w14:paraId="7A1E6635" w14:textId="77777777" w:rsidR="00395381" w:rsidRPr="006F5136" w:rsidRDefault="00395381" w:rsidP="005E4694">
            <w:pPr>
              <w:spacing w:after="0" w:line="240" w:lineRule="auto"/>
              <w:rPr>
                <w:rFonts w:ascii="Times New Roman" w:hAnsi="Times New Roman" w:cs="Times New Roman"/>
                <w:iCs/>
                <w:sz w:val="18"/>
                <w:szCs w:val="18"/>
                <w:lang w:val="ro-RO"/>
              </w:rPr>
            </w:pPr>
          </w:p>
          <w:p w14:paraId="7B43FA48" w14:textId="77777777" w:rsidR="00395381" w:rsidRPr="006F5136" w:rsidRDefault="00395381" w:rsidP="005E4694">
            <w:pPr>
              <w:pStyle w:val="CM4"/>
              <w:tabs>
                <w:tab w:val="left" w:pos="150"/>
              </w:tabs>
              <w:ind w:left="-43"/>
              <w:jc w:val="center"/>
              <w:rPr>
                <w:rFonts w:ascii="Times New Roman" w:hAnsi="Times New Roman"/>
                <w:iCs/>
                <w:sz w:val="18"/>
                <w:szCs w:val="18"/>
                <w:lang w:val="ro-RO" w:eastAsia="ru-RU"/>
              </w:rPr>
            </w:pPr>
            <w:r w:rsidRPr="006F5136">
              <w:rPr>
                <w:rFonts w:ascii="Times New Roman" w:hAnsi="Times New Roman"/>
                <w:iCs/>
                <w:sz w:val="18"/>
                <w:szCs w:val="18"/>
                <w:lang w:val="ro-RO" w:eastAsia="ru-RU"/>
              </w:rPr>
              <w:t>Tabelul 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175"/>
              <w:gridCol w:w="484"/>
              <w:gridCol w:w="482"/>
              <w:gridCol w:w="577"/>
              <w:gridCol w:w="577"/>
              <w:gridCol w:w="577"/>
              <w:gridCol w:w="577"/>
            </w:tblGrid>
            <w:tr w:rsidR="00395381" w:rsidRPr="006F5136" w14:paraId="79C43D03" w14:textId="77777777" w:rsidTr="00977E5E">
              <w:trPr>
                <w:jc w:val="center"/>
              </w:trPr>
              <w:tc>
                <w:tcPr>
                  <w:tcW w:w="4121" w:type="dxa"/>
                  <w:shd w:val="clear" w:color="auto" w:fill="FFFFFF"/>
                  <w:tcMar>
                    <w:top w:w="30" w:type="dxa"/>
                    <w:left w:w="75" w:type="dxa"/>
                    <w:bottom w:w="30" w:type="dxa"/>
                    <w:right w:w="30" w:type="dxa"/>
                  </w:tcMar>
                  <w:hideMark/>
                </w:tcPr>
                <w:p w14:paraId="79E5A63F"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Nivel de calitate a creditului</w:t>
                  </w:r>
                </w:p>
              </w:tc>
              <w:tc>
                <w:tcPr>
                  <w:tcW w:w="823" w:type="dxa"/>
                  <w:shd w:val="clear" w:color="auto" w:fill="FFFFFF"/>
                  <w:tcMar>
                    <w:top w:w="30" w:type="dxa"/>
                    <w:left w:w="75" w:type="dxa"/>
                    <w:bottom w:w="30" w:type="dxa"/>
                    <w:right w:w="30" w:type="dxa"/>
                  </w:tcMar>
                  <w:hideMark/>
                </w:tcPr>
                <w:p w14:paraId="7A27B618"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w:t>
                  </w:r>
                </w:p>
              </w:tc>
              <w:tc>
                <w:tcPr>
                  <w:tcW w:w="822" w:type="dxa"/>
                  <w:shd w:val="clear" w:color="auto" w:fill="FFFFFF"/>
                  <w:tcMar>
                    <w:top w:w="30" w:type="dxa"/>
                    <w:left w:w="75" w:type="dxa"/>
                    <w:bottom w:w="30" w:type="dxa"/>
                    <w:right w:w="30" w:type="dxa"/>
                  </w:tcMar>
                  <w:hideMark/>
                </w:tcPr>
                <w:p w14:paraId="6081B69F"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w:t>
                  </w:r>
                </w:p>
              </w:tc>
              <w:tc>
                <w:tcPr>
                  <w:tcW w:w="1007" w:type="dxa"/>
                  <w:shd w:val="clear" w:color="auto" w:fill="FFFFFF"/>
                  <w:tcMar>
                    <w:top w:w="30" w:type="dxa"/>
                    <w:left w:w="75" w:type="dxa"/>
                    <w:bottom w:w="30" w:type="dxa"/>
                    <w:right w:w="30" w:type="dxa"/>
                  </w:tcMar>
                  <w:hideMark/>
                </w:tcPr>
                <w:p w14:paraId="6B47CDFF"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w:t>
                  </w:r>
                </w:p>
              </w:tc>
              <w:tc>
                <w:tcPr>
                  <w:tcW w:w="1007" w:type="dxa"/>
                  <w:shd w:val="clear" w:color="auto" w:fill="FFFFFF"/>
                  <w:tcMar>
                    <w:top w:w="30" w:type="dxa"/>
                    <w:left w:w="75" w:type="dxa"/>
                    <w:bottom w:w="30" w:type="dxa"/>
                    <w:right w:w="30" w:type="dxa"/>
                  </w:tcMar>
                  <w:hideMark/>
                </w:tcPr>
                <w:p w14:paraId="3CB6A07B"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w:t>
                  </w:r>
                </w:p>
              </w:tc>
              <w:tc>
                <w:tcPr>
                  <w:tcW w:w="1007" w:type="dxa"/>
                  <w:shd w:val="clear" w:color="auto" w:fill="FFFFFF"/>
                  <w:tcMar>
                    <w:top w:w="30" w:type="dxa"/>
                    <w:left w:w="75" w:type="dxa"/>
                    <w:bottom w:w="30" w:type="dxa"/>
                    <w:right w:w="30" w:type="dxa"/>
                  </w:tcMar>
                  <w:hideMark/>
                </w:tcPr>
                <w:p w14:paraId="45375770"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w:t>
                  </w:r>
                </w:p>
              </w:tc>
              <w:tc>
                <w:tcPr>
                  <w:tcW w:w="1007" w:type="dxa"/>
                  <w:shd w:val="clear" w:color="auto" w:fill="FFFFFF"/>
                  <w:tcMar>
                    <w:top w:w="30" w:type="dxa"/>
                    <w:left w:w="75" w:type="dxa"/>
                    <w:bottom w:w="30" w:type="dxa"/>
                    <w:right w:w="30" w:type="dxa"/>
                  </w:tcMar>
                  <w:hideMark/>
                </w:tcPr>
                <w:p w14:paraId="77224BD6"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6</w:t>
                  </w:r>
                </w:p>
              </w:tc>
            </w:tr>
            <w:tr w:rsidR="00395381" w:rsidRPr="006F5136" w14:paraId="56F9861F" w14:textId="77777777" w:rsidTr="00977E5E">
              <w:trPr>
                <w:jc w:val="center"/>
              </w:trPr>
              <w:tc>
                <w:tcPr>
                  <w:tcW w:w="4121" w:type="dxa"/>
                  <w:shd w:val="clear" w:color="auto" w:fill="FFFFFF"/>
                  <w:tcMar>
                    <w:top w:w="30" w:type="dxa"/>
                    <w:left w:w="75" w:type="dxa"/>
                    <w:bottom w:w="30" w:type="dxa"/>
                    <w:right w:w="30" w:type="dxa"/>
                  </w:tcMar>
                  <w:hideMark/>
                </w:tcPr>
                <w:p w14:paraId="7865880F"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Pondere de risc</w:t>
                  </w:r>
                </w:p>
              </w:tc>
              <w:tc>
                <w:tcPr>
                  <w:tcW w:w="823" w:type="dxa"/>
                  <w:shd w:val="clear" w:color="auto" w:fill="FFFFFF"/>
                  <w:tcMar>
                    <w:top w:w="30" w:type="dxa"/>
                    <w:left w:w="75" w:type="dxa"/>
                    <w:bottom w:w="30" w:type="dxa"/>
                    <w:right w:w="30" w:type="dxa"/>
                  </w:tcMar>
                  <w:hideMark/>
                </w:tcPr>
                <w:p w14:paraId="6A219DE9"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822" w:type="dxa"/>
                  <w:shd w:val="clear" w:color="auto" w:fill="FFFFFF"/>
                  <w:tcMar>
                    <w:top w:w="30" w:type="dxa"/>
                    <w:left w:w="75" w:type="dxa"/>
                    <w:bottom w:w="30" w:type="dxa"/>
                    <w:right w:w="30" w:type="dxa"/>
                  </w:tcMar>
                  <w:hideMark/>
                </w:tcPr>
                <w:p w14:paraId="26B3D43B"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50 %</w:t>
                  </w:r>
                </w:p>
              </w:tc>
              <w:tc>
                <w:tcPr>
                  <w:tcW w:w="1007" w:type="dxa"/>
                  <w:shd w:val="clear" w:color="auto" w:fill="FFFFFF"/>
                  <w:tcMar>
                    <w:top w:w="30" w:type="dxa"/>
                    <w:left w:w="75" w:type="dxa"/>
                    <w:bottom w:w="30" w:type="dxa"/>
                    <w:right w:w="30" w:type="dxa"/>
                  </w:tcMar>
                  <w:hideMark/>
                </w:tcPr>
                <w:p w14:paraId="5BE19414" w14:textId="57F03327" w:rsidR="00395381" w:rsidRPr="006F5136" w:rsidRDefault="00DA32B6"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75</w:t>
                  </w:r>
                  <w:r w:rsidR="00395381" w:rsidRPr="006F5136">
                    <w:rPr>
                      <w:rFonts w:ascii="Times New Roman" w:hAnsi="Times New Roman"/>
                      <w:iCs/>
                      <w:sz w:val="18"/>
                      <w:szCs w:val="18"/>
                      <w:lang w:val="ro-RO" w:eastAsia="ru-RU"/>
                    </w:rPr>
                    <w:t xml:space="preserve"> %</w:t>
                  </w:r>
                </w:p>
              </w:tc>
              <w:tc>
                <w:tcPr>
                  <w:tcW w:w="1007" w:type="dxa"/>
                  <w:shd w:val="clear" w:color="auto" w:fill="FFFFFF"/>
                  <w:tcMar>
                    <w:top w:w="30" w:type="dxa"/>
                    <w:left w:w="75" w:type="dxa"/>
                    <w:bottom w:w="30" w:type="dxa"/>
                    <w:right w:w="30" w:type="dxa"/>
                  </w:tcMar>
                  <w:hideMark/>
                </w:tcPr>
                <w:p w14:paraId="77FAA964"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1007" w:type="dxa"/>
                  <w:shd w:val="clear" w:color="auto" w:fill="FFFFFF"/>
                  <w:tcMar>
                    <w:top w:w="30" w:type="dxa"/>
                    <w:left w:w="75" w:type="dxa"/>
                    <w:bottom w:w="30" w:type="dxa"/>
                    <w:right w:w="30" w:type="dxa"/>
                  </w:tcMar>
                  <w:hideMark/>
                </w:tcPr>
                <w:p w14:paraId="66415145"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c>
                <w:tcPr>
                  <w:tcW w:w="1007" w:type="dxa"/>
                  <w:shd w:val="clear" w:color="auto" w:fill="FFFFFF"/>
                  <w:tcMar>
                    <w:top w:w="30" w:type="dxa"/>
                    <w:left w:w="75" w:type="dxa"/>
                    <w:bottom w:w="30" w:type="dxa"/>
                    <w:right w:w="30" w:type="dxa"/>
                  </w:tcMar>
                  <w:hideMark/>
                </w:tcPr>
                <w:p w14:paraId="72D7AC4A"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r>
          </w:tbl>
          <w:p w14:paraId="3D9B3B30" w14:textId="77777777" w:rsidR="00395381" w:rsidRPr="006F5136" w:rsidRDefault="00395381" w:rsidP="005E4694">
            <w:pPr>
              <w:spacing w:after="0" w:line="240" w:lineRule="auto"/>
              <w:rPr>
                <w:rFonts w:ascii="Times New Roman" w:hAnsi="Times New Roman" w:cs="Times New Roman"/>
                <w:sz w:val="18"/>
                <w:szCs w:val="18"/>
                <w:lang w:val="ro-RO"/>
              </w:rPr>
            </w:pPr>
          </w:p>
        </w:tc>
        <w:tc>
          <w:tcPr>
            <w:tcW w:w="1661" w:type="pct"/>
            <w:shd w:val="clear" w:color="auto" w:fill="auto"/>
          </w:tcPr>
          <w:p w14:paraId="6912EBBB" w14:textId="77777777" w:rsidR="00395381" w:rsidRPr="006F5136" w:rsidRDefault="00395381" w:rsidP="005E4694">
            <w:pPr>
              <w:pStyle w:val="CM4"/>
              <w:tabs>
                <w:tab w:val="left" w:pos="150"/>
              </w:tabs>
              <w:ind w:left="-43"/>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Secțiunea a 9-a. Expuneri față de societăți </w:t>
            </w:r>
          </w:p>
          <w:p w14:paraId="15EA533B" w14:textId="77777777" w:rsidR="00395381" w:rsidRPr="006F5136" w:rsidRDefault="00395381" w:rsidP="005E4694">
            <w:pPr>
              <w:pStyle w:val="CM4"/>
              <w:tabs>
                <w:tab w:val="left" w:pos="150"/>
              </w:tabs>
              <w:ind w:left="-43"/>
              <w:rPr>
                <w:rFonts w:ascii="Times New Roman" w:hAnsi="Times New Roman"/>
                <w:iCs/>
                <w:sz w:val="18"/>
                <w:szCs w:val="18"/>
                <w:lang w:val="ro-RO" w:eastAsia="ru-RU"/>
              </w:rPr>
            </w:pPr>
          </w:p>
          <w:p w14:paraId="5987C04B" w14:textId="09D2F08D" w:rsidR="00395381" w:rsidRPr="006F5136" w:rsidRDefault="00DA32B6"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59</w:t>
            </w:r>
            <w:r w:rsidR="00395381" w:rsidRPr="006F5136">
              <w:rPr>
                <w:rFonts w:ascii="Times New Roman" w:hAnsi="Times New Roman"/>
                <w:iCs/>
                <w:sz w:val="18"/>
                <w:szCs w:val="18"/>
                <w:lang w:val="ro-RO" w:eastAsia="ru-RU"/>
              </w:rPr>
              <w:t>.</w:t>
            </w:r>
            <w:r w:rsidR="0085595E" w:rsidRPr="006F5136">
              <w:rPr>
                <w:rFonts w:ascii="Times New Roman" w:hAnsi="Times New Roman"/>
                <w:iCs/>
                <w:sz w:val="18"/>
                <w:szCs w:val="18"/>
                <w:lang w:val="ro-RO" w:eastAsia="ru-RU"/>
              </w:rPr>
              <w:t xml:space="preserve"> </w:t>
            </w:r>
            <w:r w:rsidR="00395381" w:rsidRPr="006F5136">
              <w:rPr>
                <w:rFonts w:ascii="Times New Roman" w:hAnsi="Times New Roman"/>
                <w:iCs/>
                <w:sz w:val="18"/>
                <w:szCs w:val="18"/>
                <w:lang w:val="ro-RO" w:eastAsia="ru-RU"/>
              </w:rPr>
              <w:t xml:space="preserve">Expunerile față de societățile pentru care este disponibilă o evaluare de credit realizată de o ECAI desemnată primesc o pondere de risc în conformitate cu tabelul nr.6, care corespunde evaluării de credit realizate de ECAI, conform concordanței efectuate de Banca Națională a Moldovei în baza punctului 101. </w:t>
            </w:r>
          </w:p>
          <w:p w14:paraId="47E8F07C" w14:textId="77777777" w:rsidR="00395381" w:rsidRPr="006F5136" w:rsidRDefault="00395381" w:rsidP="005E4694">
            <w:pPr>
              <w:pStyle w:val="CM4"/>
              <w:tabs>
                <w:tab w:val="left" w:pos="150"/>
              </w:tabs>
              <w:ind w:left="-43"/>
              <w:jc w:val="center"/>
              <w:rPr>
                <w:rFonts w:ascii="Times New Roman" w:hAnsi="Times New Roman"/>
                <w:iCs/>
                <w:sz w:val="18"/>
                <w:szCs w:val="18"/>
                <w:lang w:val="ro-RO" w:eastAsia="ru-RU"/>
              </w:rPr>
            </w:pPr>
            <w:r w:rsidRPr="006F5136">
              <w:rPr>
                <w:rFonts w:ascii="Times New Roman" w:hAnsi="Times New Roman"/>
                <w:iCs/>
                <w:sz w:val="18"/>
                <w:szCs w:val="18"/>
                <w:lang w:val="ro-RO" w:eastAsia="ru-RU"/>
              </w:rPr>
              <w:t>Tabelul nr.6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827"/>
              <w:gridCol w:w="423"/>
              <w:gridCol w:w="422"/>
              <w:gridCol w:w="500"/>
              <w:gridCol w:w="500"/>
              <w:gridCol w:w="500"/>
              <w:gridCol w:w="500"/>
            </w:tblGrid>
            <w:tr w:rsidR="00395381" w:rsidRPr="006F5136" w14:paraId="509EE6B9" w14:textId="77777777" w:rsidTr="00977E5E">
              <w:trPr>
                <w:jc w:val="center"/>
              </w:trPr>
              <w:tc>
                <w:tcPr>
                  <w:tcW w:w="4121" w:type="dxa"/>
                  <w:shd w:val="clear" w:color="auto" w:fill="FFFFFF"/>
                  <w:tcMar>
                    <w:top w:w="30" w:type="dxa"/>
                    <w:left w:w="75" w:type="dxa"/>
                    <w:bottom w:w="30" w:type="dxa"/>
                    <w:right w:w="30" w:type="dxa"/>
                  </w:tcMar>
                  <w:hideMark/>
                </w:tcPr>
                <w:p w14:paraId="4E5EACD2"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Nivel de calitate a creditului</w:t>
                  </w:r>
                </w:p>
              </w:tc>
              <w:tc>
                <w:tcPr>
                  <w:tcW w:w="823" w:type="dxa"/>
                  <w:shd w:val="clear" w:color="auto" w:fill="FFFFFF"/>
                  <w:tcMar>
                    <w:top w:w="30" w:type="dxa"/>
                    <w:left w:w="75" w:type="dxa"/>
                    <w:bottom w:w="30" w:type="dxa"/>
                    <w:right w:w="30" w:type="dxa"/>
                  </w:tcMar>
                  <w:hideMark/>
                </w:tcPr>
                <w:p w14:paraId="2118E416"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w:t>
                  </w:r>
                </w:p>
              </w:tc>
              <w:tc>
                <w:tcPr>
                  <w:tcW w:w="822" w:type="dxa"/>
                  <w:shd w:val="clear" w:color="auto" w:fill="FFFFFF"/>
                  <w:tcMar>
                    <w:top w:w="30" w:type="dxa"/>
                    <w:left w:w="75" w:type="dxa"/>
                    <w:bottom w:w="30" w:type="dxa"/>
                    <w:right w:w="30" w:type="dxa"/>
                  </w:tcMar>
                  <w:hideMark/>
                </w:tcPr>
                <w:p w14:paraId="52F2D3C4"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w:t>
                  </w:r>
                </w:p>
              </w:tc>
              <w:tc>
                <w:tcPr>
                  <w:tcW w:w="1007" w:type="dxa"/>
                  <w:shd w:val="clear" w:color="auto" w:fill="FFFFFF"/>
                  <w:tcMar>
                    <w:top w:w="30" w:type="dxa"/>
                    <w:left w:w="75" w:type="dxa"/>
                    <w:bottom w:w="30" w:type="dxa"/>
                    <w:right w:w="30" w:type="dxa"/>
                  </w:tcMar>
                  <w:hideMark/>
                </w:tcPr>
                <w:p w14:paraId="48B2F3C0"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w:t>
                  </w:r>
                </w:p>
              </w:tc>
              <w:tc>
                <w:tcPr>
                  <w:tcW w:w="1007" w:type="dxa"/>
                  <w:shd w:val="clear" w:color="auto" w:fill="FFFFFF"/>
                  <w:tcMar>
                    <w:top w:w="30" w:type="dxa"/>
                    <w:left w:w="75" w:type="dxa"/>
                    <w:bottom w:w="30" w:type="dxa"/>
                    <w:right w:w="30" w:type="dxa"/>
                  </w:tcMar>
                  <w:hideMark/>
                </w:tcPr>
                <w:p w14:paraId="143DD5A9"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w:t>
                  </w:r>
                </w:p>
              </w:tc>
              <w:tc>
                <w:tcPr>
                  <w:tcW w:w="1007" w:type="dxa"/>
                  <w:shd w:val="clear" w:color="auto" w:fill="FFFFFF"/>
                  <w:tcMar>
                    <w:top w:w="30" w:type="dxa"/>
                    <w:left w:w="75" w:type="dxa"/>
                    <w:bottom w:w="30" w:type="dxa"/>
                    <w:right w:w="30" w:type="dxa"/>
                  </w:tcMar>
                  <w:hideMark/>
                </w:tcPr>
                <w:p w14:paraId="233A5DC2"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w:t>
                  </w:r>
                </w:p>
              </w:tc>
              <w:tc>
                <w:tcPr>
                  <w:tcW w:w="1007" w:type="dxa"/>
                  <w:shd w:val="clear" w:color="auto" w:fill="FFFFFF"/>
                  <w:tcMar>
                    <w:top w:w="30" w:type="dxa"/>
                    <w:left w:w="75" w:type="dxa"/>
                    <w:bottom w:w="30" w:type="dxa"/>
                    <w:right w:w="30" w:type="dxa"/>
                  </w:tcMar>
                  <w:hideMark/>
                </w:tcPr>
                <w:p w14:paraId="112B9925"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6</w:t>
                  </w:r>
                </w:p>
              </w:tc>
            </w:tr>
            <w:tr w:rsidR="00395381" w:rsidRPr="006F5136" w14:paraId="2984A279" w14:textId="77777777" w:rsidTr="00977E5E">
              <w:trPr>
                <w:jc w:val="center"/>
              </w:trPr>
              <w:tc>
                <w:tcPr>
                  <w:tcW w:w="4121" w:type="dxa"/>
                  <w:shd w:val="clear" w:color="auto" w:fill="FFFFFF"/>
                  <w:tcMar>
                    <w:top w:w="30" w:type="dxa"/>
                    <w:left w:w="75" w:type="dxa"/>
                    <w:bottom w:w="30" w:type="dxa"/>
                    <w:right w:w="30" w:type="dxa"/>
                  </w:tcMar>
                  <w:hideMark/>
                </w:tcPr>
                <w:p w14:paraId="7B062F94"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Pondere de risc</w:t>
                  </w:r>
                </w:p>
              </w:tc>
              <w:tc>
                <w:tcPr>
                  <w:tcW w:w="823" w:type="dxa"/>
                  <w:shd w:val="clear" w:color="auto" w:fill="FFFFFF"/>
                  <w:tcMar>
                    <w:top w:w="30" w:type="dxa"/>
                    <w:left w:w="75" w:type="dxa"/>
                    <w:bottom w:w="30" w:type="dxa"/>
                    <w:right w:w="30" w:type="dxa"/>
                  </w:tcMar>
                  <w:hideMark/>
                </w:tcPr>
                <w:p w14:paraId="375C41F1"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822" w:type="dxa"/>
                  <w:shd w:val="clear" w:color="auto" w:fill="FFFFFF"/>
                  <w:tcMar>
                    <w:top w:w="30" w:type="dxa"/>
                    <w:left w:w="75" w:type="dxa"/>
                    <w:bottom w:w="30" w:type="dxa"/>
                    <w:right w:w="30" w:type="dxa"/>
                  </w:tcMar>
                  <w:hideMark/>
                </w:tcPr>
                <w:p w14:paraId="695A9A15"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50 %</w:t>
                  </w:r>
                </w:p>
              </w:tc>
              <w:tc>
                <w:tcPr>
                  <w:tcW w:w="1007" w:type="dxa"/>
                  <w:shd w:val="clear" w:color="auto" w:fill="FFFFFF"/>
                  <w:tcMar>
                    <w:top w:w="30" w:type="dxa"/>
                    <w:left w:w="75" w:type="dxa"/>
                    <w:bottom w:w="30" w:type="dxa"/>
                    <w:right w:w="30" w:type="dxa"/>
                  </w:tcMar>
                  <w:hideMark/>
                </w:tcPr>
                <w:p w14:paraId="53D6082C" w14:textId="25ADF176" w:rsidR="00395381" w:rsidRPr="006F5136" w:rsidRDefault="00DA32B6"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75 </w:t>
                  </w:r>
                  <w:r w:rsidR="00395381" w:rsidRPr="006F5136">
                    <w:rPr>
                      <w:rFonts w:ascii="Times New Roman" w:hAnsi="Times New Roman"/>
                      <w:iCs/>
                      <w:sz w:val="18"/>
                      <w:szCs w:val="18"/>
                      <w:lang w:val="ro-RO" w:eastAsia="ru-RU"/>
                    </w:rPr>
                    <w:t>%</w:t>
                  </w:r>
                </w:p>
              </w:tc>
              <w:tc>
                <w:tcPr>
                  <w:tcW w:w="1007" w:type="dxa"/>
                  <w:shd w:val="clear" w:color="auto" w:fill="FFFFFF"/>
                  <w:tcMar>
                    <w:top w:w="30" w:type="dxa"/>
                    <w:left w:w="75" w:type="dxa"/>
                    <w:bottom w:w="30" w:type="dxa"/>
                    <w:right w:w="30" w:type="dxa"/>
                  </w:tcMar>
                  <w:hideMark/>
                </w:tcPr>
                <w:p w14:paraId="55045314"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1007" w:type="dxa"/>
                  <w:shd w:val="clear" w:color="auto" w:fill="FFFFFF"/>
                  <w:tcMar>
                    <w:top w:w="30" w:type="dxa"/>
                    <w:left w:w="75" w:type="dxa"/>
                    <w:bottom w:w="30" w:type="dxa"/>
                    <w:right w:w="30" w:type="dxa"/>
                  </w:tcMar>
                  <w:hideMark/>
                </w:tcPr>
                <w:p w14:paraId="21F410F7"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c>
                <w:tcPr>
                  <w:tcW w:w="1007" w:type="dxa"/>
                  <w:shd w:val="clear" w:color="auto" w:fill="FFFFFF"/>
                  <w:tcMar>
                    <w:top w:w="30" w:type="dxa"/>
                    <w:left w:w="75" w:type="dxa"/>
                    <w:bottom w:w="30" w:type="dxa"/>
                    <w:right w:w="30" w:type="dxa"/>
                  </w:tcMar>
                  <w:hideMark/>
                </w:tcPr>
                <w:p w14:paraId="2B3BA062"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r>
          </w:tbl>
          <w:p w14:paraId="6059D1C0" w14:textId="2E1BC43D" w:rsidR="00395381" w:rsidRPr="006F5136" w:rsidRDefault="007009A4" w:rsidP="005E4694">
            <w:pPr>
              <w:pStyle w:val="CM4"/>
              <w:tabs>
                <w:tab w:val="left" w:pos="150"/>
              </w:tabs>
              <w:ind w:left="-36" w:firstLine="142"/>
              <w:rPr>
                <w:rFonts w:ascii="Times New Roman" w:hAnsi="Times New Roman"/>
                <w:sz w:val="18"/>
                <w:szCs w:val="18"/>
                <w:lang w:val="ro-RO" w:eastAsia="ru-RU"/>
              </w:rPr>
            </w:pPr>
            <w:r w:rsidRPr="006F5136">
              <w:rPr>
                <w:rFonts w:ascii="Times New Roman" w:hAnsi="Times New Roman"/>
                <w:i/>
                <w:iCs/>
                <w:sz w:val="18"/>
                <w:szCs w:val="18"/>
                <w:lang w:val="ro-RO" w:eastAsia="ro-MD"/>
              </w:rPr>
              <w:t>Modificat prin proiectul HCE al BNM privind modificarea Regulamentului nr.111/2018</w:t>
            </w:r>
          </w:p>
        </w:tc>
        <w:tc>
          <w:tcPr>
            <w:tcW w:w="503" w:type="pct"/>
          </w:tcPr>
          <w:p w14:paraId="70D08BC3" w14:textId="77777777"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0B8EAFF4" w14:textId="6AA4B5EB" w:rsidR="00395381"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BB2F88" w:rsidRPr="006F5136" w14:paraId="47A1D46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1"/>
        </w:trPr>
        <w:tc>
          <w:tcPr>
            <w:tcW w:w="1924" w:type="pct"/>
          </w:tcPr>
          <w:p w14:paraId="0640C3F4" w14:textId="1D14FDCE"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  Expunerile pentru care nu este disponibilă o evaluare de credit primesc o pondere de risc de 100 %.</w:t>
            </w:r>
          </w:p>
        </w:tc>
        <w:tc>
          <w:tcPr>
            <w:tcW w:w="1661" w:type="pct"/>
            <w:shd w:val="clear" w:color="auto" w:fill="auto"/>
          </w:tcPr>
          <w:p w14:paraId="19216619" w14:textId="77777777" w:rsidR="00395381" w:rsidRPr="006F5136" w:rsidRDefault="00395381" w:rsidP="005E4694">
            <w:pPr>
              <w:pStyle w:val="CM4"/>
              <w:tabs>
                <w:tab w:val="left" w:pos="150"/>
              </w:tabs>
              <w:rPr>
                <w:rFonts w:ascii="Times New Roman" w:hAnsi="Times New Roman"/>
                <w:sz w:val="18"/>
                <w:szCs w:val="18"/>
                <w:lang w:val="ro-RO" w:eastAsia="ru-RU"/>
              </w:rPr>
            </w:pPr>
            <w:r w:rsidRPr="006F5136">
              <w:rPr>
                <w:rFonts w:ascii="Times New Roman" w:hAnsi="Times New Roman"/>
                <w:sz w:val="18"/>
                <w:szCs w:val="18"/>
                <w:lang w:val="ro-RO" w:eastAsia="ru-RU"/>
              </w:rPr>
              <w:t>6</w:t>
            </w:r>
            <w:r w:rsidR="00DA32B6" w:rsidRPr="006F5136">
              <w:rPr>
                <w:rFonts w:ascii="Times New Roman" w:hAnsi="Times New Roman"/>
                <w:sz w:val="18"/>
                <w:szCs w:val="18"/>
                <w:lang w:val="ro-RO" w:eastAsia="ru-RU"/>
              </w:rPr>
              <w:t>0</w:t>
            </w:r>
            <w:r w:rsidRPr="006F5136">
              <w:rPr>
                <w:rFonts w:ascii="Times New Roman" w:hAnsi="Times New Roman"/>
                <w:sz w:val="18"/>
                <w:szCs w:val="18"/>
                <w:lang w:val="ro-RO" w:eastAsia="ru-RU"/>
              </w:rPr>
              <w:t xml:space="preserve">. Expunerile față de societățile pentru care nu este disponibilă o evaluare de credit realizată de o ECAI desemnată primesc </w:t>
            </w:r>
            <w:r w:rsidR="00DA32B6" w:rsidRPr="006F5136">
              <w:rPr>
                <w:rFonts w:ascii="Times New Roman" w:hAnsi="Times New Roman"/>
                <w:sz w:val="18"/>
                <w:szCs w:val="18"/>
                <w:lang w:val="ro-RO" w:eastAsia="ru-RU"/>
              </w:rPr>
              <w:t xml:space="preserve">o </w:t>
            </w:r>
            <w:r w:rsidRPr="006F5136">
              <w:rPr>
                <w:rFonts w:ascii="Times New Roman" w:hAnsi="Times New Roman"/>
                <w:sz w:val="18"/>
                <w:szCs w:val="18"/>
                <w:lang w:val="ro-RO" w:eastAsia="ru-RU"/>
              </w:rPr>
              <w:t>pondere de risc de  100 %.</w:t>
            </w:r>
          </w:p>
          <w:p w14:paraId="03940BEB" w14:textId="31567A57" w:rsidR="007009A4" w:rsidRPr="006F5136" w:rsidRDefault="007009A4" w:rsidP="005E4694">
            <w:pPr>
              <w:spacing w:after="0" w:line="240" w:lineRule="auto"/>
              <w:rPr>
                <w:rFonts w:ascii="Times New Roman" w:hAnsi="Times New Roman" w:cs="Times New Roman"/>
                <w:sz w:val="18"/>
                <w:szCs w:val="18"/>
                <w:lang w:val="ro-RO" w:eastAsia="ru-RU"/>
              </w:rPr>
            </w:pPr>
            <w:r w:rsidRPr="006F5136">
              <w:rPr>
                <w:rFonts w:ascii="Times New Roman" w:eastAsia="Times New Roman" w:hAnsi="Times New Roman" w:cs="Times New Roman"/>
                <w:i/>
                <w:iCs/>
                <w:sz w:val="18"/>
                <w:szCs w:val="18"/>
                <w:lang w:val="ro-RO" w:eastAsia="ro-MD"/>
              </w:rPr>
              <w:t>Modificat prin proiectul HCE al BNM privind modificarea Regulamentului nr.111/2018</w:t>
            </w:r>
          </w:p>
        </w:tc>
        <w:tc>
          <w:tcPr>
            <w:tcW w:w="503" w:type="pct"/>
          </w:tcPr>
          <w:p w14:paraId="6199DCF5" w14:textId="77777777"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66BE91BF" w14:textId="7F7CC258" w:rsidR="00395381"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914DC9" w:rsidRPr="006F5136" w14:paraId="3E5EEDAE"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76F7CC7" w14:textId="48CC6A97"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Articolul 122a </w:t>
            </w:r>
            <w:r w:rsidRPr="006F5136">
              <w:rPr>
                <w:rFonts w:ascii="Times New Roman" w:hAnsi="Times New Roman"/>
                <w:b/>
                <w:bCs/>
                <w:iCs/>
                <w:sz w:val="18"/>
                <w:szCs w:val="18"/>
                <w:lang w:val="ro-RO" w:eastAsia="ru-RU"/>
              </w:rPr>
              <w:t>Expunerile provenind din finanțări specializate</w:t>
            </w:r>
          </w:p>
          <w:p w14:paraId="4B12A0E7" w14:textId="77777777" w:rsidR="00914DC9" w:rsidRPr="006F5136" w:rsidRDefault="00914DC9" w:rsidP="00914DC9">
            <w:pPr>
              <w:pStyle w:val="CM4"/>
              <w:tabs>
                <w:tab w:val="left" w:pos="150"/>
              </w:tabs>
              <w:ind w:left="-43"/>
              <w:jc w:val="both"/>
              <w:rPr>
                <w:rFonts w:ascii="Times New Roman" w:hAnsi="Times New Roman"/>
                <w:iCs/>
                <w:sz w:val="18"/>
                <w:szCs w:val="18"/>
                <w:lang w:val="ro-RO" w:eastAsia="ru-RU"/>
              </w:rPr>
            </w:pPr>
          </w:p>
          <w:p w14:paraId="24B3AA1E" w14:textId="77777777"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   În cadrul clasei de expuneri față de societăți menționate la articolul 112 litera (g), instituțiile identifică în mod distinct ca expuneri provenind din finanțări specializate expunerile care prezintă toate caracteristicile următoare:</w:t>
            </w:r>
          </w:p>
          <w:p w14:paraId="4B024568" w14:textId="7DD7EDDB"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expunerile sunt față de o entitate care a fost creată în mod special pentru a finanța sau a administra active corporale sau sunt expuneri comparabile din punct de vedere economic cu astfel de expuneri;</w:t>
            </w:r>
          </w:p>
          <w:p w14:paraId="312D8411" w14:textId="77777777" w:rsidR="00914DC9" w:rsidRPr="006F5136" w:rsidRDefault="00914DC9" w:rsidP="00914DC9">
            <w:pPr>
              <w:pStyle w:val="CM4"/>
              <w:tabs>
                <w:tab w:val="left" w:pos="150"/>
              </w:tabs>
              <w:ind w:left="-43"/>
              <w:jc w:val="both"/>
              <w:rPr>
                <w:rFonts w:ascii="Times New Roman" w:hAnsi="Times New Roman"/>
                <w:iCs/>
                <w:sz w:val="18"/>
                <w:szCs w:val="18"/>
                <w:lang w:val="ro-RO" w:eastAsia="ru-RU"/>
              </w:rPr>
            </w:pPr>
          </w:p>
          <w:p w14:paraId="6CCBF3AF" w14:textId="2E594125"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expunerea nu este legată de finanțarea de bunuri imobile locative sau bunuri imobile comerciale și se încadrează în definițiile expunerilor la finanțarea de obiecte, la finanțarea de proiecte sau la finanțarea de mărfuri prevăzute la alineatul (3);</w:t>
            </w:r>
          </w:p>
          <w:p w14:paraId="67506008" w14:textId="77777777" w:rsidR="00914DC9" w:rsidRPr="006F5136" w:rsidRDefault="00914DC9" w:rsidP="00914DC9">
            <w:pPr>
              <w:pStyle w:val="CM4"/>
              <w:tabs>
                <w:tab w:val="left" w:pos="150"/>
              </w:tabs>
              <w:ind w:left="-43"/>
              <w:jc w:val="both"/>
              <w:rPr>
                <w:rFonts w:ascii="Times New Roman" w:hAnsi="Times New Roman"/>
                <w:iCs/>
                <w:sz w:val="18"/>
                <w:szCs w:val="18"/>
                <w:lang w:val="ro-RO" w:eastAsia="ru-RU"/>
              </w:rPr>
            </w:pPr>
          </w:p>
          <w:p w14:paraId="1C6891A5" w14:textId="58D27098"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 acordurile contractuale care reglementează obligația legată de expunere îi conferă instituției un grad substanțial de control asupra activelor și a veniturilor pe care le generează acestea;</w:t>
            </w:r>
          </w:p>
          <w:p w14:paraId="72A822A8" w14:textId="77777777" w:rsidR="00914DC9" w:rsidRPr="006F5136" w:rsidRDefault="00914DC9" w:rsidP="00914DC9">
            <w:pPr>
              <w:pStyle w:val="CM4"/>
              <w:tabs>
                <w:tab w:val="left" w:pos="150"/>
              </w:tabs>
              <w:ind w:left="-43"/>
              <w:jc w:val="both"/>
              <w:rPr>
                <w:rFonts w:ascii="Times New Roman" w:hAnsi="Times New Roman"/>
                <w:iCs/>
                <w:sz w:val="18"/>
                <w:szCs w:val="18"/>
                <w:lang w:val="ro-RO" w:eastAsia="ru-RU"/>
              </w:rPr>
            </w:pPr>
          </w:p>
          <w:p w14:paraId="2984A364" w14:textId="234C81FC"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(d) sursa principală de rambursare a obligației legate de expunere este reprezentată de venitul generat de activele finanțate, și nu de capacitatea independentă de rambursare a societății comerciale în ansamblul său.</w:t>
            </w:r>
          </w:p>
        </w:tc>
        <w:tc>
          <w:tcPr>
            <w:tcW w:w="1661" w:type="pct"/>
            <w:shd w:val="clear" w:color="auto" w:fill="auto"/>
          </w:tcPr>
          <w:p w14:paraId="49D1B70A"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i/>
                <w:iCs/>
                <w:sz w:val="18"/>
                <w:szCs w:val="18"/>
                <w:lang w:val="ro-RO" w:eastAsia="ro-MD"/>
              </w:rPr>
              <w:t>Secțiunea a 9</w:t>
            </w:r>
            <w:r w:rsidRPr="006F5136">
              <w:rPr>
                <w:rFonts w:ascii="Times New Roman" w:eastAsia="Times New Roman" w:hAnsi="Times New Roman" w:cs="Times New Roman"/>
                <w:b/>
                <w:bCs/>
                <w:i/>
                <w:iCs/>
                <w:sz w:val="18"/>
                <w:szCs w:val="18"/>
                <w:vertAlign w:val="superscript"/>
                <w:lang w:val="ro-RO" w:eastAsia="ro-MD"/>
              </w:rPr>
              <w:t>1</w:t>
            </w:r>
            <w:r w:rsidRPr="006F5136">
              <w:rPr>
                <w:rFonts w:ascii="Times New Roman" w:eastAsia="Times New Roman" w:hAnsi="Times New Roman" w:cs="Times New Roman"/>
                <w:b/>
                <w:bCs/>
                <w:i/>
                <w:iCs/>
                <w:sz w:val="18"/>
                <w:szCs w:val="18"/>
                <w:lang w:val="ro-RO" w:eastAsia="ro-MD"/>
              </w:rPr>
              <w:t>-a</w:t>
            </w:r>
          </w:p>
          <w:p w14:paraId="0D67E6FC"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i/>
                <w:iCs/>
                <w:sz w:val="18"/>
                <w:szCs w:val="18"/>
                <w:lang w:val="ro-RO" w:eastAsia="ro-MD"/>
              </w:rPr>
              <w:t> Expuneri provenind din finanțări specializate</w:t>
            </w:r>
          </w:p>
          <w:p w14:paraId="6614F7AF"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60</w:t>
            </w:r>
            <w:r w:rsidRPr="006F5136">
              <w:rPr>
                <w:rFonts w:ascii="Times New Roman" w:eastAsia="Times New Roman" w:hAnsi="Times New Roman" w:cs="Times New Roman"/>
                <w:b/>
                <w:bCs/>
                <w:sz w:val="18"/>
                <w:szCs w:val="18"/>
                <w:vertAlign w:val="superscript"/>
                <w:lang w:val="ro-RO" w:eastAsia="ro-MD"/>
              </w:rPr>
              <w:t>1</w:t>
            </w:r>
            <w:r w:rsidRPr="006F5136">
              <w:rPr>
                <w:rFonts w:ascii="Times New Roman" w:eastAsia="Times New Roman" w:hAnsi="Times New Roman" w:cs="Times New Roman"/>
                <w:sz w:val="18"/>
                <w:szCs w:val="18"/>
                <w:lang w:val="ro-RO" w:eastAsia="ro-MD"/>
              </w:rPr>
              <w:t>. În cadrul clasei de expuneri față de societăți menționate la punctul 11 subpunctul 7), băncile identifică în mod distinct ca expuneri provenind din finanțări specializate expunerile care prezintă cumulativ următoarele caracteristici:</w:t>
            </w:r>
          </w:p>
          <w:p w14:paraId="4D6EDFDF"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expunerile sunt față de o entitate care a fost creată în mod special pentru a finanța sau a administra active corporale sau sunt expuneri comparabile din punct de vedere economic cu astfel de expuneri;</w:t>
            </w:r>
          </w:p>
          <w:p w14:paraId="318F4C0C"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expunerea nu este legată de finanțarea de bunuri imobile locative sau bunuri imobile comerciale și se încadrează în definițiile expunerilor la finanțarea de obiecte, la finanțarea de proiecte sau la finanțarea de mărfuri prevăzute la punctul 60</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w:t>
            </w:r>
          </w:p>
          <w:p w14:paraId="616540A0"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acordurile contractuale care reglementează obligația legată de expunere îi conferă băncii un grad substanțial de control asupra activelor și a veniturilor pe care le generează acestea;</w:t>
            </w:r>
          </w:p>
          <w:p w14:paraId="20E8E74E" w14:textId="77777777" w:rsidR="00914DC9" w:rsidRPr="006F5136" w:rsidRDefault="00914DC9" w:rsidP="00914DC9">
            <w:pPr>
              <w:pStyle w:val="CM4"/>
              <w:tabs>
                <w:tab w:val="left" w:pos="150"/>
              </w:tabs>
              <w:rPr>
                <w:rFonts w:ascii="Times New Roman" w:hAnsi="Times New Roman"/>
                <w:sz w:val="18"/>
                <w:szCs w:val="18"/>
                <w:lang w:val="ro-RO" w:eastAsia="ro-MD"/>
              </w:rPr>
            </w:pPr>
            <w:r w:rsidRPr="006F5136">
              <w:rPr>
                <w:rFonts w:ascii="Times New Roman" w:hAnsi="Times New Roman"/>
                <w:sz w:val="18"/>
                <w:szCs w:val="18"/>
                <w:lang w:val="ro-RO" w:eastAsia="ro-MD"/>
              </w:rPr>
              <w:t>4) sursa principală de rambursare a obligației legate de expunere este reprezentată de venitul generat de activele finanțate, și nu de capacitatea independentă de rambursare a societății comerciale în ansamblul său.</w:t>
            </w:r>
          </w:p>
          <w:p w14:paraId="607CF88F" w14:textId="34B21845" w:rsidR="00914DC9" w:rsidRPr="006F5136" w:rsidRDefault="00914DC9" w:rsidP="00914DC9">
            <w:pPr>
              <w:spacing w:after="0" w:line="240" w:lineRule="auto"/>
              <w:rPr>
                <w:rFonts w:ascii="Times New Roman" w:hAnsi="Times New Roman" w:cs="Times New Roman"/>
                <w:i/>
                <w:iCs/>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35587FDC" w14:textId="0B717272"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1F2DE2B5" w14:textId="1A40422E"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4E9B4A3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E2D2795" w14:textId="77777777" w:rsidR="00914DC9" w:rsidRPr="006F5136" w:rsidRDefault="00914DC9" w:rsidP="00914DC9">
            <w:pPr>
              <w:pStyle w:val="CM4"/>
              <w:tabs>
                <w:tab w:val="left" w:pos="150"/>
              </w:tabs>
              <w:ind w:left="-43"/>
              <w:jc w:val="both"/>
              <w:rPr>
                <w:rFonts w:ascii="Times New Roman" w:hAnsi="Times New Roman"/>
                <w:iCs/>
                <w:sz w:val="18"/>
                <w:szCs w:val="18"/>
                <w:lang w:eastAsia="ru-RU"/>
              </w:rPr>
            </w:pPr>
            <w:r w:rsidRPr="006F5136">
              <w:rPr>
                <w:rFonts w:ascii="Times New Roman" w:hAnsi="Times New Roman"/>
                <w:iCs/>
                <w:sz w:val="18"/>
                <w:szCs w:val="18"/>
                <w:lang w:eastAsia="ru-RU"/>
              </w:rPr>
              <w:t>(2)   Expunerile provenind din finanțări specializate pentru care este disponibilă o evaluare de credit direct aplicabilă emisă de o ECAI desemnată primesc o pondere de risc în conformitate cu tabelul 1.</w:t>
            </w:r>
          </w:p>
          <w:p w14:paraId="47E890E3" w14:textId="77777777" w:rsidR="00914DC9" w:rsidRPr="006F5136" w:rsidRDefault="00914DC9" w:rsidP="00914DC9">
            <w:pPr>
              <w:shd w:val="clear" w:color="auto" w:fill="FFFFFF"/>
              <w:spacing w:after="0" w:line="240" w:lineRule="auto"/>
              <w:jc w:val="center"/>
              <w:rPr>
                <w:rFonts w:ascii="Times New Roman" w:eastAsia="Times New Roman" w:hAnsi="Times New Roman" w:cs="Times New Roman"/>
                <w:b/>
                <w:bCs/>
                <w:sz w:val="18"/>
                <w:szCs w:val="18"/>
                <w:lang w:eastAsia="ro-MD"/>
              </w:rPr>
            </w:pPr>
            <w:r w:rsidRPr="006F5136">
              <w:rPr>
                <w:rFonts w:ascii="Times New Roman" w:eastAsia="Times New Roman" w:hAnsi="Times New Roman" w:cs="Times New Roman"/>
                <w:b/>
                <w:bCs/>
                <w:sz w:val="18"/>
                <w:szCs w:val="18"/>
                <w:lang w:eastAsia="ro-MD"/>
              </w:rPr>
              <w:t>Tabelul 1</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326"/>
              <w:gridCol w:w="477"/>
              <w:gridCol w:w="477"/>
              <w:gridCol w:w="477"/>
              <w:gridCol w:w="577"/>
              <w:gridCol w:w="577"/>
              <w:gridCol w:w="577"/>
            </w:tblGrid>
            <w:tr w:rsidR="00914DC9" w:rsidRPr="006F5136" w14:paraId="59CC7B57" w14:textId="77777777" w:rsidTr="00771776">
              <w:trPr>
                <w:jc w:val="center"/>
              </w:trPr>
              <w:tc>
                <w:tcPr>
                  <w:tcW w:w="2326" w:type="dxa"/>
                  <w:tcBorders>
                    <w:top w:val="outset" w:sz="6" w:space="0" w:color="auto"/>
                    <w:left w:val="outset" w:sz="6" w:space="0" w:color="auto"/>
                    <w:bottom w:val="outset" w:sz="6" w:space="0" w:color="auto"/>
                    <w:right w:val="outset" w:sz="6" w:space="0" w:color="auto"/>
                  </w:tcBorders>
                  <w:shd w:val="clear" w:color="auto" w:fill="auto"/>
                  <w:hideMark/>
                </w:tcPr>
                <w:p w14:paraId="400B37AC"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Nivel de calitate a creditului</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096387D8"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4A5F3273"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2</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411F3C78"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3</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665FA780"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4</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7EA9C684"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5</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5231C12B"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6</w:t>
                  </w:r>
                </w:p>
              </w:tc>
            </w:tr>
            <w:tr w:rsidR="00914DC9" w:rsidRPr="006F5136" w14:paraId="76343BAF" w14:textId="77777777" w:rsidTr="00771776">
              <w:trPr>
                <w:jc w:val="center"/>
              </w:trPr>
              <w:tc>
                <w:tcPr>
                  <w:tcW w:w="2326" w:type="dxa"/>
                  <w:tcBorders>
                    <w:top w:val="outset" w:sz="6" w:space="0" w:color="auto"/>
                    <w:left w:val="outset" w:sz="6" w:space="0" w:color="auto"/>
                    <w:bottom w:val="outset" w:sz="6" w:space="0" w:color="auto"/>
                    <w:right w:val="outset" w:sz="6" w:space="0" w:color="auto"/>
                  </w:tcBorders>
                  <w:shd w:val="clear" w:color="auto" w:fill="auto"/>
                  <w:hideMark/>
                </w:tcPr>
                <w:p w14:paraId="14A4A7F4"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Pondere de risc</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0BCBEBF9"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20 %</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29286901"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50 %</w:t>
                  </w:r>
                </w:p>
              </w:tc>
              <w:tc>
                <w:tcPr>
                  <w:tcW w:w="477" w:type="dxa"/>
                  <w:tcBorders>
                    <w:top w:val="outset" w:sz="6" w:space="0" w:color="auto"/>
                    <w:left w:val="outset" w:sz="6" w:space="0" w:color="auto"/>
                    <w:bottom w:val="outset" w:sz="6" w:space="0" w:color="auto"/>
                    <w:right w:val="outset" w:sz="6" w:space="0" w:color="auto"/>
                  </w:tcBorders>
                  <w:shd w:val="clear" w:color="auto" w:fill="auto"/>
                  <w:hideMark/>
                </w:tcPr>
                <w:p w14:paraId="0E511206"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75 %</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572D2EAB"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100 %</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7B6442B0"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150 %</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14:paraId="505F61B5"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150 %</w:t>
                  </w:r>
                </w:p>
              </w:tc>
            </w:tr>
          </w:tbl>
          <w:p w14:paraId="3E00324C" w14:textId="1F16323D" w:rsidR="00914DC9" w:rsidRPr="006F5136" w:rsidRDefault="00914DC9" w:rsidP="00914DC9">
            <w:pPr>
              <w:spacing w:after="0" w:line="240" w:lineRule="auto"/>
              <w:rPr>
                <w:rFonts w:ascii="Times New Roman" w:hAnsi="Times New Roman" w:cs="Times New Roman"/>
                <w:sz w:val="18"/>
                <w:szCs w:val="18"/>
                <w:lang w:eastAsia="ru-RU"/>
              </w:rPr>
            </w:pPr>
          </w:p>
        </w:tc>
        <w:tc>
          <w:tcPr>
            <w:tcW w:w="1661" w:type="pct"/>
            <w:shd w:val="clear" w:color="auto" w:fill="auto"/>
          </w:tcPr>
          <w:p w14:paraId="4B947E4F" w14:textId="4F077A12"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60</w:t>
            </w:r>
            <w:r w:rsidRPr="006F5136">
              <w:rPr>
                <w:rFonts w:ascii="Times New Roman" w:eastAsia="Times New Roman" w:hAnsi="Times New Roman" w:cs="Times New Roman"/>
                <w:b/>
                <w:bCs/>
                <w:sz w:val="18"/>
                <w:szCs w:val="18"/>
                <w:vertAlign w:val="superscript"/>
                <w:lang w:val="ro-RO" w:eastAsia="ro-MD"/>
              </w:rPr>
              <w:t>2</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Expunerile provenind din finanțări specializate pentru care este disponibilă o evaluare de credit direct aplicabilă emisă de o ECAI desemnată primesc o pondere de risc în conformitate cu tabelul nr.6</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w:t>
            </w:r>
          </w:p>
          <w:p w14:paraId="1ABE8740" w14:textId="77777777" w:rsidR="00914DC9" w:rsidRPr="006F5136" w:rsidRDefault="00914DC9" w:rsidP="00914DC9">
            <w:pPr>
              <w:shd w:val="clear" w:color="auto" w:fill="FFFFFF"/>
              <w:spacing w:after="0" w:line="240" w:lineRule="auto"/>
              <w:ind w:right="850"/>
              <w:jc w:val="right"/>
              <w:rPr>
                <w:rFonts w:ascii="Times New Roman" w:eastAsia="Times New Roman" w:hAnsi="Times New Roman" w:cs="Times New Roman"/>
                <w:b/>
                <w:bCs/>
                <w:i/>
                <w:iCs/>
                <w:sz w:val="18"/>
                <w:szCs w:val="18"/>
                <w:lang w:eastAsia="ro-MD"/>
              </w:rPr>
            </w:pPr>
            <w:r w:rsidRPr="006F5136">
              <w:rPr>
                <w:rFonts w:ascii="Times New Roman" w:eastAsia="Times New Roman" w:hAnsi="Times New Roman" w:cs="Times New Roman"/>
                <w:b/>
                <w:bCs/>
                <w:i/>
                <w:iCs/>
                <w:sz w:val="18"/>
                <w:szCs w:val="18"/>
                <w:lang w:eastAsia="ro-MD"/>
              </w:rPr>
              <w:t>Tabelul nr.6</w:t>
            </w:r>
            <w:r w:rsidRPr="006F5136">
              <w:rPr>
                <w:rFonts w:ascii="Times New Roman" w:eastAsia="Times New Roman" w:hAnsi="Times New Roman" w:cs="Times New Roman"/>
                <w:b/>
                <w:bCs/>
                <w:i/>
                <w:iCs/>
                <w:sz w:val="18"/>
                <w:szCs w:val="18"/>
                <w:vertAlign w:val="superscript"/>
                <w:lang w:eastAsia="ro-MD"/>
              </w:rPr>
              <w:t>1</w:t>
            </w:r>
          </w:p>
          <w:tbl>
            <w:tblPr>
              <w:tblW w:w="421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881"/>
              <w:gridCol w:w="352"/>
              <w:gridCol w:w="352"/>
              <w:gridCol w:w="352"/>
              <w:gridCol w:w="426"/>
              <w:gridCol w:w="426"/>
              <w:gridCol w:w="426"/>
            </w:tblGrid>
            <w:tr w:rsidR="00914DC9" w:rsidRPr="006F5136" w14:paraId="18BDEE22" w14:textId="77777777" w:rsidTr="007009A4">
              <w:trPr>
                <w:trHeight w:val="280"/>
                <w:jc w:val="center"/>
              </w:trPr>
              <w:tc>
                <w:tcPr>
                  <w:tcW w:w="1881" w:type="dxa"/>
                  <w:tcBorders>
                    <w:top w:val="outset" w:sz="6" w:space="0" w:color="auto"/>
                    <w:left w:val="outset" w:sz="6" w:space="0" w:color="auto"/>
                    <w:bottom w:val="outset" w:sz="6" w:space="0" w:color="auto"/>
                    <w:right w:val="outset" w:sz="6" w:space="0" w:color="auto"/>
                  </w:tcBorders>
                  <w:shd w:val="clear" w:color="auto" w:fill="auto"/>
                  <w:hideMark/>
                </w:tcPr>
                <w:p w14:paraId="1A5760F8" w14:textId="77777777" w:rsidR="00914DC9" w:rsidRPr="006F5136" w:rsidRDefault="00914DC9" w:rsidP="00914DC9">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Nivel de calitate a creditului</w:t>
                  </w:r>
                </w:p>
              </w:tc>
              <w:tc>
                <w:tcPr>
                  <w:tcW w:w="352" w:type="dxa"/>
                  <w:tcBorders>
                    <w:top w:val="outset" w:sz="6" w:space="0" w:color="auto"/>
                    <w:left w:val="outset" w:sz="6" w:space="0" w:color="auto"/>
                    <w:bottom w:val="outset" w:sz="6" w:space="0" w:color="auto"/>
                    <w:right w:val="outset" w:sz="6" w:space="0" w:color="auto"/>
                  </w:tcBorders>
                  <w:shd w:val="clear" w:color="auto" w:fill="auto"/>
                  <w:hideMark/>
                </w:tcPr>
                <w:p w14:paraId="252FBED8" w14:textId="77777777" w:rsidR="00914DC9" w:rsidRPr="006F5136" w:rsidRDefault="00914DC9" w:rsidP="00914DC9">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1</w:t>
                  </w:r>
                </w:p>
              </w:tc>
              <w:tc>
                <w:tcPr>
                  <w:tcW w:w="352" w:type="dxa"/>
                  <w:tcBorders>
                    <w:top w:val="outset" w:sz="6" w:space="0" w:color="auto"/>
                    <w:left w:val="outset" w:sz="6" w:space="0" w:color="auto"/>
                    <w:bottom w:val="outset" w:sz="6" w:space="0" w:color="auto"/>
                    <w:right w:val="outset" w:sz="6" w:space="0" w:color="auto"/>
                  </w:tcBorders>
                  <w:shd w:val="clear" w:color="auto" w:fill="auto"/>
                  <w:hideMark/>
                </w:tcPr>
                <w:p w14:paraId="33B93983" w14:textId="77777777" w:rsidR="00914DC9" w:rsidRPr="006F5136" w:rsidRDefault="00914DC9" w:rsidP="00914DC9">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2</w:t>
                  </w:r>
                </w:p>
              </w:tc>
              <w:tc>
                <w:tcPr>
                  <w:tcW w:w="352" w:type="dxa"/>
                  <w:tcBorders>
                    <w:top w:val="outset" w:sz="6" w:space="0" w:color="auto"/>
                    <w:left w:val="outset" w:sz="6" w:space="0" w:color="auto"/>
                    <w:bottom w:val="outset" w:sz="6" w:space="0" w:color="auto"/>
                    <w:right w:val="outset" w:sz="6" w:space="0" w:color="auto"/>
                  </w:tcBorders>
                  <w:shd w:val="clear" w:color="auto" w:fill="auto"/>
                  <w:hideMark/>
                </w:tcPr>
                <w:p w14:paraId="63E036A5" w14:textId="77777777" w:rsidR="00914DC9" w:rsidRPr="006F5136" w:rsidRDefault="00914DC9" w:rsidP="00914DC9">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3</w:t>
                  </w:r>
                </w:p>
              </w:tc>
              <w:tc>
                <w:tcPr>
                  <w:tcW w:w="426" w:type="dxa"/>
                  <w:tcBorders>
                    <w:top w:val="outset" w:sz="6" w:space="0" w:color="auto"/>
                    <w:left w:val="outset" w:sz="6" w:space="0" w:color="auto"/>
                    <w:bottom w:val="outset" w:sz="6" w:space="0" w:color="auto"/>
                    <w:right w:val="outset" w:sz="6" w:space="0" w:color="auto"/>
                  </w:tcBorders>
                  <w:shd w:val="clear" w:color="auto" w:fill="auto"/>
                  <w:hideMark/>
                </w:tcPr>
                <w:p w14:paraId="2B9D52E6" w14:textId="77777777" w:rsidR="00914DC9" w:rsidRPr="006F5136" w:rsidRDefault="00914DC9" w:rsidP="00914DC9">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4</w:t>
                  </w:r>
                </w:p>
              </w:tc>
              <w:tc>
                <w:tcPr>
                  <w:tcW w:w="426" w:type="dxa"/>
                  <w:tcBorders>
                    <w:top w:val="outset" w:sz="6" w:space="0" w:color="auto"/>
                    <w:left w:val="outset" w:sz="6" w:space="0" w:color="auto"/>
                    <w:bottom w:val="outset" w:sz="6" w:space="0" w:color="auto"/>
                    <w:right w:val="outset" w:sz="6" w:space="0" w:color="auto"/>
                  </w:tcBorders>
                  <w:shd w:val="clear" w:color="auto" w:fill="auto"/>
                  <w:hideMark/>
                </w:tcPr>
                <w:p w14:paraId="4D821E2A" w14:textId="77777777" w:rsidR="00914DC9" w:rsidRPr="006F5136" w:rsidRDefault="00914DC9" w:rsidP="00914DC9">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5</w:t>
                  </w:r>
                </w:p>
              </w:tc>
              <w:tc>
                <w:tcPr>
                  <w:tcW w:w="426" w:type="dxa"/>
                  <w:tcBorders>
                    <w:top w:val="outset" w:sz="6" w:space="0" w:color="auto"/>
                    <w:left w:val="outset" w:sz="6" w:space="0" w:color="auto"/>
                    <w:bottom w:val="outset" w:sz="6" w:space="0" w:color="auto"/>
                    <w:right w:val="outset" w:sz="6" w:space="0" w:color="auto"/>
                  </w:tcBorders>
                  <w:shd w:val="clear" w:color="auto" w:fill="auto"/>
                  <w:hideMark/>
                </w:tcPr>
                <w:p w14:paraId="13CC1E95" w14:textId="77777777" w:rsidR="00914DC9" w:rsidRPr="006F5136" w:rsidRDefault="00914DC9" w:rsidP="00914DC9">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6</w:t>
                  </w:r>
                </w:p>
              </w:tc>
            </w:tr>
            <w:tr w:rsidR="00914DC9" w:rsidRPr="006F5136" w14:paraId="36ABAD62" w14:textId="77777777" w:rsidTr="007009A4">
              <w:trPr>
                <w:trHeight w:val="324"/>
                <w:jc w:val="center"/>
              </w:trPr>
              <w:tc>
                <w:tcPr>
                  <w:tcW w:w="1881" w:type="dxa"/>
                  <w:tcBorders>
                    <w:top w:val="outset" w:sz="6" w:space="0" w:color="auto"/>
                    <w:left w:val="outset" w:sz="6" w:space="0" w:color="auto"/>
                    <w:bottom w:val="outset" w:sz="6" w:space="0" w:color="auto"/>
                    <w:right w:val="outset" w:sz="6" w:space="0" w:color="auto"/>
                  </w:tcBorders>
                  <w:shd w:val="clear" w:color="auto" w:fill="auto"/>
                  <w:hideMark/>
                </w:tcPr>
                <w:p w14:paraId="49654413"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Pondere de risc</w:t>
                  </w:r>
                </w:p>
              </w:tc>
              <w:tc>
                <w:tcPr>
                  <w:tcW w:w="352" w:type="dxa"/>
                  <w:tcBorders>
                    <w:top w:val="outset" w:sz="6" w:space="0" w:color="auto"/>
                    <w:left w:val="outset" w:sz="6" w:space="0" w:color="auto"/>
                    <w:bottom w:val="outset" w:sz="6" w:space="0" w:color="auto"/>
                    <w:right w:val="outset" w:sz="6" w:space="0" w:color="auto"/>
                  </w:tcBorders>
                  <w:shd w:val="clear" w:color="auto" w:fill="auto"/>
                  <w:hideMark/>
                </w:tcPr>
                <w:p w14:paraId="4CF16FCF"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20 %</w:t>
                  </w:r>
                </w:p>
              </w:tc>
              <w:tc>
                <w:tcPr>
                  <w:tcW w:w="352" w:type="dxa"/>
                  <w:tcBorders>
                    <w:top w:val="outset" w:sz="6" w:space="0" w:color="auto"/>
                    <w:left w:val="outset" w:sz="6" w:space="0" w:color="auto"/>
                    <w:bottom w:val="outset" w:sz="6" w:space="0" w:color="auto"/>
                    <w:right w:val="outset" w:sz="6" w:space="0" w:color="auto"/>
                  </w:tcBorders>
                  <w:shd w:val="clear" w:color="auto" w:fill="auto"/>
                  <w:hideMark/>
                </w:tcPr>
                <w:p w14:paraId="655B290B"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50 %</w:t>
                  </w:r>
                </w:p>
              </w:tc>
              <w:tc>
                <w:tcPr>
                  <w:tcW w:w="352" w:type="dxa"/>
                  <w:tcBorders>
                    <w:top w:val="outset" w:sz="6" w:space="0" w:color="auto"/>
                    <w:left w:val="outset" w:sz="6" w:space="0" w:color="auto"/>
                    <w:bottom w:val="outset" w:sz="6" w:space="0" w:color="auto"/>
                    <w:right w:val="outset" w:sz="6" w:space="0" w:color="auto"/>
                  </w:tcBorders>
                  <w:shd w:val="clear" w:color="auto" w:fill="auto"/>
                  <w:hideMark/>
                </w:tcPr>
                <w:p w14:paraId="75428AD2"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75 %</w:t>
                  </w:r>
                </w:p>
              </w:tc>
              <w:tc>
                <w:tcPr>
                  <w:tcW w:w="426" w:type="dxa"/>
                  <w:tcBorders>
                    <w:top w:val="outset" w:sz="6" w:space="0" w:color="auto"/>
                    <w:left w:val="outset" w:sz="6" w:space="0" w:color="auto"/>
                    <w:bottom w:val="outset" w:sz="6" w:space="0" w:color="auto"/>
                    <w:right w:val="outset" w:sz="6" w:space="0" w:color="auto"/>
                  </w:tcBorders>
                  <w:shd w:val="clear" w:color="auto" w:fill="auto"/>
                  <w:hideMark/>
                </w:tcPr>
                <w:p w14:paraId="14D495D9"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100 %</w:t>
                  </w:r>
                </w:p>
              </w:tc>
              <w:tc>
                <w:tcPr>
                  <w:tcW w:w="426" w:type="dxa"/>
                  <w:tcBorders>
                    <w:top w:val="outset" w:sz="6" w:space="0" w:color="auto"/>
                    <w:left w:val="outset" w:sz="6" w:space="0" w:color="auto"/>
                    <w:bottom w:val="outset" w:sz="6" w:space="0" w:color="auto"/>
                    <w:right w:val="outset" w:sz="6" w:space="0" w:color="auto"/>
                  </w:tcBorders>
                  <w:shd w:val="clear" w:color="auto" w:fill="auto"/>
                  <w:hideMark/>
                </w:tcPr>
                <w:p w14:paraId="3A856D8A"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150 %</w:t>
                  </w:r>
                </w:p>
              </w:tc>
              <w:tc>
                <w:tcPr>
                  <w:tcW w:w="426" w:type="dxa"/>
                  <w:tcBorders>
                    <w:top w:val="outset" w:sz="6" w:space="0" w:color="auto"/>
                    <w:left w:val="outset" w:sz="6" w:space="0" w:color="auto"/>
                    <w:bottom w:val="outset" w:sz="6" w:space="0" w:color="auto"/>
                    <w:right w:val="outset" w:sz="6" w:space="0" w:color="auto"/>
                  </w:tcBorders>
                  <w:shd w:val="clear" w:color="auto" w:fill="auto"/>
                  <w:hideMark/>
                </w:tcPr>
                <w:p w14:paraId="2BC81A74"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150 %</w:t>
                  </w:r>
                </w:p>
              </w:tc>
            </w:tr>
          </w:tbl>
          <w:p w14:paraId="732748E3" w14:textId="77777777" w:rsidR="00914DC9" w:rsidRPr="006F5136" w:rsidRDefault="00914DC9" w:rsidP="00914DC9">
            <w:pPr>
              <w:spacing w:after="0" w:line="240" w:lineRule="auto"/>
              <w:ind w:firstLine="567"/>
              <w:jc w:val="both"/>
              <w:rPr>
                <w:rFonts w:ascii="Times New Roman" w:eastAsia="Times New Roman" w:hAnsi="Times New Roman" w:cs="Times New Roman"/>
                <w:sz w:val="18"/>
                <w:szCs w:val="18"/>
                <w:lang w:val="ro-RO" w:eastAsia="ro-MD"/>
              </w:rPr>
            </w:pPr>
          </w:p>
          <w:p w14:paraId="2896504C" w14:textId="55A54A7B" w:rsidR="00914DC9" w:rsidRPr="006F5136" w:rsidRDefault="00914DC9" w:rsidP="00914DC9">
            <w:pPr>
              <w:pStyle w:val="CM4"/>
              <w:tabs>
                <w:tab w:val="left" w:pos="150"/>
              </w:tabs>
              <w:rPr>
                <w:rFonts w:ascii="Times New Roman" w:hAnsi="Times New Roman"/>
                <w:sz w:val="18"/>
                <w:szCs w:val="18"/>
                <w:lang w:val="ro-RO" w:eastAsia="ru-RU"/>
              </w:rPr>
            </w:pPr>
            <w:r w:rsidRPr="006F5136">
              <w:rPr>
                <w:rFonts w:ascii="Times New Roman" w:hAnsi="Times New Roman"/>
                <w:i/>
                <w:iCs/>
                <w:sz w:val="18"/>
                <w:szCs w:val="18"/>
                <w:lang w:val="ro-RO" w:eastAsia="ro-MD"/>
              </w:rPr>
              <w:t>Proiectul HCE al BNM privind modificarea Regulamentului nr.111/2018</w:t>
            </w:r>
          </w:p>
        </w:tc>
        <w:tc>
          <w:tcPr>
            <w:tcW w:w="503" w:type="pct"/>
          </w:tcPr>
          <w:p w14:paraId="2993406A" w14:textId="7C9FD2FE"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111ADCF4" w14:textId="1A6E6006"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004A623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195BD34" w14:textId="77777777" w:rsidR="00914DC9" w:rsidRPr="006F5136" w:rsidRDefault="00914DC9" w:rsidP="00914DC9">
            <w:pPr>
              <w:pStyle w:val="CM4"/>
              <w:tabs>
                <w:tab w:val="left" w:pos="150"/>
              </w:tabs>
              <w:ind w:left="-43"/>
              <w:jc w:val="both"/>
              <w:rPr>
                <w:rFonts w:ascii="Times New Roman" w:hAnsi="Times New Roman"/>
                <w:iCs/>
                <w:sz w:val="18"/>
                <w:szCs w:val="18"/>
                <w:lang w:eastAsia="ru-RU"/>
              </w:rPr>
            </w:pPr>
            <w:r w:rsidRPr="006F5136">
              <w:rPr>
                <w:rFonts w:ascii="Times New Roman" w:hAnsi="Times New Roman"/>
                <w:iCs/>
                <w:sz w:val="18"/>
                <w:szCs w:val="18"/>
                <w:lang w:eastAsia="ru-RU"/>
              </w:rPr>
              <w:t>(3)   Expunerile provenind din finanțări specializate pentru care nu este disponibilă o evaluare de credit direct aplicabilă emisă de o ECAI desemnată primesc o pondere de risc după cum urmează:</w:t>
            </w:r>
          </w:p>
          <w:p w14:paraId="7FDFE4E3" w14:textId="0DC25114" w:rsidR="00914DC9" w:rsidRPr="006F5136" w:rsidRDefault="00914DC9" w:rsidP="00914DC9">
            <w:pPr>
              <w:pStyle w:val="CM4"/>
              <w:tabs>
                <w:tab w:val="left" w:pos="150"/>
              </w:tabs>
              <w:ind w:left="-43"/>
              <w:jc w:val="both"/>
              <w:rPr>
                <w:rFonts w:ascii="Times New Roman" w:hAnsi="Times New Roman"/>
                <w:iCs/>
                <w:sz w:val="18"/>
                <w:szCs w:val="18"/>
                <w:lang w:eastAsia="ru-RU"/>
              </w:rPr>
            </w:pPr>
            <w:r w:rsidRPr="006F5136">
              <w:rPr>
                <w:rFonts w:ascii="Times New Roman" w:hAnsi="Times New Roman"/>
                <w:iCs/>
                <w:sz w:val="18"/>
                <w:szCs w:val="18"/>
                <w:lang w:eastAsia="ru-RU"/>
              </w:rPr>
              <w:t>(a) în cazul în care scopul unei expuneri provenind din finanțări specializate este de a finanța achiziționarea unor active corporale, incluzând nave, aeronave, sateliți, automotoare și flote, iar veniturile care urmează să fie generate de activele respective iau forma unor fluxuri de numerar generate de activele corporale specifice care au fost finanțate și gajate sau atribuite creditorului („expuneri din finanțarea de obiecte”), instituțiile aplică o pondere de risc de 100 %;</w:t>
            </w:r>
          </w:p>
        </w:tc>
        <w:tc>
          <w:tcPr>
            <w:tcW w:w="1661" w:type="pct"/>
            <w:shd w:val="clear" w:color="auto" w:fill="auto"/>
          </w:tcPr>
          <w:p w14:paraId="2011B9BB" w14:textId="64CDC5B4"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60</w:t>
            </w:r>
            <w:r w:rsidRPr="006F5136">
              <w:rPr>
                <w:rFonts w:ascii="Times New Roman" w:eastAsia="Times New Roman" w:hAnsi="Times New Roman" w:cs="Times New Roman"/>
                <w:b/>
                <w:bCs/>
                <w:sz w:val="18"/>
                <w:szCs w:val="18"/>
                <w:vertAlign w:val="superscript"/>
                <w:lang w:val="ro-RO" w:eastAsia="ro-MD"/>
              </w:rPr>
              <w:t>3</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Expunerile provenind din finanțări specializate pentru care nu este disponibilă o evaluare de credit direct aplicabilă emisă de o ECAI desemnată primesc o pondere de risc în conformitate cu punctele 60</w:t>
            </w:r>
            <w:r w:rsidRPr="006F5136">
              <w:rPr>
                <w:rFonts w:ascii="Times New Roman" w:eastAsia="Times New Roman" w:hAnsi="Times New Roman" w:cs="Times New Roman"/>
                <w:sz w:val="18"/>
                <w:szCs w:val="18"/>
                <w:vertAlign w:val="superscript"/>
                <w:lang w:val="ro-RO" w:eastAsia="ro-MD"/>
              </w:rPr>
              <w:t>4</w:t>
            </w:r>
            <w:r w:rsidRPr="006F5136">
              <w:rPr>
                <w:rFonts w:ascii="Times New Roman" w:eastAsia="Times New Roman" w:hAnsi="Times New Roman" w:cs="Times New Roman"/>
                <w:sz w:val="18"/>
                <w:szCs w:val="18"/>
                <w:lang w:val="ro-RO" w:eastAsia="ro-MD"/>
              </w:rPr>
              <w:t xml:space="preserve"> – 60</w:t>
            </w:r>
            <w:r w:rsidRPr="006F5136">
              <w:rPr>
                <w:rFonts w:ascii="Times New Roman" w:eastAsia="Times New Roman" w:hAnsi="Times New Roman" w:cs="Times New Roman"/>
                <w:sz w:val="18"/>
                <w:szCs w:val="18"/>
                <w:vertAlign w:val="superscript"/>
                <w:lang w:val="ro-RO" w:eastAsia="ro-MD"/>
              </w:rPr>
              <w:t>8</w:t>
            </w:r>
            <w:r w:rsidRPr="006F5136">
              <w:rPr>
                <w:rFonts w:ascii="Times New Roman" w:eastAsia="Times New Roman" w:hAnsi="Times New Roman" w:cs="Times New Roman"/>
                <w:sz w:val="18"/>
                <w:szCs w:val="18"/>
                <w:lang w:val="ro-RO" w:eastAsia="ro-MD"/>
              </w:rPr>
              <w:t>.</w:t>
            </w:r>
          </w:p>
          <w:p w14:paraId="382860BE" w14:textId="77777777" w:rsidR="00914DC9" w:rsidRPr="006F5136" w:rsidRDefault="00914DC9" w:rsidP="00914DC9">
            <w:pPr>
              <w:pStyle w:val="CM4"/>
              <w:tabs>
                <w:tab w:val="left" w:pos="150"/>
              </w:tabs>
              <w:rPr>
                <w:rFonts w:ascii="Times New Roman" w:hAnsi="Times New Roman"/>
                <w:sz w:val="18"/>
                <w:szCs w:val="18"/>
                <w:lang w:val="ro-RO" w:eastAsia="ro-MD"/>
              </w:rPr>
            </w:pPr>
            <w:r w:rsidRPr="006F5136">
              <w:rPr>
                <w:rFonts w:ascii="Times New Roman" w:hAnsi="Times New Roman"/>
                <w:b/>
                <w:bCs/>
                <w:sz w:val="18"/>
                <w:szCs w:val="18"/>
                <w:lang w:val="ro-RO" w:eastAsia="ro-MD"/>
              </w:rPr>
              <w:t>60</w:t>
            </w:r>
            <w:r w:rsidRPr="006F5136">
              <w:rPr>
                <w:rFonts w:ascii="Times New Roman" w:hAnsi="Times New Roman"/>
                <w:b/>
                <w:bCs/>
                <w:sz w:val="18"/>
                <w:szCs w:val="18"/>
                <w:vertAlign w:val="superscript"/>
                <w:lang w:val="ro-RO" w:eastAsia="ro-MD"/>
              </w:rPr>
              <w:t>4</w:t>
            </w:r>
            <w:r w:rsidRPr="006F5136">
              <w:rPr>
                <w:rFonts w:ascii="Times New Roman" w:hAnsi="Times New Roman"/>
                <w:b/>
                <w:bCs/>
                <w:sz w:val="18"/>
                <w:szCs w:val="18"/>
                <w:lang w:val="ro-RO" w:eastAsia="ro-MD"/>
              </w:rPr>
              <w:t xml:space="preserve">. </w:t>
            </w:r>
            <w:r w:rsidRPr="006F5136">
              <w:rPr>
                <w:rFonts w:ascii="Times New Roman" w:hAnsi="Times New Roman"/>
                <w:sz w:val="18"/>
                <w:szCs w:val="18"/>
                <w:lang w:val="ro-RO" w:eastAsia="ro-MD"/>
              </w:rPr>
              <w:t>În cazul în care scopul unei expuneri provenind din finanțări specializate este de a finanța achiziționarea unor active corporale, incluzând nave, aeronave, sateliți, automotoare și flote, iar veniturile care urmează să fie generate de activele respective iau forma unor fluxuri de numerar generate de activele corporale specifice care au fost finanțate și gajate sau atribuite creditorului („expuneri din finanțarea de obiecte”), băncile aplică o pondere de risc de 100 %.</w:t>
            </w:r>
          </w:p>
          <w:p w14:paraId="4B5CE7F4" w14:textId="271E76E4" w:rsidR="00914DC9" w:rsidRPr="006F5136" w:rsidRDefault="00914DC9" w:rsidP="00914DC9">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463B4F7C" w14:textId="4D137E65"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6C652BB3" w14:textId="7FE4CC7E"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252FF7ED"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9"/>
        </w:trPr>
        <w:tc>
          <w:tcPr>
            <w:tcW w:w="1924" w:type="pct"/>
          </w:tcPr>
          <w:p w14:paraId="190E2E99" w14:textId="679BD56F" w:rsidR="00914DC9" w:rsidRPr="006F5136" w:rsidRDefault="00914DC9" w:rsidP="00914DC9">
            <w:pPr>
              <w:pStyle w:val="CM4"/>
              <w:tabs>
                <w:tab w:val="left" w:pos="150"/>
              </w:tabs>
              <w:ind w:left="-43"/>
              <w:jc w:val="both"/>
              <w:rPr>
                <w:rFonts w:ascii="Times New Roman" w:hAnsi="Times New Roman"/>
                <w:iCs/>
                <w:sz w:val="18"/>
                <w:szCs w:val="18"/>
                <w:lang w:eastAsia="ru-RU"/>
              </w:rPr>
            </w:pPr>
            <w:r w:rsidRPr="006F5136">
              <w:rPr>
                <w:rFonts w:ascii="Times New Roman" w:hAnsi="Times New Roman"/>
                <w:iCs/>
                <w:sz w:val="18"/>
                <w:szCs w:val="18"/>
                <w:lang w:eastAsia="ru-RU"/>
              </w:rPr>
              <w:t xml:space="preserve">(b) în cazul în care scopul unei expuneri provenind din finanțări specializate este de </w:t>
            </w:r>
            <w:proofErr w:type="gramStart"/>
            <w:r w:rsidRPr="006F5136">
              <w:rPr>
                <w:rFonts w:ascii="Times New Roman" w:hAnsi="Times New Roman"/>
                <w:iCs/>
                <w:sz w:val="18"/>
                <w:szCs w:val="18"/>
                <w:lang w:eastAsia="ru-RU"/>
              </w:rPr>
              <w:t>a</w:t>
            </w:r>
            <w:proofErr w:type="gramEnd"/>
            <w:r w:rsidRPr="006F5136">
              <w:rPr>
                <w:rFonts w:ascii="Times New Roman" w:hAnsi="Times New Roman"/>
                <w:iCs/>
                <w:sz w:val="18"/>
                <w:szCs w:val="18"/>
                <w:lang w:eastAsia="ru-RU"/>
              </w:rPr>
              <w:t xml:space="preserve"> asigura finanțarea pe termen scurt a unor rezerve, stocuri sau creanțe aferente mărfurilor tranzacționate la bursă, incluzând țiței, metale sau culturi, iar veniturile care urmează să fie generate de rezervele, stocurile sau creanțele respective constau în încasările din vânzarea mărfurilor („expuneri din finanțarea de mărfuri”), instituțiile aplică o pondere de risc de 100 %;</w:t>
            </w:r>
          </w:p>
        </w:tc>
        <w:tc>
          <w:tcPr>
            <w:tcW w:w="1661" w:type="pct"/>
            <w:shd w:val="clear" w:color="auto" w:fill="auto"/>
          </w:tcPr>
          <w:p w14:paraId="33166E7D" w14:textId="77777777" w:rsidR="00914DC9" w:rsidRPr="006F5136" w:rsidRDefault="00914DC9" w:rsidP="00914DC9">
            <w:pPr>
              <w:pStyle w:val="CM4"/>
              <w:tabs>
                <w:tab w:val="left" w:pos="150"/>
              </w:tabs>
              <w:rPr>
                <w:rFonts w:ascii="Times New Roman" w:hAnsi="Times New Roman"/>
                <w:sz w:val="18"/>
                <w:szCs w:val="18"/>
                <w:lang w:val="ro-RO" w:eastAsia="ro-MD"/>
              </w:rPr>
            </w:pPr>
            <w:r w:rsidRPr="006F5136">
              <w:rPr>
                <w:rFonts w:ascii="Times New Roman" w:hAnsi="Times New Roman"/>
                <w:b/>
                <w:bCs/>
                <w:sz w:val="18"/>
                <w:szCs w:val="18"/>
                <w:lang w:val="ro-RO" w:eastAsia="ro-MD"/>
              </w:rPr>
              <w:t>60</w:t>
            </w:r>
            <w:r w:rsidRPr="006F5136">
              <w:rPr>
                <w:rFonts w:ascii="Times New Roman" w:hAnsi="Times New Roman"/>
                <w:b/>
                <w:bCs/>
                <w:sz w:val="18"/>
                <w:szCs w:val="18"/>
                <w:vertAlign w:val="superscript"/>
                <w:lang w:val="ro-RO" w:eastAsia="ro-MD"/>
              </w:rPr>
              <w:t>5</w:t>
            </w:r>
            <w:r w:rsidRPr="006F5136">
              <w:rPr>
                <w:rFonts w:ascii="Times New Roman" w:hAnsi="Times New Roman"/>
                <w:b/>
                <w:bCs/>
                <w:sz w:val="18"/>
                <w:szCs w:val="18"/>
                <w:lang w:val="ro-RO" w:eastAsia="ro-MD"/>
              </w:rPr>
              <w:t>.</w:t>
            </w:r>
            <w:r w:rsidRPr="006F5136">
              <w:rPr>
                <w:rFonts w:ascii="Times New Roman" w:hAnsi="Times New Roman"/>
                <w:sz w:val="18"/>
                <w:szCs w:val="18"/>
                <w:lang w:val="ro-RO" w:eastAsia="ro-MD"/>
              </w:rPr>
              <w:t xml:space="preserve"> În cazul în care scopul unei expuneri provenind din finanțări specializate este de a asigura finanțarea pe termen scurt a unor rezerve, stocuri sau creanțe aferente mărfurilor tranzacționate la bursă, incluzând țiței, metale sau culturi, iar veniturile care urmează să fie generate de rezervele, stocurile sau creanțele respective constau în încasările din vânzarea mărfurilor („expuneri din finanțarea de mărfuri”), băncile aplică o pondere de risc de 100 %.</w:t>
            </w:r>
          </w:p>
          <w:p w14:paraId="501E5D5A" w14:textId="7E997212" w:rsidR="00914DC9" w:rsidRPr="006F5136" w:rsidRDefault="00914DC9" w:rsidP="00914DC9">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37F02142" w14:textId="0785FBE2"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1238B978" w14:textId="3A1CB530"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551E615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F1EB5C2" w14:textId="3F7DB430" w:rsidR="00914DC9" w:rsidRPr="006F5136" w:rsidRDefault="00914DC9" w:rsidP="00914DC9">
            <w:pPr>
              <w:pStyle w:val="CM4"/>
              <w:tabs>
                <w:tab w:val="left" w:pos="150"/>
              </w:tabs>
              <w:ind w:left="-43"/>
              <w:jc w:val="both"/>
              <w:rPr>
                <w:rFonts w:ascii="Times New Roman" w:hAnsi="Times New Roman"/>
                <w:iCs/>
                <w:sz w:val="18"/>
                <w:szCs w:val="18"/>
                <w:lang w:eastAsia="ru-RU"/>
              </w:rPr>
            </w:pPr>
            <w:r w:rsidRPr="006F5136">
              <w:rPr>
                <w:rFonts w:ascii="Times New Roman" w:hAnsi="Times New Roman"/>
                <w:iCs/>
                <w:sz w:val="18"/>
                <w:szCs w:val="18"/>
                <w:lang w:eastAsia="ru-RU"/>
              </w:rPr>
              <w:t>(c) în cazul în care scopul unei expuneri provenind din finanțări specializate este de a finanța un proiect individual, fie sub forma construirii unei noi instalații de investiții sau a refinanțării unei instalații existente, cu sau fără îmbunătățiri, pentru dezvoltarea sau achiziționarea unor instalații mari, complexe și costisitoare, incluzând centrale electrice, uzine de prelucrare chimică, mine, infrastructuri de transport, infrastructuri de mediu și infrastructuri de telecomunicații, în care instituția creditoare ia în considerare în principal veniturile generate de proiectul finanțat atât ca sursă a rambursării, cât și ca garanție pentru împrumut („expuneri din finanțarea de proiecte”), instituțiile aplică următoarele ponderi de risc:</w:t>
            </w:r>
          </w:p>
        </w:tc>
        <w:tc>
          <w:tcPr>
            <w:tcW w:w="1661" w:type="pct"/>
            <w:shd w:val="clear" w:color="auto" w:fill="auto"/>
          </w:tcPr>
          <w:p w14:paraId="430337F5" w14:textId="77777777" w:rsidR="00914DC9" w:rsidRPr="006F5136" w:rsidRDefault="00914DC9" w:rsidP="00914DC9">
            <w:pPr>
              <w:pStyle w:val="CM4"/>
              <w:tabs>
                <w:tab w:val="left" w:pos="150"/>
              </w:tabs>
              <w:rPr>
                <w:rFonts w:ascii="Times New Roman" w:hAnsi="Times New Roman"/>
                <w:sz w:val="18"/>
                <w:szCs w:val="18"/>
                <w:lang w:val="ro-RO" w:eastAsia="ro-MD"/>
              </w:rPr>
            </w:pPr>
            <w:r w:rsidRPr="006F5136">
              <w:rPr>
                <w:rFonts w:ascii="Times New Roman" w:hAnsi="Times New Roman"/>
                <w:b/>
                <w:bCs/>
                <w:sz w:val="18"/>
                <w:szCs w:val="18"/>
                <w:lang w:val="ro-RO" w:eastAsia="ro-MD"/>
              </w:rPr>
              <w:t>60</w:t>
            </w:r>
            <w:r w:rsidRPr="006F5136">
              <w:rPr>
                <w:rFonts w:ascii="Times New Roman" w:hAnsi="Times New Roman"/>
                <w:b/>
                <w:bCs/>
                <w:sz w:val="18"/>
                <w:szCs w:val="18"/>
                <w:vertAlign w:val="superscript"/>
                <w:lang w:val="ro-RO" w:eastAsia="ro-MD"/>
              </w:rPr>
              <w:t>6</w:t>
            </w:r>
            <w:r w:rsidRPr="006F5136">
              <w:rPr>
                <w:rFonts w:ascii="Times New Roman" w:hAnsi="Times New Roman"/>
                <w:b/>
                <w:bCs/>
                <w:sz w:val="18"/>
                <w:szCs w:val="18"/>
                <w:lang w:val="ro-RO" w:eastAsia="ro-MD"/>
              </w:rPr>
              <w:t>.</w:t>
            </w:r>
            <w:r w:rsidRPr="006F5136">
              <w:rPr>
                <w:rFonts w:ascii="Times New Roman" w:hAnsi="Times New Roman"/>
                <w:sz w:val="18"/>
                <w:szCs w:val="18"/>
                <w:lang w:val="ro-RO" w:eastAsia="ro-MD"/>
              </w:rPr>
              <w:t xml:space="preserve"> În cazul în care scopul unei expuneri provenind din finanțări specializate este de a finanța un proiect individual, fie sub forma construirii unei noi instalații de investiții sau a refinanțării unei instalații existente, cu sau fără îmbunătățiri, pentru dezvoltarea sau achiziționarea unor instalații mari, complexe și costisitoare, incluzând centrale electrice, uzine de prelucrare chimică, mine, infrastructuri de transport, infrastructuri de mediu și infrastructuri de telecomunicații, în care banca creditoare ia în considerare în principal veniturile generate de proiectul finanțat atât ca sursă a rambursării, cât și ca garanție pentru împrumut („expuneri din finanțarea de proiecte”), băncile aplică următoarele ponderi de risc:</w:t>
            </w:r>
          </w:p>
          <w:p w14:paraId="482FAB84" w14:textId="6D867909" w:rsidR="00914DC9" w:rsidRPr="006F5136" w:rsidRDefault="00914DC9" w:rsidP="00914DC9">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67D3D133" w14:textId="7A5FD317"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440D8118" w14:textId="493225B2"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3C88FED2"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C809842" w14:textId="2388C143" w:rsidR="00914DC9" w:rsidRPr="006F5136" w:rsidRDefault="00914DC9" w:rsidP="00914DC9">
            <w:pPr>
              <w:pStyle w:val="CM4"/>
              <w:tabs>
                <w:tab w:val="left" w:pos="150"/>
              </w:tabs>
              <w:ind w:left="-43"/>
              <w:jc w:val="both"/>
              <w:rPr>
                <w:rFonts w:ascii="Times New Roman" w:hAnsi="Times New Roman"/>
                <w:iCs/>
                <w:sz w:val="18"/>
                <w:szCs w:val="18"/>
                <w:lang w:eastAsia="ru-RU"/>
              </w:rPr>
            </w:pPr>
            <w:r w:rsidRPr="006F5136">
              <w:rPr>
                <w:rFonts w:ascii="Times New Roman" w:hAnsi="Times New Roman"/>
                <w:iCs/>
                <w:sz w:val="18"/>
                <w:szCs w:val="18"/>
                <w:lang w:eastAsia="ru-RU"/>
              </w:rPr>
              <w:t>(i) 130 % în cazul în care proiectul de care este legată expunerea se află în faza preoperațională;</w:t>
            </w:r>
          </w:p>
        </w:tc>
        <w:tc>
          <w:tcPr>
            <w:tcW w:w="1661" w:type="pct"/>
            <w:shd w:val="clear" w:color="auto" w:fill="auto"/>
          </w:tcPr>
          <w:p w14:paraId="5412B878" w14:textId="77777777" w:rsidR="00914DC9" w:rsidRPr="006F5136" w:rsidRDefault="00914DC9" w:rsidP="00914DC9">
            <w:pPr>
              <w:pStyle w:val="CM4"/>
              <w:tabs>
                <w:tab w:val="left" w:pos="150"/>
              </w:tabs>
              <w:rPr>
                <w:rFonts w:ascii="Times New Roman" w:hAnsi="Times New Roman"/>
                <w:sz w:val="18"/>
                <w:szCs w:val="18"/>
                <w:lang w:val="ro-RO" w:eastAsia="ro-MD"/>
              </w:rPr>
            </w:pPr>
            <w:r w:rsidRPr="006F5136">
              <w:rPr>
                <w:rFonts w:ascii="Times New Roman" w:hAnsi="Times New Roman"/>
                <w:sz w:val="18"/>
                <w:szCs w:val="18"/>
                <w:lang w:val="ro-RO" w:eastAsia="ro-MD"/>
              </w:rPr>
              <w:t>1) 130 % în cazul în care proiectul de care este legată expunerea se află în faza preoperațională;</w:t>
            </w:r>
          </w:p>
          <w:p w14:paraId="0C5DE94E" w14:textId="6D3BC209" w:rsidR="00914DC9" w:rsidRPr="006F5136" w:rsidRDefault="00914DC9" w:rsidP="00914DC9">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09CC1A33" w14:textId="23DCFFBF"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7615C73A" w14:textId="704C134F"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716233E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2EF0DBD" w14:textId="07BE3BFB" w:rsidR="00914DC9" w:rsidRPr="006F5136" w:rsidRDefault="00914DC9" w:rsidP="00914DC9">
            <w:pPr>
              <w:pStyle w:val="CM4"/>
              <w:tabs>
                <w:tab w:val="left" w:pos="150"/>
              </w:tabs>
              <w:ind w:left="-43"/>
              <w:jc w:val="both"/>
              <w:rPr>
                <w:rFonts w:ascii="Times New Roman" w:hAnsi="Times New Roman"/>
                <w:iCs/>
                <w:sz w:val="18"/>
                <w:szCs w:val="18"/>
                <w:lang w:eastAsia="ru-RU"/>
              </w:rPr>
            </w:pPr>
            <w:r w:rsidRPr="006F5136">
              <w:rPr>
                <w:rFonts w:ascii="Times New Roman" w:hAnsi="Times New Roman"/>
                <w:iCs/>
                <w:sz w:val="18"/>
                <w:szCs w:val="18"/>
                <w:lang w:eastAsia="ru-RU"/>
              </w:rPr>
              <w:t>(ii) cu condiția să nu se aplice ajustarea cerințelor de fonduri proprii pentru riscul de credit menționată la articolul 501a, 80 % în cazul în care proiectul de care este legată expunerea se află în faza operațională, iar expunerea îndeplinește toate criteriile următoare:</w:t>
            </w:r>
          </w:p>
          <w:p w14:paraId="07EEFB3B" w14:textId="77777777" w:rsidR="00914DC9" w:rsidRPr="006F5136" w:rsidRDefault="00914DC9" w:rsidP="00914DC9">
            <w:pPr>
              <w:pStyle w:val="CM4"/>
              <w:tabs>
                <w:tab w:val="left" w:pos="150"/>
              </w:tabs>
              <w:ind w:left="-43"/>
              <w:jc w:val="both"/>
              <w:rPr>
                <w:rFonts w:ascii="Times New Roman" w:hAnsi="Times New Roman"/>
                <w:iCs/>
                <w:sz w:val="18"/>
                <w:szCs w:val="18"/>
                <w:lang w:eastAsia="ru-RU"/>
              </w:rPr>
            </w:pPr>
          </w:p>
          <w:p w14:paraId="161A32AB" w14:textId="38ED6EBE" w:rsidR="00914DC9" w:rsidRPr="006F5136" w:rsidRDefault="00914DC9" w:rsidP="00914DC9">
            <w:pPr>
              <w:pStyle w:val="CM4"/>
              <w:tabs>
                <w:tab w:val="left" w:pos="150"/>
              </w:tabs>
              <w:ind w:left="-43"/>
              <w:jc w:val="both"/>
              <w:rPr>
                <w:rFonts w:ascii="Times New Roman" w:hAnsi="Times New Roman"/>
                <w:iCs/>
                <w:sz w:val="18"/>
                <w:szCs w:val="18"/>
                <w:lang w:eastAsia="ru-RU"/>
              </w:rPr>
            </w:pPr>
            <w:r w:rsidRPr="006F5136">
              <w:rPr>
                <w:rFonts w:ascii="Times New Roman" w:hAnsi="Times New Roman"/>
                <w:iCs/>
                <w:sz w:val="18"/>
                <w:szCs w:val="18"/>
                <w:lang w:eastAsia="ru-RU"/>
              </w:rPr>
              <w:t xml:space="preserve">1. există restricții contractuale privind capacitatea debitorului de a desfășura activități care ar putea fi în detrimentul creditorilor, inclusiv restricția potrivit căreia nu pot fi emise noi titluri de datorie fără consimțământul furnizorilor de titluri de datorie </w:t>
            </w:r>
            <w:proofErr w:type="gramStart"/>
            <w:r w:rsidRPr="006F5136">
              <w:rPr>
                <w:rFonts w:ascii="Times New Roman" w:hAnsi="Times New Roman"/>
                <w:iCs/>
                <w:sz w:val="18"/>
                <w:szCs w:val="18"/>
                <w:lang w:eastAsia="ru-RU"/>
              </w:rPr>
              <w:t>existenți;</w:t>
            </w:r>
            <w:proofErr w:type="gramEnd"/>
          </w:p>
          <w:p w14:paraId="061691FB" w14:textId="77777777" w:rsidR="00914DC9" w:rsidRPr="006F5136" w:rsidRDefault="00914DC9" w:rsidP="00914DC9">
            <w:pPr>
              <w:pStyle w:val="CM4"/>
              <w:tabs>
                <w:tab w:val="left" w:pos="150"/>
              </w:tabs>
              <w:ind w:left="-43"/>
              <w:jc w:val="both"/>
              <w:rPr>
                <w:rFonts w:ascii="Times New Roman" w:hAnsi="Times New Roman"/>
                <w:iCs/>
                <w:sz w:val="18"/>
                <w:szCs w:val="18"/>
                <w:lang w:eastAsia="ru-RU"/>
              </w:rPr>
            </w:pPr>
          </w:p>
          <w:p w14:paraId="6388FFD7" w14:textId="280FAE34" w:rsidR="00914DC9" w:rsidRPr="006F5136" w:rsidRDefault="00914DC9" w:rsidP="00914DC9">
            <w:pPr>
              <w:pStyle w:val="CM4"/>
              <w:tabs>
                <w:tab w:val="left" w:pos="150"/>
              </w:tabs>
              <w:ind w:left="-43"/>
              <w:jc w:val="both"/>
              <w:rPr>
                <w:rFonts w:ascii="Times New Roman" w:hAnsi="Times New Roman"/>
                <w:iCs/>
                <w:sz w:val="18"/>
                <w:szCs w:val="18"/>
                <w:lang w:eastAsia="ru-RU"/>
              </w:rPr>
            </w:pPr>
            <w:r w:rsidRPr="006F5136">
              <w:rPr>
                <w:rFonts w:ascii="Times New Roman" w:hAnsi="Times New Roman"/>
                <w:iCs/>
                <w:sz w:val="18"/>
                <w:szCs w:val="18"/>
                <w:lang w:eastAsia="ru-RU"/>
              </w:rPr>
              <w:t>2. debitorul are suficiente fonduri de rezervă, finanțate în totalitate cu numerar sau prin alte aranjamente financiare, cu o entitate pentru a acoperi nevoile în materie de finanțare de urgență și de capital circulant pe durata de viață a proiectului finanțat, cu condiția ca entitatea să primească un rating ECAI cu un nivel de calitate a creditului de cel puțin 3 emis cu o ECAI recunoscută sau, în cazul instituțiilor care calculează cuantumurile ponderate la risc ale expunerilor și cuantumurile pierderilor așteptate în conformitate cu capitolul 3, în cazul în care entitatea nu dispune de o evaluare a creditului emisă de o ECAI recunoscută, ca entitatea respectivă să primească un rating intern de credit echivalent cu un nivel de calitate a creditului de cel puțin 3 din partea instituției, cu condiția ca entitatea respectivă să fie evaluată intern de instituție în conformitate cu dispozițiile capitolului 3 secțiunea 6;</w:t>
            </w:r>
          </w:p>
        </w:tc>
        <w:tc>
          <w:tcPr>
            <w:tcW w:w="1661" w:type="pct"/>
            <w:shd w:val="clear" w:color="auto" w:fill="auto"/>
          </w:tcPr>
          <w:p w14:paraId="78C97D2D" w14:textId="28D5F21C"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cu condiția să nu se aplice ajustarea cerințelor de fonduri proprii pentru riscul de credit menționată la punctele 97</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-97</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 80 % în cazul în care proiectul de care este legată expunerea se află în faza operațională, iar expunerea îndeplinește cumulativ următoarele criterii:</w:t>
            </w:r>
          </w:p>
          <w:p w14:paraId="64D41198"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există restricții contractuale privind capacitatea debitorului de a desfășura activități care ar putea fi în detrimentul creditorilor, inclusiv restricția potrivit căreia nu pot fi emise noi titluri de datorie fără consimțământul furnizorilor de titluri de datorie existenți;</w:t>
            </w:r>
          </w:p>
          <w:p w14:paraId="36B3E3F0"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b) debitorul are suficiente fonduri de rezervă, finanțate în totalitate cu numerar sau prin alte aranjamente financiare, cu o entitate pentru a acoperi nevoile în materie de finanțare de urgență și de capital circulant pe durata de viață a proiectului finanțat, cu condiția ca entitatea să primească un nivel de calitate a creditului de cel puțin 3 emis cu o ECAI recunoscută sau, în cazul băncilor care calculează cuantumurile ponderate la risc ale expunerilor și cuantumurile pierderilor așteptate conform abordării bazate pe modele interne de rating, în cazul în care entitatea nu dispune de o evaluare a creditului emisă de o ECAI recunoscută, ca entitatea respectivă să primească un rating intern de credit echivalent cu un nivel de calitate a creditului de cel puțin 3 din partea băncii, cu condiția ca entitatea respectivă să fie evaluată intern de bancă în conformitate cu dispozițiile abordării bazate pe modele interne de rating;</w:t>
            </w:r>
          </w:p>
          <w:p w14:paraId="19CBB4CC" w14:textId="288FC96F" w:rsidR="00914DC9" w:rsidRPr="006F5136" w:rsidRDefault="00914DC9" w:rsidP="00914DC9">
            <w:pPr>
              <w:pStyle w:val="CM4"/>
              <w:tabs>
                <w:tab w:val="left" w:pos="150"/>
              </w:tabs>
              <w:rPr>
                <w:rFonts w:ascii="Times New Roman" w:hAnsi="Times New Roman"/>
                <w:sz w:val="18"/>
                <w:szCs w:val="18"/>
                <w:lang w:val="ro-RO" w:eastAsia="ru-RU"/>
              </w:rPr>
            </w:pPr>
            <w:r w:rsidRPr="006F5136">
              <w:rPr>
                <w:rFonts w:ascii="Times New Roman" w:hAnsi="Times New Roman"/>
                <w:i/>
                <w:iCs/>
                <w:sz w:val="18"/>
                <w:szCs w:val="18"/>
                <w:lang w:val="ro-RO" w:eastAsia="ro-MD"/>
              </w:rPr>
              <w:t>Proiectul HCE al BNM privind modificarea Regulamentului nr.111/2018</w:t>
            </w:r>
          </w:p>
        </w:tc>
        <w:tc>
          <w:tcPr>
            <w:tcW w:w="503" w:type="pct"/>
          </w:tcPr>
          <w:p w14:paraId="36E3B9D8" w14:textId="318D9E22"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595D7519" w14:textId="20F84F80"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1091276E"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0026D88" w14:textId="7EE2F62F"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 proiectul de care este legată expunerea generează fluxuri de numerar previzibile și care acoperă toate rambursările viitoare ale împrumutului;</w:t>
            </w:r>
          </w:p>
          <w:p w14:paraId="5830E152" w14:textId="77777777" w:rsidR="00914DC9" w:rsidRPr="006F5136" w:rsidRDefault="00914DC9" w:rsidP="00914DC9">
            <w:pPr>
              <w:pStyle w:val="CM4"/>
              <w:tabs>
                <w:tab w:val="left" w:pos="150"/>
              </w:tabs>
              <w:ind w:left="-43"/>
              <w:jc w:val="both"/>
              <w:rPr>
                <w:rFonts w:ascii="Times New Roman" w:hAnsi="Times New Roman"/>
                <w:iCs/>
                <w:sz w:val="18"/>
                <w:szCs w:val="18"/>
                <w:lang w:val="ro-RO" w:eastAsia="ru-RU"/>
              </w:rPr>
            </w:pPr>
          </w:p>
          <w:p w14:paraId="61DC7353" w14:textId="5A68BB36"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 în cazul în care veniturile debitorului nu sunt finanțate prin plăți efectuate de un număr mare de utilizatori, sursa de rambursare a obligației depinde de o singură contraparte principală, iar contrapartea principală respectivă este una dintre următoarele:</w:t>
            </w:r>
          </w:p>
          <w:p w14:paraId="61410F44" w14:textId="77777777" w:rsidR="00914DC9" w:rsidRPr="006F5136" w:rsidRDefault="00914DC9" w:rsidP="00914DC9">
            <w:pPr>
              <w:pStyle w:val="CM4"/>
              <w:tabs>
                <w:tab w:val="left" w:pos="150"/>
              </w:tabs>
              <w:ind w:left="-43"/>
              <w:jc w:val="both"/>
              <w:rPr>
                <w:rFonts w:ascii="Times New Roman" w:hAnsi="Times New Roman"/>
                <w:iCs/>
                <w:sz w:val="18"/>
                <w:szCs w:val="18"/>
                <w:lang w:val="ro-RO" w:eastAsia="ru-RU"/>
              </w:rPr>
            </w:pPr>
          </w:p>
          <w:p w14:paraId="76A4E6D1" w14:textId="640B54AB"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o bancă centrală, o administrație centrală, o administrație regională sau o autoritate locală, cu condiția ca acestora să li se atribuie o pondere de risc de 0 %, în conformitate cu articolele 114 și 115, sau un rating ECAI cu un nivel de calitate a creditului de cel puțin 3 emis de o ECAI recunoscută sau, în cazul instituțiilor care calculează cuantumurile ponderate la risc ale expunerilor și cuantumurile pierderilor așteptate în conformitate cu capitolul 3, în cazul în care banca centrală, administrația centrală, administrația regională sau autoritatea locală nu dispun de o evaluare a creditului emisă de o ECAI recunoscută, acestea primesc un rating de credit intern echivalent cu un nivel de calitate a creditului de cel puțin 3 din partea instituției, cu condiția să fie evaluate intern de instituție în conformitate cu dispozițiile capitolului 3 secțiunea 6;</w:t>
            </w:r>
          </w:p>
          <w:p w14:paraId="0A9606A8" w14:textId="21BC1E08"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o entitate din sectorul public, cu condiția ca aceasta să primească o pondere de risc de cel mult 20 % în conformitate cu articolul 116 sau un rating ECAI cu un nivel de calitate a creditului de cel puțin 3 emis de o ECAI recunoscută sau, în cazul instituțiilor care calculează cuantumurile ponderate la risc ale expunerilor și cuantumurile pierderilor așteptate în conformitate cu capitolul 3, în cazul în care entitatea din sectorul public nu dispune de o evaluare a creditului emisă de o ECAI recunoscută, ca entitatea din sectorul public respectivă să primească un rating intern de credit echivalent cu un nivel de calitate a creditului de cel puțin 3 din partea instituției, cu condiția ca entitatea respectivă să fie evaluată intern de instituție în conformitate cu dispozițiile capitolului 3 secțiunea 6;</w:t>
            </w:r>
          </w:p>
          <w:p w14:paraId="4D7B9B43" w14:textId="48D8E0B0"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o entitate corporativă căreia i s-a atribuit un rating ECAI cu un nivel de calitate a creditului de cel puțin 3 de către o ECAI recunoscută sau, în cazul instituțiilor care calculează cuantumurile ponderate la risc ale expunerilor și cuantumurile pierderilor așteptate în conformitate cu capitolul 3, în cazul în care entitatea corporativă nu dispune de o evaluare a creditului emisă de o ECAI recunoscută, ca entitatea corporativă respectivă să primească un rating intern de credit echivalent cu un nivel de calitate a creditului de cel puțin 3 din partea instituției, cu condiția ca entitatea respectivă să fie evaluată intern de instituție în conformitate cu dispozițiile capitolului 3 secțiunea 6;</w:t>
            </w:r>
          </w:p>
        </w:tc>
        <w:tc>
          <w:tcPr>
            <w:tcW w:w="1661" w:type="pct"/>
            <w:shd w:val="clear" w:color="auto" w:fill="auto"/>
          </w:tcPr>
          <w:p w14:paraId="5FBD10AC"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c) proiectul de care este legată expunerea generează fluxuri de numerar previzibile și care acoperă toate rambursările viitoare ale creditului;</w:t>
            </w:r>
          </w:p>
          <w:p w14:paraId="73357FFB"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d) în cazul în care veniturile debitorului nu sunt finanțate prin plăți efectuate de un număr mare de utilizatori, sursa de rambursare a obligației depinde de o singură contraparte principală, iar contrapartea principală respectivă este una dintre următoarele:</w:t>
            </w:r>
          </w:p>
          <w:p w14:paraId="667BB6CB"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o bancă centrală, o administrație centrală, o administrație regională sau o autoritate locală, cu condiția ca acestora să li se atribuie o pondere de risc de 0 %, în conformitate cu prezentul regulament, sau un rating ECAI cu un nivel de calitate a creditului de cel puțin 3 emis de o ECAI recunoscută sau, în cazul băncilor care calculează cuantumurile ponderate la risc ale expunerilor și cuantumurile pierderilor așteptate în conformitate cu abordarea bazată pe modelele interne de rating, în cazul în care banca centrală, administrația centrală, administrația regională sau autoritatea locală nu dispun de o evaluare a creditului emisă de o ECAI recunoscută, acestea primesc un rating de credit intern echivalent cu un nivel de calitate a creditului de cel puțin 3 din partea băncii, cu condiția să fie evaluate intern de bancă în conformitate cu cerințele pentru utilizarea abordării bazate pe modele interne de rating;</w:t>
            </w:r>
          </w:p>
          <w:p w14:paraId="33207844"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o entitate din sectorul public, cu condiția ca aceasta să primească o pondere de risc de cel mult 20 % în conformitate cu punctele 38-42</w:t>
            </w:r>
            <w:r w:rsidRPr="006F5136">
              <w:rPr>
                <w:rFonts w:ascii="Times New Roman" w:eastAsia="Times New Roman" w:hAnsi="Times New Roman" w:cs="Times New Roman"/>
                <w:sz w:val="18"/>
                <w:szCs w:val="18"/>
                <w:vertAlign w:val="superscript"/>
                <w:lang w:val="ro-RO" w:eastAsia="ro-MD"/>
              </w:rPr>
              <w:t xml:space="preserve">1 </w:t>
            </w:r>
            <w:r w:rsidRPr="006F5136">
              <w:rPr>
                <w:rFonts w:ascii="Times New Roman" w:eastAsia="Times New Roman" w:hAnsi="Times New Roman" w:cs="Times New Roman"/>
                <w:sz w:val="18"/>
                <w:szCs w:val="18"/>
                <w:lang w:val="ro-RO" w:eastAsia="ro-MD"/>
              </w:rPr>
              <w:t>sau un rating ECAI cu un nivel de calitate a creditului de cel puțin 3 emis de o ECAI recunoscută sau, în cazul băncilor care calculează cuantumurile ponderate la risc ale expunerilor și cuantumurile pierderilor așteptate în conformitate cu abordarea bazată pe modele interne de rating, în cazul în care entitatea din sectorul public nu dispune de o evaluare a creditului emisă de o ECAI recunoscută, ca entitatea din sectorul public respectivă să primească un rating intern de credit echivalent cu un nivel de calitate a creditului de cel puțin 3 din partea băncii, cu condiția ca entitatea respectivă să fie evaluată intern de bancă în conformitate cu cerințele pentru utilizarea abordării bazate pe modele interne de rating;</w:t>
            </w:r>
          </w:p>
          <w:p w14:paraId="7FB29F77"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o entitate corporativă căreia i s-a atribuit un rating ECAI cu un nivel de calitate a creditului de cel puțin 3 de către o ECAI recunoscută sau, în cazul băncilor care calculează cuantumurile ponderate la risc ale expunerilor și cuantumurile pierderilor așteptate în conformitate cu abordarea bazată pe modele interne de rating, în cazul în care entitatea corporativă nu dispune de o evaluare a creditului emisă de o ECAI recunoscută, ca entitatea corporativă respectivă să primească un rating intern de credit echivalent cu un nivel de calitate a creditului de cel puțin 3 din partea băncii, cu condiția ca entitatea respectivă să fie evaluată intern de bancă în conformitate cu cerințele pentru utilizarea abordării bazate pe modele interne de rating;</w:t>
            </w:r>
          </w:p>
          <w:p w14:paraId="1A002BC3" w14:textId="2F2F6C09" w:rsidR="00914DC9" w:rsidRPr="006F5136" w:rsidRDefault="00914DC9" w:rsidP="00914DC9">
            <w:pPr>
              <w:pStyle w:val="CM4"/>
              <w:tabs>
                <w:tab w:val="left" w:pos="150"/>
              </w:tabs>
              <w:rPr>
                <w:rFonts w:ascii="Times New Roman" w:hAnsi="Times New Roman"/>
                <w:sz w:val="18"/>
                <w:szCs w:val="18"/>
                <w:lang w:val="ro-RO" w:eastAsia="ru-RU"/>
              </w:rPr>
            </w:pPr>
            <w:r w:rsidRPr="006F5136">
              <w:rPr>
                <w:rFonts w:ascii="Times New Roman" w:hAnsi="Times New Roman"/>
                <w:i/>
                <w:iCs/>
                <w:sz w:val="18"/>
                <w:szCs w:val="18"/>
                <w:lang w:val="ro-RO" w:eastAsia="ro-MD"/>
              </w:rPr>
              <w:t>Proiectul HCE al BNM privind modificarea Regulamentului nr.111/2018</w:t>
            </w:r>
          </w:p>
        </w:tc>
        <w:tc>
          <w:tcPr>
            <w:tcW w:w="503" w:type="pct"/>
          </w:tcPr>
          <w:p w14:paraId="139BAA30" w14:textId="710EB079"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55DCBED0" w14:textId="5B94FD07"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52B7D0DD"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A9FC1DE" w14:textId="77777777"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 clauzele contractuale care reglementează expunerea față de debitor prevăd un grad ridicat de protecție pentru instituția creditoare în cazul în care debitorul intră în stare de nerambursare;</w:t>
            </w:r>
          </w:p>
          <w:p w14:paraId="7250DAFD" w14:textId="5C0A00C9" w:rsidR="00914DC9" w:rsidRPr="006F5136" w:rsidRDefault="00914DC9" w:rsidP="00914DC9">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6. contrapartea principală sau alte contrapărți care îndeplinesc în mod similar criteriile de eligibilitate pentru contrapartea principală protejează în mod eficace instituția creditoare împotriva pierderilor rezultate din încetarea proiectului;</w:t>
            </w:r>
          </w:p>
          <w:p w14:paraId="7AAFA2B3" w14:textId="06CCFCAF" w:rsidR="00914DC9" w:rsidRPr="006F5136" w:rsidRDefault="00914DC9" w:rsidP="00914DC9">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7. toate activele și contractele necesare pentru exploatarea proiectului au fost gajate în favoarea instituției creditoare în măsura permisă de legislația aplicabilă;</w:t>
            </w:r>
          </w:p>
          <w:p w14:paraId="7505F760" w14:textId="01067B01" w:rsidR="00914DC9" w:rsidRPr="006F5136" w:rsidRDefault="00914DC9" w:rsidP="00914DC9">
            <w:pPr>
              <w:spacing w:after="0" w:line="240" w:lineRule="auto"/>
              <w:jc w:val="both"/>
              <w:rPr>
                <w:rFonts w:ascii="Times New Roman" w:hAnsi="Times New Roman" w:cs="Times New Roman"/>
                <w:sz w:val="18"/>
                <w:szCs w:val="18"/>
                <w:lang w:val="ro-RO" w:eastAsia="ru-RU"/>
              </w:rPr>
            </w:pPr>
            <w:r w:rsidRPr="006F5136">
              <w:rPr>
                <w:rFonts w:ascii="Times New Roman" w:eastAsia="Times New Roman" w:hAnsi="Times New Roman" w:cs="Times New Roman"/>
                <w:iCs/>
                <w:sz w:val="18"/>
                <w:szCs w:val="18"/>
                <w:lang w:val="ro-RO" w:eastAsia="ru-RU"/>
              </w:rPr>
              <w:t>8. instituția creditoare este în măsură să preia controlul asupra entității debitoare în cazul unui eveniment de nerambursare;</w:t>
            </w:r>
          </w:p>
        </w:tc>
        <w:tc>
          <w:tcPr>
            <w:tcW w:w="1661" w:type="pct"/>
            <w:shd w:val="clear" w:color="auto" w:fill="auto"/>
          </w:tcPr>
          <w:p w14:paraId="4AC6C29E"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e) clauzele contractuale care reglementează expunerea față de debitor prevăd un grad ridicat de protecție pentru banca creditoare în cazul în care debitorul intră în stare de nerambursare;</w:t>
            </w:r>
          </w:p>
          <w:p w14:paraId="4624F82C"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f) contrapartea principală sau alte contrapărți care îndeplinesc în mod similar criteriile de eligibilitate pentru contrapartea principală protejează în mod eficace banca creditoare împotriva pierderilor rezultate din încetarea proiectului;</w:t>
            </w:r>
          </w:p>
          <w:p w14:paraId="1351827C"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g) toate activele și contractele necesare pentru exploatarea proiectului au fost gajate în favoarea băncii creditoare în măsura permisă de legislația aplicabilă;</w:t>
            </w:r>
          </w:p>
          <w:p w14:paraId="39078200"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h) banca creditoare este în măsură să preia controlul asupra entității debitoare în cazul unui eveniment de nerambursare;</w:t>
            </w:r>
          </w:p>
          <w:p w14:paraId="00F007AE" w14:textId="49505E66" w:rsidR="00914DC9" w:rsidRPr="006F5136" w:rsidRDefault="00914DC9" w:rsidP="00914DC9">
            <w:pPr>
              <w:pStyle w:val="CM4"/>
              <w:tabs>
                <w:tab w:val="left" w:pos="150"/>
              </w:tabs>
              <w:rPr>
                <w:rFonts w:ascii="Times New Roman" w:hAnsi="Times New Roman"/>
                <w:sz w:val="18"/>
                <w:szCs w:val="18"/>
                <w:lang w:val="ro-RO" w:eastAsia="ru-RU"/>
              </w:rPr>
            </w:pPr>
            <w:r w:rsidRPr="006F5136">
              <w:rPr>
                <w:rFonts w:ascii="Times New Roman" w:hAnsi="Times New Roman"/>
                <w:i/>
                <w:iCs/>
                <w:sz w:val="18"/>
                <w:szCs w:val="18"/>
                <w:lang w:val="ro-RO" w:eastAsia="ro-MD"/>
              </w:rPr>
              <w:t>Proiectul HCE al BNM privind modificarea Regulamentului nr.111/2018</w:t>
            </w:r>
          </w:p>
        </w:tc>
        <w:tc>
          <w:tcPr>
            <w:tcW w:w="503" w:type="pct"/>
          </w:tcPr>
          <w:p w14:paraId="13633D9C" w14:textId="7DBBE51C"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613F4145" w14:textId="2C514EC5"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776A9CA2"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5FFFCB0" w14:textId="261EFECC"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(iii) 100 % în cazul în care proiectul de care este legată expunerea se află în faza operațională și expunerea nu îndeplinește condițiile prevăzute la punctul (ii);</w:t>
            </w:r>
          </w:p>
        </w:tc>
        <w:tc>
          <w:tcPr>
            <w:tcW w:w="1661" w:type="pct"/>
            <w:shd w:val="clear" w:color="auto" w:fill="auto"/>
          </w:tcPr>
          <w:p w14:paraId="3CA1CB2E"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100 % în cazul în care proiectul de care este legată expunerea se află în faza operațională și expunerea nu îndeplinește condițiile prevăzute la punctul (ii);</w:t>
            </w:r>
          </w:p>
          <w:p w14:paraId="488D94FF" w14:textId="2B4253AF" w:rsidR="00914DC9" w:rsidRPr="006F5136" w:rsidRDefault="00914DC9" w:rsidP="00914DC9">
            <w:pPr>
              <w:pStyle w:val="CM4"/>
              <w:tabs>
                <w:tab w:val="left" w:pos="150"/>
              </w:tabs>
              <w:rPr>
                <w:rFonts w:ascii="Times New Roman" w:hAnsi="Times New Roman"/>
                <w:sz w:val="18"/>
                <w:szCs w:val="18"/>
                <w:lang w:val="ro-RO" w:eastAsia="ru-RU"/>
              </w:rPr>
            </w:pPr>
            <w:r w:rsidRPr="006F5136">
              <w:rPr>
                <w:rFonts w:ascii="Times New Roman" w:hAnsi="Times New Roman"/>
                <w:i/>
                <w:iCs/>
                <w:sz w:val="18"/>
                <w:szCs w:val="18"/>
                <w:lang w:val="ro-RO" w:eastAsia="ro-MD"/>
              </w:rPr>
              <w:t>Proiectul HCE al BNM privind modificarea Regulamentului nr.111/2018</w:t>
            </w:r>
          </w:p>
        </w:tc>
        <w:tc>
          <w:tcPr>
            <w:tcW w:w="503" w:type="pct"/>
          </w:tcPr>
          <w:p w14:paraId="7A99E927" w14:textId="4647AF1D"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7D927A4B" w14:textId="4715B351"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74671FB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F40AC97" w14:textId="5B7F93C8"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(d) în sensul literei (c) punctul (ii) subpunctul 3, fluxurile de numerar generate nu sunt considerate previzibile decât în cazul în care o parte semnificativă din venituri îndeplinește una sau mai multe dintre următoarele condiții:</w:t>
            </w:r>
          </w:p>
          <w:p w14:paraId="0F29D488" w14:textId="77777777" w:rsidR="00914DC9" w:rsidRPr="006F5136" w:rsidRDefault="00914DC9" w:rsidP="00914DC9">
            <w:pPr>
              <w:pStyle w:val="CM4"/>
              <w:tabs>
                <w:tab w:val="left" w:pos="150"/>
              </w:tabs>
              <w:ind w:left="-43"/>
              <w:jc w:val="both"/>
              <w:rPr>
                <w:rFonts w:ascii="Times New Roman" w:hAnsi="Times New Roman"/>
                <w:iCs/>
                <w:sz w:val="18"/>
                <w:szCs w:val="18"/>
                <w:lang w:val="ro-RO" w:eastAsia="ru-RU"/>
              </w:rPr>
            </w:pPr>
          </w:p>
          <w:p w14:paraId="544A0A7D" w14:textId="684FE135"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 veniturile sunt „bazate pe disponibilitate”, ceea ce înseamnă că, odată terminată construcția, debitorul are dreptul, atât timp cât sunt îndeplinite condițiile contractuale, la plăți din partea contrapărților contractuale care să acopere costurile de exploatare și de întreținere, costurile cu serviciul datoriei și rentabilitatea capitalurilor proprii pe măsură ce debitorul desfășoară proiectul, iar plățile respective nu fac obiectul unor fluctuații ale cererii, cum ar fi nivelurile de trafic, și sunt ajustate, în general, doar din cauza lipsei de performanță sau a indisponibilității activului pentru public;</w:t>
            </w:r>
          </w:p>
          <w:p w14:paraId="3781409E" w14:textId="77777777" w:rsidR="00914DC9" w:rsidRPr="006F5136" w:rsidRDefault="00914DC9" w:rsidP="00914DC9">
            <w:pPr>
              <w:pStyle w:val="CM4"/>
              <w:tabs>
                <w:tab w:val="left" w:pos="150"/>
              </w:tabs>
              <w:ind w:left="-43"/>
              <w:jc w:val="both"/>
              <w:rPr>
                <w:rFonts w:ascii="Times New Roman" w:hAnsi="Times New Roman"/>
                <w:iCs/>
                <w:sz w:val="18"/>
                <w:szCs w:val="18"/>
                <w:lang w:val="ro-RO" w:eastAsia="ru-RU"/>
              </w:rPr>
            </w:pPr>
          </w:p>
          <w:p w14:paraId="2134E275" w14:textId="48553E37"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(ii) veniturile fac obiectul unei reglementări privind rata de rentabilitate;</w:t>
            </w:r>
          </w:p>
          <w:p w14:paraId="04E0795A" w14:textId="77777777" w:rsidR="00914DC9" w:rsidRPr="006F5136" w:rsidRDefault="00914DC9" w:rsidP="00914DC9">
            <w:pPr>
              <w:pStyle w:val="CM4"/>
              <w:tabs>
                <w:tab w:val="left" w:pos="150"/>
              </w:tabs>
              <w:ind w:left="-43"/>
              <w:jc w:val="both"/>
              <w:rPr>
                <w:rFonts w:ascii="Times New Roman" w:hAnsi="Times New Roman"/>
                <w:iCs/>
                <w:sz w:val="18"/>
                <w:szCs w:val="18"/>
                <w:lang w:val="ro-RO" w:eastAsia="ru-RU"/>
              </w:rPr>
            </w:pPr>
          </w:p>
          <w:p w14:paraId="4817FA9A" w14:textId="0940A6AA"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(iii) veniturile fac obiectul unui contract cu obligații de plată necondiționate (take-or-pay contract);</w:t>
            </w:r>
          </w:p>
        </w:tc>
        <w:tc>
          <w:tcPr>
            <w:tcW w:w="1661" w:type="pct"/>
            <w:shd w:val="clear" w:color="auto" w:fill="auto"/>
          </w:tcPr>
          <w:p w14:paraId="63D81E34" w14:textId="175C3C5A"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60</w:t>
            </w:r>
            <w:r w:rsidRPr="006F5136">
              <w:rPr>
                <w:rFonts w:ascii="Times New Roman" w:eastAsia="Times New Roman" w:hAnsi="Times New Roman" w:cs="Times New Roman"/>
                <w:b/>
                <w:bCs/>
                <w:sz w:val="18"/>
                <w:szCs w:val="18"/>
                <w:vertAlign w:val="superscript"/>
                <w:lang w:val="ro-RO" w:eastAsia="ro-MD"/>
              </w:rPr>
              <w:t>7</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În sensul punctului 60</w:t>
            </w:r>
            <w:r w:rsidRPr="006F5136">
              <w:rPr>
                <w:rFonts w:ascii="Times New Roman" w:eastAsia="Times New Roman" w:hAnsi="Times New Roman" w:cs="Times New Roman"/>
                <w:sz w:val="18"/>
                <w:szCs w:val="18"/>
                <w:vertAlign w:val="superscript"/>
                <w:lang w:val="ro-RO" w:eastAsia="ro-MD"/>
              </w:rPr>
              <w:t>6</w:t>
            </w:r>
            <w:r w:rsidRPr="006F5136">
              <w:rPr>
                <w:rFonts w:ascii="Times New Roman" w:eastAsia="Times New Roman" w:hAnsi="Times New Roman" w:cs="Times New Roman"/>
                <w:sz w:val="18"/>
                <w:szCs w:val="18"/>
                <w:lang w:val="ro-RO" w:eastAsia="ro-MD"/>
              </w:rPr>
              <w:t xml:space="preserve"> subpunctul 2) litera c), fluxurile de numerar generate nu sunt considerate previzibile decât în cazul în care o parte semnificativă din venituri îndeplinește una sau mai multe dintre următoarele condiții:</w:t>
            </w:r>
            <w:r w:rsidRPr="006F5136">
              <w:rPr>
                <w:rFonts w:ascii="Times New Roman" w:eastAsia="Times New Roman" w:hAnsi="Times New Roman" w:cs="Times New Roman"/>
                <w:sz w:val="18"/>
                <w:szCs w:val="18"/>
                <w:highlight w:val="lightGray"/>
                <w:lang w:val="ro-RO" w:eastAsia="ro-MD"/>
              </w:rPr>
              <w:t xml:space="preserve"> </w:t>
            </w:r>
          </w:p>
          <w:p w14:paraId="750BAD0B"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veniturile sunt „bazate pe disponibilitate”, ceea ce înseamnă că, odată terminată construcția, debitorul are dreptul, atât timp cât sunt îndeplinite condițiile contractuale, la plăți din partea contrapărților contractuale care să acopere costurile de exploatare și de întreținere, costurile cu serviciul datoriei și rentabilitatea capitalurilor proprii pe măsură ce debitorul desfășoară proiectul, iar plățile respective nu fac obiectul unor fluctuații ale cererii, cum ar fi nivelurile de trafic, și sunt ajustate, în general, doar din cauza lipsei de performanță sau a indisponibilității activului pentru public;</w:t>
            </w:r>
          </w:p>
          <w:p w14:paraId="5BFA7E5F"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veniturile fac obiectul unei reglementări privind rata de rentabilitate;</w:t>
            </w:r>
          </w:p>
          <w:p w14:paraId="33CEFA9F"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veniturile fac obiectul unui contract cu obligații de plată necondiționate (take-or-pay contract).</w:t>
            </w:r>
          </w:p>
          <w:p w14:paraId="5AF5CA93" w14:textId="2A91383E" w:rsidR="00914DC9" w:rsidRPr="006F5136" w:rsidRDefault="00914DC9" w:rsidP="00914DC9">
            <w:pPr>
              <w:pStyle w:val="CM4"/>
              <w:tabs>
                <w:tab w:val="left" w:pos="150"/>
              </w:tabs>
              <w:rPr>
                <w:rFonts w:ascii="Times New Roman" w:hAnsi="Times New Roman"/>
                <w:sz w:val="18"/>
                <w:szCs w:val="18"/>
                <w:lang w:val="ro-RO" w:eastAsia="ru-RU"/>
              </w:rPr>
            </w:pPr>
            <w:r w:rsidRPr="006F5136">
              <w:rPr>
                <w:rFonts w:ascii="Times New Roman" w:hAnsi="Times New Roman"/>
                <w:i/>
                <w:iCs/>
                <w:sz w:val="18"/>
                <w:szCs w:val="18"/>
                <w:lang w:val="ro-RO" w:eastAsia="ro-MD"/>
              </w:rPr>
              <w:t>Proiectul HCE al BNM privind modificarea Regulamentului nr.111/2018</w:t>
            </w:r>
          </w:p>
        </w:tc>
        <w:tc>
          <w:tcPr>
            <w:tcW w:w="503" w:type="pct"/>
          </w:tcPr>
          <w:p w14:paraId="22694112" w14:textId="0871326E"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3AF216F2" w14:textId="79A86965"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16A3BD00"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D837B21" w14:textId="261E4FCF"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(e) în sensul literei (c), faza operațională înseamnă faza în care entitatea creată în mod specific pentru finanțarea proiectului, sau care este comparabilă din punct de vedere economic, îndeplinește ambele condiții următoare:</w:t>
            </w:r>
          </w:p>
          <w:p w14:paraId="08176015" w14:textId="77777777" w:rsidR="00914DC9" w:rsidRPr="006F5136" w:rsidRDefault="00914DC9" w:rsidP="00914DC9">
            <w:pPr>
              <w:pStyle w:val="CM4"/>
              <w:tabs>
                <w:tab w:val="left" w:pos="150"/>
              </w:tabs>
              <w:ind w:left="-43"/>
              <w:jc w:val="both"/>
              <w:rPr>
                <w:rFonts w:ascii="Times New Roman" w:hAnsi="Times New Roman"/>
                <w:iCs/>
                <w:sz w:val="18"/>
                <w:szCs w:val="18"/>
                <w:lang w:val="ro-RO" w:eastAsia="ru-RU"/>
              </w:rPr>
            </w:pPr>
          </w:p>
          <w:p w14:paraId="05ECD65D" w14:textId="73E8873F"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 entitatea are un flux de numerar net pozitiv care este suficient pentru a acoperi orice obligație contractuală rămasă;</w:t>
            </w:r>
          </w:p>
          <w:p w14:paraId="69E8695A" w14:textId="77777777" w:rsidR="00914DC9" w:rsidRPr="006F5136" w:rsidRDefault="00914DC9" w:rsidP="00914DC9">
            <w:pPr>
              <w:pStyle w:val="CM4"/>
              <w:tabs>
                <w:tab w:val="left" w:pos="150"/>
              </w:tabs>
              <w:ind w:left="-43"/>
              <w:jc w:val="both"/>
              <w:rPr>
                <w:rFonts w:ascii="Times New Roman" w:hAnsi="Times New Roman"/>
                <w:iCs/>
                <w:sz w:val="18"/>
                <w:szCs w:val="18"/>
                <w:lang w:val="ro-RO" w:eastAsia="ru-RU"/>
              </w:rPr>
            </w:pPr>
          </w:p>
          <w:p w14:paraId="57F8DF32" w14:textId="3A996DEE" w:rsidR="00914DC9" w:rsidRPr="006F5136" w:rsidRDefault="00914DC9" w:rsidP="00914DC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(ii) entitatea are o datorie pe termen lung în scădere.</w:t>
            </w:r>
          </w:p>
        </w:tc>
        <w:tc>
          <w:tcPr>
            <w:tcW w:w="1661" w:type="pct"/>
            <w:shd w:val="clear" w:color="auto" w:fill="auto"/>
          </w:tcPr>
          <w:p w14:paraId="0B1EE40F"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60</w:t>
            </w:r>
            <w:r w:rsidRPr="006F5136">
              <w:rPr>
                <w:rFonts w:ascii="Times New Roman" w:eastAsia="Times New Roman" w:hAnsi="Times New Roman" w:cs="Times New Roman"/>
                <w:b/>
                <w:bCs/>
                <w:sz w:val="18"/>
                <w:szCs w:val="18"/>
                <w:vertAlign w:val="superscript"/>
                <w:lang w:val="ro-RO" w:eastAsia="ro-MD"/>
              </w:rPr>
              <w:t>8</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În sensul punctului 60</w:t>
            </w:r>
            <w:r w:rsidRPr="006F5136">
              <w:rPr>
                <w:rFonts w:ascii="Times New Roman" w:eastAsia="Times New Roman" w:hAnsi="Times New Roman" w:cs="Times New Roman"/>
                <w:sz w:val="18"/>
                <w:szCs w:val="18"/>
                <w:vertAlign w:val="superscript"/>
                <w:lang w:val="ro-RO" w:eastAsia="ro-MD"/>
              </w:rPr>
              <w:t>6</w:t>
            </w:r>
            <w:r w:rsidRPr="006F5136">
              <w:rPr>
                <w:rFonts w:ascii="Times New Roman" w:eastAsia="Times New Roman" w:hAnsi="Times New Roman" w:cs="Times New Roman"/>
                <w:sz w:val="18"/>
                <w:szCs w:val="18"/>
                <w:lang w:val="ro-RO" w:eastAsia="ro-MD"/>
              </w:rPr>
              <w:t>, faza operațională înseamnă faza în care entitatea creată în mod specific pentru finanțarea proiectului, sau care este comparabilă din punct de vedere economic, îndeplinește cumulativ următoarele condiții:</w:t>
            </w:r>
          </w:p>
          <w:p w14:paraId="3B1FC2F4"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entitatea are un flux de numerar net pozitiv care este suficient pentru a acoperi orice obligație contractuală rămasă;</w:t>
            </w:r>
          </w:p>
          <w:p w14:paraId="2317AD46" w14:textId="77777777" w:rsidR="00914DC9" w:rsidRPr="006F5136" w:rsidRDefault="00914DC9" w:rsidP="00914DC9">
            <w:pPr>
              <w:pStyle w:val="CM4"/>
              <w:tabs>
                <w:tab w:val="left" w:pos="150"/>
              </w:tabs>
              <w:rPr>
                <w:rFonts w:ascii="Times New Roman" w:hAnsi="Times New Roman"/>
                <w:sz w:val="18"/>
                <w:szCs w:val="18"/>
                <w:lang w:val="ro-RO" w:eastAsia="ro-MD"/>
              </w:rPr>
            </w:pPr>
            <w:r w:rsidRPr="006F5136">
              <w:rPr>
                <w:rFonts w:ascii="Times New Roman" w:hAnsi="Times New Roman"/>
                <w:sz w:val="18"/>
                <w:szCs w:val="18"/>
                <w:lang w:val="ro-RO" w:eastAsia="ro-MD"/>
              </w:rPr>
              <w:t>2) entitatea are o datorie pe termen lung în scădere.</w:t>
            </w:r>
          </w:p>
          <w:p w14:paraId="019757A3" w14:textId="5E5F19CA" w:rsidR="00914DC9" w:rsidRPr="006F5136" w:rsidRDefault="00914DC9" w:rsidP="00914DC9">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2609ACDB" w14:textId="1A66FD0B"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5C392094" w14:textId="7C065C52"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E14FA" w:rsidRPr="006F5136" w14:paraId="296E69A7"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5E9100C" w14:textId="77777777" w:rsidR="006E14FA" w:rsidRPr="006F5136" w:rsidRDefault="006E14F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   ABE elaborează proiecte de standarde tehnice de reglementare pentru a preciza mai detaliat condițiile în care sunt îndeplinite criteriile prevăzute la alineatul (3) litera (c) punctul (ii).</w:t>
            </w:r>
          </w:p>
          <w:p w14:paraId="19197C1F" w14:textId="77777777" w:rsidR="006E14FA" w:rsidRPr="006F5136" w:rsidRDefault="006E14F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ABE prezintă Comisiei aceste proiecte de standarde tehnice de reglementare până la 10 iulie 2026.</w:t>
            </w:r>
          </w:p>
          <w:p w14:paraId="01BB69FD" w14:textId="77777777" w:rsidR="006E14FA" w:rsidRPr="006F5136" w:rsidRDefault="006E14FA" w:rsidP="005E4694">
            <w:pPr>
              <w:pStyle w:val="CM4"/>
              <w:tabs>
                <w:tab w:val="left" w:pos="150"/>
              </w:tabs>
              <w:ind w:left="-43"/>
              <w:jc w:val="both"/>
              <w:rPr>
                <w:rFonts w:ascii="Times New Roman" w:hAnsi="Times New Roman"/>
                <w:iCs/>
                <w:sz w:val="18"/>
                <w:szCs w:val="18"/>
                <w:lang w:val="ro-RO" w:eastAsia="ru-RU"/>
              </w:rPr>
            </w:pPr>
          </w:p>
          <w:p w14:paraId="1CF903B9" w14:textId="0DDDAF48" w:rsidR="006E14FA" w:rsidRPr="006F5136" w:rsidRDefault="006E14F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Comisia este împuternicită să completeze prezentul regulament prin adoptarea standardelor tehnice de reglementare menționate la primul paragraf din prezentul alineat în conformitate cu articolele 10-14 din Regulamentul (UE) nr. 1093/2010.</w:t>
            </w:r>
          </w:p>
        </w:tc>
        <w:tc>
          <w:tcPr>
            <w:tcW w:w="1661" w:type="pct"/>
            <w:shd w:val="clear" w:color="auto" w:fill="auto"/>
          </w:tcPr>
          <w:p w14:paraId="18107F1D" w14:textId="77777777" w:rsidR="006E14FA" w:rsidRPr="006F5136" w:rsidRDefault="006E14FA" w:rsidP="005E4694">
            <w:pPr>
              <w:pStyle w:val="CM4"/>
              <w:tabs>
                <w:tab w:val="left" w:pos="150"/>
              </w:tabs>
              <w:rPr>
                <w:rFonts w:ascii="Times New Roman" w:hAnsi="Times New Roman"/>
                <w:sz w:val="18"/>
                <w:szCs w:val="18"/>
                <w:lang w:val="ro-RO" w:eastAsia="ru-RU"/>
              </w:rPr>
            </w:pPr>
          </w:p>
        </w:tc>
        <w:tc>
          <w:tcPr>
            <w:tcW w:w="503" w:type="pct"/>
          </w:tcPr>
          <w:p w14:paraId="4BE94A22" w14:textId="4A4266EB" w:rsidR="006E14FA" w:rsidRPr="006F5136" w:rsidRDefault="006E14FA"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Norme UE neaplicabile</w:t>
            </w:r>
          </w:p>
        </w:tc>
        <w:tc>
          <w:tcPr>
            <w:tcW w:w="912" w:type="pct"/>
          </w:tcPr>
          <w:p w14:paraId="4FCDE8F2" w14:textId="77777777" w:rsidR="006E14FA" w:rsidRPr="006F5136" w:rsidRDefault="006E14FA" w:rsidP="005E4694">
            <w:pPr>
              <w:spacing w:after="0" w:line="240" w:lineRule="auto"/>
              <w:jc w:val="both"/>
              <w:rPr>
                <w:rFonts w:ascii="Times New Roman" w:hAnsi="Times New Roman" w:cs="Times New Roman"/>
                <w:sz w:val="18"/>
                <w:szCs w:val="18"/>
                <w:lang w:val="ro-RO"/>
              </w:rPr>
            </w:pPr>
          </w:p>
        </w:tc>
      </w:tr>
      <w:tr w:rsidR="00BB2F88" w:rsidRPr="006F5136" w14:paraId="43A7109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87"/>
        </w:trPr>
        <w:tc>
          <w:tcPr>
            <w:tcW w:w="1924" w:type="pct"/>
          </w:tcPr>
          <w:p w14:paraId="19B2246F"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123</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Expuneri de tip retail</w:t>
            </w:r>
            <w:r w:rsidRPr="006F5136">
              <w:rPr>
                <w:rFonts w:ascii="Times New Roman" w:hAnsi="Times New Roman"/>
                <w:iCs/>
                <w:sz w:val="18"/>
                <w:szCs w:val="18"/>
                <w:lang w:val="ro-RO" w:eastAsia="ru-RU"/>
              </w:rPr>
              <w:t xml:space="preserve"> </w:t>
            </w:r>
          </w:p>
          <w:p w14:paraId="2B1EF0DB" w14:textId="48B2C5A6" w:rsidR="00FB115C" w:rsidRPr="006F5136" w:rsidRDefault="00FB115C" w:rsidP="005E4694">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sz w:val="18"/>
                <w:szCs w:val="18"/>
                <w:lang w:eastAsia="ro-MD"/>
              </w:rPr>
              <w:t>(1)   </w:t>
            </w:r>
            <w:r w:rsidRPr="006F5136">
              <w:rPr>
                <w:rFonts w:ascii="Times New Roman" w:eastAsia="Times New Roman" w:hAnsi="Times New Roman" w:cs="Times New Roman"/>
                <w:color w:val="000000" w:themeColor="text1"/>
                <w:sz w:val="18"/>
                <w:szCs w:val="18"/>
                <w:lang w:eastAsia="ro-MD"/>
              </w:rPr>
              <w:t xml:space="preserve">Expunerile care respectă </w:t>
            </w:r>
            <w:r w:rsidRPr="006F5136">
              <w:rPr>
                <w:rFonts w:ascii="Times New Roman" w:eastAsia="Times New Roman" w:hAnsi="Times New Roman" w:cs="Times New Roman"/>
                <w:sz w:val="18"/>
                <w:szCs w:val="18"/>
                <w:lang w:eastAsia="ro-MD"/>
              </w:rPr>
              <w:t>toate criteriile următoare sunt considerate expuneri</w:t>
            </w:r>
            <w:r w:rsidRPr="006F5136">
              <w:rPr>
                <w:rFonts w:ascii="Times New Roman" w:eastAsia="Times New Roman" w:hAnsi="Times New Roman" w:cs="Times New Roman"/>
                <w:color w:val="000000" w:themeColor="text1"/>
                <w:sz w:val="18"/>
                <w:szCs w:val="18"/>
                <w:lang w:eastAsia="ro-MD"/>
              </w:rPr>
              <w:t xml:space="preserve"> de </w:t>
            </w:r>
            <w:r w:rsidRPr="006F5136">
              <w:rPr>
                <w:rFonts w:ascii="Times New Roman" w:eastAsia="Times New Roman" w:hAnsi="Times New Roman" w:cs="Times New Roman"/>
                <w:sz w:val="18"/>
                <w:szCs w:val="18"/>
                <w:lang w:eastAsia="ro-MD"/>
              </w:rPr>
              <w:t>tip retail:</w:t>
            </w:r>
          </w:p>
          <w:p w14:paraId="7ECA8441" w14:textId="1DC8C9C0" w:rsidR="00FB115C" w:rsidRPr="006F5136" w:rsidRDefault="00395381" w:rsidP="005E4694">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hAnsi="Times New Roman" w:cs="Times New Roman"/>
                <w:iCs/>
                <w:sz w:val="18"/>
                <w:szCs w:val="18"/>
                <w:lang w:val="ro-RO" w:eastAsia="ru-RU"/>
              </w:rPr>
              <w:t>(</w:t>
            </w:r>
            <w:r w:rsidR="00FB115C" w:rsidRPr="006F5136">
              <w:rPr>
                <w:rFonts w:ascii="Times New Roman" w:eastAsia="Times New Roman" w:hAnsi="Times New Roman" w:cs="Times New Roman"/>
                <w:color w:val="000000" w:themeColor="text1"/>
                <w:sz w:val="18"/>
                <w:szCs w:val="18"/>
                <w:lang w:eastAsia="ro-MD"/>
              </w:rPr>
              <w:t xml:space="preserve">a) expunerea este față de una sau mai multe persoane fizice sau față de </w:t>
            </w:r>
            <w:r w:rsidR="00FB115C" w:rsidRPr="006F5136">
              <w:rPr>
                <w:rFonts w:ascii="Times New Roman" w:eastAsia="Times New Roman" w:hAnsi="Times New Roman" w:cs="Times New Roman"/>
                <w:sz w:val="18"/>
                <w:szCs w:val="18"/>
                <w:lang w:eastAsia="ro-MD"/>
              </w:rPr>
              <w:t xml:space="preserve">un </w:t>
            </w:r>
            <w:r w:rsidR="00FB115C" w:rsidRPr="006F5136">
              <w:rPr>
                <w:rFonts w:ascii="Times New Roman" w:eastAsia="Times New Roman" w:hAnsi="Times New Roman" w:cs="Times New Roman"/>
                <w:color w:val="000000" w:themeColor="text1"/>
                <w:sz w:val="18"/>
                <w:szCs w:val="18"/>
                <w:lang w:eastAsia="ro-MD"/>
              </w:rPr>
              <w:t>IMM</w:t>
            </w:r>
            <w:r w:rsidR="00FB115C" w:rsidRPr="006F5136">
              <w:rPr>
                <w:rFonts w:ascii="Times New Roman" w:eastAsia="Times New Roman" w:hAnsi="Times New Roman" w:cs="Times New Roman"/>
                <w:sz w:val="18"/>
                <w:szCs w:val="18"/>
                <w:lang w:eastAsia="ro-MD"/>
              </w:rPr>
              <w:t>;</w:t>
            </w:r>
          </w:p>
          <w:p w14:paraId="0F5420DA" w14:textId="77777777" w:rsidR="0068713B" w:rsidRPr="006F5136" w:rsidRDefault="00395381" w:rsidP="005E4694">
            <w:pPr>
              <w:shd w:val="clear" w:color="auto" w:fill="FFFFFF"/>
              <w:spacing w:after="0" w:line="240" w:lineRule="auto"/>
              <w:jc w:val="both"/>
              <w:rPr>
                <w:rFonts w:ascii="Times New Roman" w:eastAsia="Times New Roman" w:hAnsi="Times New Roman" w:cs="Times New Roman"/>
                <w:sz w:val="18"/>
                <w:szCs w:val="18"/>
                <w:lang w:eastAsia="ro-MD"/>
              </w:rPr>
            </w:pPr>
            <w:r w:rsidRPr="006F5136">
              <w:rPr>
                <w:rFonts w:ascii="Times New Roman" w:hAnsi="Times New Roman" w:cs="Times New Roman"/>
                <w:iCs/>
                <w:sz w:val="18"/>
                <w:szCs w:val="18"/>
                <w:lang w:val="ro-RO" w:eastAsia="ru-RU"/>
              </w:rPr>
              <w:t xml:space="preserve">(b) </w:t>
            </w:r>
            <w:r w:rsidR="0068713B" w:rsidRPr="006F5136">
              <w:rPr>
                <w:rFonts w:ascii="Times New Roman" w:eastAsia="Times New Roman" w:hAnsi="Times New Roman" w:cs="Times New Roman"/>
                <w:sz w:val="18"/>
                <w:szCs w:val="18"/>
                <w:lang w:eastAsia="ro-MD"/>
              </w:rPr>
              <w:t>suma totală datorată instituției, întreprinderii-mamă și filialelor sale de către debitor sau de către un grup de clienți aflați în legătură, inclusiv orice expunere aflată în stare de nerambursare, dar cu excepția expunerilor garantate cu bunuri imobile locative, până la valoarea bunurilor imobile, nu depășește 1 milion EUR, potrivit informațiilor deținute de instituție, care ia toate măsurile necesare pentru a confirma situația;</w:t>
            </w:r>
          </w:p>
          <w:p w14:paraId="127B8826" w14:textId="3AF09A66" w:rsidR="00395381" w:rsidRPr="006F5136" w:rsidRDefault="0068713B"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(c) </w:t>
            </w:r>
            <w:r w:rsidR="00395381" w:rsidRPr="006F5136">
              <w:rPr>
                <w:rFonts w:ascii="Times New Roman" w:hAnsi="Times New Roman"/>
                <w:iCs/>
                <w:sz w:val="18"/>
                <w:szCs w:val="18"/>
                <w:lang w:val="ro-RO" w:eastAsia="ru-RU"/>
              </w:rPr>
              <w:t xml:space="preserve">expunerea face parte dintr-un număr semnificativ de expuneri cu caracteristici similare, astfel încât riscurile asociate unei astfel de </w:t>
            </w:r>
            <w:r w:rsidR="009A0A69" w:rsidRPr="006F5136">
              <w:rPr>
                <w:rFonts w:ascii="Times New Roman" w:hAnsi="Times New Roman"/>
                <w:iCs/>
                <w:sz w:val="18"/>
                <w:szCs w:val="18"/>
                <w:lang w:val="ro-RO" w:eastAsia="ru-RU"/>
              </w:rPr>
              <w:t xml:space="preserve">expuneri </w:t>
            </w:r>
            <w:r w:rsidR="00395381" w:rsidRPr="006F5136">
              <w:rPr>
                <w:rFonts w:ascii="Times New Roman" w:hAnsi="Times New Roman"/>
                <w:iCs/>
                <w:sz w:val="18"/>
                <w:szCs w:val="18"/>
                <w:lang w:val="ro-RO" w:eastAsia="ru-RU"/>
              </w:rPr>
              <w:t>sunt reduse considerabil;</w:t>
            </w:r>
          </w:p>
          <w:p w14:paraId="41062CE7" w14:textId="77777777" w:rsidR="00395381" w:rsidRPr="006F5136" w:rsidRDefault="00395381" w:rsidP="005E4694">
            <w:pPr>
              <w:pStyle w:val="CM4"/>
              <w:tabs>
                <w:tab w:val="left" w:pos="150"/>
              </w:tabs>
              <w:ind w:left="-43"/>
              <w:jc w:val="both"/>
              <w:rPr>
                <w:rFonts w:ascii="Times New Roman" w:hAnsi="Times New Roman"/>
                <w:iCs/>
                <w:sz w:val="18"/>
                <w:szCs w:val="18"/>
                <w:lang w:val="ro-RO" w:eastAsia="ru-RU"/>
              </w:rPr>
            </w:pPr>
          </w:p>
          <w:p w14:paraId="3A013328" w14:textId="6D098963" w:rsidR="00544039" w:rsidRPr="006F5136" w:rsidRDefault="00544039" w:rsidP="005E4694">
            <w:pPr>
              <w:spacing w:after="0" w:line="240" w:lineRule="auto"/>
              <w:rPr>
                <w:rFonts w:ascii="Times New Roman" w:hAnsi="Times New Roman" w:cs="Times New Roman"/>
                <w:sz w:val="18"/>
                <w:szCs w:val="18"/>
                <w:lang w:val="ro-RO" w:eastAsia="ru-RU"/>
              </w:rPr>
            </w:pPr>
            <w:r w:rsidRPr="006F5136">
              <w:rPr>
                <w:rFonts w:ascii="Times New Roman" w:hAnsi="Times New Roman" w:cs="Times New Roman"/>
                <w:sz w:val="18"/>
                <w:szCs w:val="18"/>
                <w:lang w:val="ro-RO" w:eastAsia="ru-RU"/>
              </w:rPr>
              <w:t>(</w:t>
            </w:r>
            <w:r w:rsidRPr="006F5136">
              <w:rPr>
                <w:rFonts w:ascii="Times New Roman" w:eastAsia="Times New Roman" w:hAnsi="Times New Roman" w:cs="Times New Roman"/>
                <w:iCs/>
                <w:sz w:val="18"/>
                <w:szCs w:val="18"/>
                <w:lang w:val="ro-RO" w:eastAsia="ru-RU"/>
              </w:rPr>
              <w:t>d) instituția în cauză tratează expunerea în cadrul său de gestionare a riscurilor și gestionează expunerea la nivel intern ca expunere de tip retail, în mod consecvent de-a lungul timpului și într-un mod similar cu tratamentul aplicat de instituție altor expuneri de tip retail.</w:t>
            </w:r>
          </w:p>
          <w:p w14:paraId="76051B0D" w14:textId="52D92B39" w:rsidR="000A01A2" w:rsidRPr="006F5136" w:rsidRDefault="000A01A2" w:rsidP="005E4694">
            <w:pPr>
              <w:pStyle w:val="CM4"/>
              <w:tabs>
                <w:tab w:val="left" w:pos="150"/>
              </w:tabs>
              <w:ind w:left="-43"/>
              <w:jc w:val="both"/>
              <w:rPr>
                <w:rFonts w:ascii="Times New Roman" w:hAnsi="Times New Roman"/>
                <w:sz w:val="18"/>
                <w:szCs w:val="18"/>
                <w:lang w:val="ro-RO" w:eastAsia="ru-RU"/>
              </w:rPr>
            </w:pPr>
          </w:p>
        </w:tc>
        <w:tc>
          <w:tcPr>
            <w:tcW w:w="1661" w:type="pct"/>
            <w:shd w:val="clear" w:color="auto" w:fill="auto"/>
          </w:tcPr>
          <w:p w14:paraId="3CA38599"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 xml:space="preserve">Secțiunea a 10-a. </w:t>
            </w:r>
            <w:r w:rsidRPr="006F5136">
              <w:rPr>
                <w:rFonts w:ascii="Times New Roman" w:hAnsi="Times New Roman"/>
                <w:b/>
                <w:bCs/>
                <w:sz w:val="18"/>
                <w:szCs w:val="18"/>
                <w:lang w:val="ro-RO" w:eastAsia="ru-RU"/>
              </w:rPr>
              <w:t>Expuneri de tip retail</w:t>
            </w:r>
          </w:p>
          <w:p w14:paraId="6849236F" w14:textId="745E1E01"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b/>
                <w:bCs/>
                <w:sz w:val="18"/>
                <w:szCs w:val="18"/>
                <w:lang w:val="ro-RO" w:eastAsia="ru-RU"/>
              </w:rPr>
              <w:t>6</w:t>
            </w:r>
            <w:r w:rsidR="005D65CD" w:rsidRPr="006F5136">
              <w:rPr>
                <w:rFonts w:ascii="Times New Roman" w:hAnsi="Times New Roman"/>
                <w:b/>
                <w:bCs/>
                <w:sz w:val="18"/>
                <w:szCs w:val="18"/>
                <w:lang w:val="ro-RO" w:eastAsia="ru-RU"/>
              </w:rPr>
              <w:t>1</w:t>
            </w:r>
            <w:r w:rsidRPr="006F5136">
              <w:rPr>
                <w:rFonts w:ascii="Times New Roman" w:hAnsi="Times New Roman"/>
                <w:b/>
                <w:bCs/>
                <w:sz w:val="18"/>
                <w:szCs w:val="18"/>
                <w:lang w:val="ro-RO" w:eastAsia="ru-RU"/>
              </w:rPr>
              <w:t>.</w:t>
            </w:r>
            <w:r w:rsidRPr="006F5136">
              <w:rPr>
                <w:rFonts w:ascii="Times New Roman" w:hAnsi="Times New Roman"/>
                <w:sz w:val="18"/>
                <w:szCs w:val="18"/>
                <w:lang w:val="ro-RO" w:eastAsia="ru-RU"/>
              </w:rPr>
              <w:t xml:space="preserve"> Expunerile care respectă cumulativ următoarele criterii</w:t>
            </w:r>
            <w:bookmarkStart w:id="8" w:name="_Hlk206518008"/>
            <w:r w:rsidR="007A1473" w:rsidRPr="006F5136">
              <w:rPr>
                <w:rFonts w:ascii="Times New Roman" w:hAnsi="Times New Roman"/>
                <w:sz w:val="18"/>
                <w:szCs w:val="18"/>
                <w:lang w:val="ro-RO" w:eastAsia="ro-MD"/>
              </w:rPr>
              <w:t xml:space="preserve"> sunt considerate expuneri de tip retail și</w:t>
            </w:r>
            <w:bookmarkEnd w:id="8"/>
            <w:r w:rsidRPr="006F5136">
              <w:rPr>
                <w:rFonts w:ascii="Times New Roman" w:hAnsi="Times New Roman"/>
                <w:sz w:val="18"/>
                <w:szCs w:val="18"/>
                <w:lang w:val="ro-RO" w:eastAsia="ru-RU"/>
              </w:rPr>
              <w:t xml:space="preserve"> primesc o pondere de risc de 75%: </w:t>
            </w:r>
          </w:p>
          <w:p w14:paraId="58E145E5"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1) expunerea este față de una sau mai multe persoane fizice sau față de o întreprindere mică sau mijlocie (ÎMM);</w:t>
            </w:r>
          </w:p>
          <w:p w14:paraId="55434399" w14:textId="77777777" w:rsidR="00395381" w:rsidRPr="006F5136" w:rsidRDefault="00395381"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 xml:space="preserve">2) expunerea face parte dintr-un număr semnificativ de expuneri cu caracteristici similare, astfel încât riscurile asociate unei astfel de creditări sunt reduse considerabil; </w:t>
            </w:r>
          </w:p>
          <w:p w14:paraId="64E26BCE" w14:textId="77777777" w:rsidR="007A1473" w:rsidRPr="006F5136" w:rsidRDefault="007A1473"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3) suma totală datorată băncii, întreprinderii–mamă și filialelor acesteia, incluzând orice expunere în stare de nerambursare, de către clientul debitor sau de către grupul de clienți aflați în legătură, dar excluzând expunerile garantate cu bunuri imobile locative care au fost atribuite clasei de expuneri menționate la punctul 11 subpunctul 9), nu depășește 5 milioane lei moldovenești, potrivit informațiilor deținute de bancă. Banca întreprinde toate măsurile necesare pentru a obține informația respectivă;</w:t>
            </w:r>
          </w:p>
          <w:p w14:paraId="21411DD0" w14:textId="77777777" w:rsidR="007A1473" w:rsidRPr="006F5136" w:rsidRDefault="007A1473"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4) banca tratează expunerea în cadrul său de administrare a riscurilor și gestionează expunerea la nivel intern ca expunere de tip retail, în mod consecvent de-a lungul timpului și într-un mod similar cu tratamentul aplicat de bancă altor expuneri de tip retail.</w:t>
            </w:r>
          </w:p>
          <w:p w14:paraId="2BD48180" w14:textId="68381E01" w:rsidR="00395381" w:rsidRPr="006F5136" w:rsidRDefault="007A1473" w:rsidP="005E4694">
            <w:pPr>
              <w:pStyle w:val="CM4"/>
              <w:tabs>
                <w:tab w:val="left" w:pos="150"/>
              </w:tabs>
              <w:ind w:left="-36"/>
              <w:rPr>
                <w:rFonts w:ascii="Times New Roman" w:hAnsi="Times New Roman"/>
                <w:i/>
                <w:iCs/>
                <w:sz w:val="18"/>
                <w:szCs w:val="18"/>
                <w:lang w:val="ro-RO" w:eastAsia="ru-RU"/>
              </w:rPr>
            </w:pPr>
            <w:r w:rsidRPr="006F5136">
              <w:rPr>
                <w:rFonts w:ascii="Times New Roman" w:hAnsi="Times New Roman"/>
                <w:i/>
                <w:iCs/>
                <w:sz w:val="18"/>
                <w:szCs w:val="18"/>
                <w:lang w:val="ro-RO" w:eastAsia="ru-RU"/>
              </w:rPr>
              <w:t>Modificat prin Proiectul HCE al BNM privind modificarea Regulamentului nr.111/2018.</w:t>
            </w:r>
          </w:p>
        </w:tc>
        <w:tc>
          <w:tcPr>
            <w:tcW w:w="503" w:type="pct"/>
          </w:tcPr>
          <w:p w14:paraId="1278CDF7" w14:textId="77777777"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4A43F393" w14:textId="48699138" w:rsidR="00F02CF4"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p w14:paraId="060AF0A1" w14:textId="77777777" w:rsidR="00395381" w:rsidRPr="006F5136" w:rsidRDefault="00395381"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Limita de la subpct.3) este prevăzută luând în considerare portofoliul de credit în sectorul bancar al RM.</w:t>
            </w:r>
          </w:p>
          <w:p w14:paraId="3F8234A1" w14:textId="421166C2" w:rsidR="007A1473" w:rsidRPr="006F5136" w:rsidRDefault="007A1473"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Conform pozitiei de negociere, limita de 10 milion EUR urmează sa se aplice la data aderării.</w:t>
            </w:r>
          </w:p>
        </w:tc>
      </w:tr>
      <w:tr w:rsidR="00906DD0" w:rsidRPr="006F5136" w14:paraId="48D74E7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3"/>
        </w:trPr>
        <w:tc>
          <w:tcPr>
            <w:tcW w:w="1924" w:type="pct"/>
          </w:tcPr>
          <w:p w14:paraId="42AB4CCA" w14:textId="77777777" w:rsidR="00906DD0" w:rsidRPr="006F5136" w:rsidRDefault="00906DD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Valoarea actualizată a plăților minime de leasing de tip retail poate fi încadrată în clasa de expuneri de tip retail.</w:t>
            </w:r>
          </w:p>
          <w:p w14:paraId="617B1F95" w14:textId="77777777" w:rsidR="00906DD0" w:rsidRPr="006F5136" w:rsidRDefault="00906DD0" w:rsidP="005E4694">
            <w:pPr>
              <w:pStyle w:val="CM4"/>
              <w:tabs>
                <w:tab w:val="left" w:pos="150"/>
              </w:tabs>
              <w:ind w:left="-43"/>
              <w:jc w:val="both"/>
              <w:rPr>
                <w:rFonts w:ascii="Times New Roman" w:hAnsi="Times New Roman"/>
                <w:sz w:val="18"/>
                <w:szCs w:val="18"/>
                <w:lang w:val="ro-RO" w:eastAsia="ru-RU"/>
              </w:rPr>
            </w:pPr>
          </w:p>
        </w:tc>
        <w:tc>
          <w:tcPr>
            <w:tcW w:w="1661" w:type="pct"/>
            <w:shd w:val="clear" w:color="auto" w:fill="auto"/>
          </w:tcPr>
          <w:p w14:paraId="4B7781FA" w14:textId="4F33B2B5" w:rsidR="00906DD0" w:rsidRPr="006F5136" w:rsidRDefault="00906DD0"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6</w:t>
            </w:r>
            <w:r w:rsidR="007A1473" w:rsidRPr="006F5136">
              <w:rPr>
                <w:rFonts w:ascii="Times New Roman" w:hAnsi="Times New Roman"/>
                <w:sz w:val="18"/>
                <w:szCs w:val="18"/>
                <w:lang w:val="ro-RO" w:eastAsia="ru-RU"/>
              </w:rPr>
              <w:t>4</w:t>
            </w:r>
            <w:r w:rsidRPr="006F5136">
              <w:rPr>
                <w:rFonts w:ascii="Times New Roman" w:hAnsi="Times New Roman"/>
                <w:sz w:val="18"/>
                <w:szCs w:val="18"/>
                <w:lang w:val="ro-RO" w:eastAsia="ru-RU"/>
              </w:rPr>
              <w:t>.</w:t>
            </w:r>
            <w:r w:rsidRPr="006F5136">
              <w:rPr>
                <w:rFonts w:ascii="Times New Roman" w:hAnsi="Times New Roman"/>
                <w:sz w:val="18"/>
                <w:szCs w:val="18"/>
                <w:lang w:val="ro-RO" w:eastAsia="ru-RU"/>
              </w:rPr>
              <w:tab/>
              <w:t>Valoarea actualizată a plăților minime de leasing de tip retail este eligibilă pentru clasa de expuneri de tip retail.</w:t>
            </w:r>
          </w:p>
        </w:tc>
        <w:tc>
          <w:tcPr>
            <w:tcW w:w="503" w:type="pct"/>
          </w:tcPr>
          <w:p w14:paraId="42C22E69" w14:textId="6250EB7D" w:rsidR="00906DD0" w:rsidRPr="006F5136" w:rsidRDefault="00906DD0"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2E7B3CC6" w14:textId="2C2771F3" w:rsidR="00906DD0" w:rsidRPr="006F5136" w:rsidRDefault="003F0892"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BA1DFA" w:rsidRPr="006F5136" w14:paraId="144A1B7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3"/>
        </w:trPr>
        <w:tc>
          <w:tcPr>
            <w:tcW w:w="1924" w:type="pct"/>
          </w:tcPr>
          <w:p w14:paraId="382D69AB" w14:textId="342EC202" w:rsidR="00BA1DFA" w:rsidRPr="006F5136" w:rsidRDefault="00BA1DF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color w:val="000000" w:themeColor="text1"/>
                <w:sz w:val="18"/>
                <w:szCs w:val="18"/>
                <w:lang w:eastAsia="ro-MD"/>
              </w:rPr>
              <w:t>Expunerile care nu respectă criteriile menționate la literele (a)-(c) de la primul paragraf nu sunt eligibile pentru clasa de expuneri de tip retail.</w:t>
            </w:r>
          </w:p>
        </w:tc>
        <w:tc>
          <w:tcPr>
            <w:tcW w:w="1661" w:type="pct"/>
            <w:shd w:val="clear" w:color="auto" w:fill="auto"/>
          </w:tcPr>
          <w:p w14:paraId="343C69F0" w14:textId="77777777" w:rsidR="00BA1DFA" w:rsidRPr="006F5136" w:rsidRDefault="00BA1DF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62. Expunerile care nu respectă criteriile menționate la punctul 61 subpunctele 1) – 3) nu sunt eligibile pentru clasa de expuneri de tip retail.</w:t>
            </w:r>
          </w:p>
          <w:p w14:paraId="413BA6C1" w14:textId="0CB8DEF4" w:rsidR="00BA1DFA" w:rsidRPr="006F5136" w:rsidRDefault="00BA1DFA" w:rsidP="005E4694">
            <w:pPr>
              <w:spacing w:after="0" w:line="240" w:lineRule="auto"/>
              <w:rPr>
                <w:rFonts w:ascii="Times New Roman" w:hAnsi="Times New Roman" w:cs="Times New Roman"/>
                <w:sz w:val="18"/>
                <w:szCs w:val="18"/>
                <w:lang w:val="ro-RO" w:eastAsia="ru-RU"/>
              </w:rPr>
            </w:pPr>
            <w:r w:rsidRPr="006F5136">
              <w:rPr>
                <w:rFonts w:ascii="Times New Roman" w:hAnsi="Times New Roman" w:cs="Times New Roman"/>
                <w:i/>
                <w:iCs/>
                <w:sz w:val="18"/>
                <w:szCs w:val="18"/>
                <w:lang w:val="ro-RO" w:eastAsia="ru-RU"/>
              </w:rPr>
              <w:t>Modificat prin Proiectul HCE al BNM privind modificarea Regulamentului nr.111/2018.</w:t>
            </w:r>
          </w:p>
        </w:tc>
        <w:tc>
          <w:tcPr>
            <w:tcW w:w="503" w:type="pct"/>
          </w:tcPr>
          <w:p w14:paraId="28790797" w14:textId="446999A1" w:rsidR="00BA1DFA" w:rsidRPr="006F5136" w:rsidRDefault="00BA1DFA"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tc>
        <w:tc>
          <w:tcPr>
            <w:tcW w:w="912" w:type="pct"/>
          </w:tcPr>
          <w:p w14:paraId="4624FEA7" w14:textId="223789B6" w:rsidR="00BA1DFA" w:rsidRPr="006F5136" w:rsidRDefault="00BA1DFA"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91DAA" w:rsidRPr="006F5136" w14:paraId="72EF633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3"/>
        </w:trPr>
        <w:tc>
          <w:tcPr>
            <w:tcW w:w="1924" w:type="pct"/>
          </w:tcPr>
          <w:p w14:paraId="249D33BE" w14:textId="77777777" w:rsidR="00291DAA" w:rsidRPr="006F5136" w:rsidRDefault="00291DAA" w:rsidP="005E4694">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▼M17</w:t>
            </w:r>
          </w:p>
          <w:p w14:paraId="16E94684" w14:textId="3DD6BD17" w:rsidR="00291DAA" w:rsidRPr="006F5136" w:rsidRDefault="00291DAA" w:rsidP="005E4694">
            <w:pPr>
              <w:pStyle w:val="CM4"/>
              <w:tabs>
                <w:tab w:val="left" w:pos="150"/>
              </w:tabs>
              <w:ind w:left="-43"/>
              <w:jc w:val="both"/>
              <w:rPr>
                <w:rFonts w:ascii="Times New Roman" w:hAnsi="Times New Roman"/>
                <w:color w:val="000000" w:themeColor="text1"/>
                <w:sz w:val="18"/>
                <w:szCs w:val="18"/>
                <w:lang w:eastAsia="ro-MD"/>
              </w:rPr>
            </w:pPr>
            <w:r w:rsidRPr="006F5136">
              <w:rPr>
                <w:rFonts w:ascii="Times New Roman" w:hAnsi="Times New Roman"/>
                <w:sz w:val="18"/>
                <w:szCs w:val="18"/>
                <w:lang w:val="ro-RO" w:eastAsia="ru-RU"/>
              </w:rPr>
              <w:t>Până la 10 iulie 2025, ABE emite ghiduri, în conformitate cu articolul 16 din Regulamentul (UE) nr. 1093/2010, pentru a specifica metodele proporționale de diversificare conform cărora o expunere trebuie considerată ca făcând parte dintr-un număr semnificativ de expuneri similare, astfel cum se precizează la primul paragraf litera (c) de la prezentul alineat.</w:t>
            </w:r>
          </w:p>
        </w:tc>
        <w:tc>
          <w:tcPr>
            <w:tcW w:w="1661" w:type="pct"/>
            <w:shd w:val="clear" w:color="auto" w:fill="auto"/>
          </w:tcPr>
          <w:p w14:paraId="0E42E0BE" w14:textId="77777777" w:rsidR="00291DAA" w:rsidRPr="006F5136" w:rsidRDefault="00291DAA" w:rsidP="005E4694">
            <w:pPr>
              <w:pStyle w:val="CM4"/>
              <w:tabs>
                <w:tab w:val="left" w:pos="150"/>
              </w:tabs>
              <w:ind w:left="-36"/>
              <w:rPr>
                <w:rFonts w:ascii="Times New Roman" w:hAnsi="Times New Roman"/>
                <w:sz w:val="18"/>
                <w:szCs w:val="18"/>
                <w:lang w:val="ro-RO" w:eastAsia="ru-RU"/>
              </w:rPr>
            </w:pPr>
          </w:p>
        </w:tc>
        <w:tc>
          <w:tcPr>
            <w:tcW w:w="503" w:type="pct"/>
          </w:tcPr>
          <w:p w14:paraId="36B481A3" w14:textId="57069F77" w:rsidR="00291DAA" w:rsidRPr="006F5136" w:rsidRDefault="00291DAA"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Norme UE neaplicabile.</w:t>
            </w:r>
          </w:p>
        </w:tc>
        <w:tc>
          <w:tcPr>
            <w:tcW w:w="912" w:type="pct"/>
          </w:tcPr>
          <w:p w14:paraId="45DE0EED" w14:textId="77777777" w:rsidR="00291DAA" w:rsidRPr="006F5136" w:rsidRDefault="00291DAA" w:rsidP="005E4694">
            <w:pPr>
              <w:spacing w:after="0" w:line="240" w:lineRule="auto"/>
              <w:jc w:val="both"/>
              <w:rPr>
                <w:rFonts w:ascii="Times New Roman" w:hAnsi="Times New Roman" w:cs="Times New Roman"/>
                <w:sz w:val="18"/>
                <w:szCs w:val="18"/>
                <w:lang w:val="ro-RO"/>
              </w:rPr>
            </w:pPr>
          </w:p>
        </w:tc>
      </w:tr>
      <w:tr w:rsidR="00914DC9" w:rsidRPr="006F5136" w14:paraId="60A8AD2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20"/>
        </w:trPr>
        <w:tc>
          <w:tcPr>
            <w:tcW w:w="1924" w:type="pct"/>
          </w:tcPr>
          <w:p w14:paraId="40CAF69C" w14:textId="77777777" w:rsidR="00914DC9" w:rsidRPr="006F5136" w:rsidRDefault="00914DC9" w:rsidP="00914DC9">
            <w:pPr>
              <w:shd w:val="clear" w:color="auto" w:fill="FFFFFF"/>
              <w:spacing w:after="0" w:line="240" w:lineRule="auto"/>
              <w:rPr>
                <w:rFonts w:ascii="Times New Roman" w:eastAsia="Times New Roman" w:hAnsi="Times New Roman" w:cs="Times New Roman"/>
                <w:b/>
                <w:bCs/>
                <w:sz w:val="18"/>
                <w:szCs w:val="18"/>
                <w:lang w:eastAsia="ro-MD"/>
              </w:rPr>
            </w:pPr>
            <w:hyperlink r:id="rId16" w:tooltip="32024R1623: INSERTED" w:history="1">
              <w:r w:rsidRPr="006F5136">
                <w:rPr>
                  <w:rFonts w:ascii="Times New Roman" w:eastAsia="Times New Roman" w:hAnsi="Times New Roman" w:cs="Times New Roman"/>
                  <w:b/>
                  <w:bCs/>
                  <w:sz w:val="18"/>
                  <w:szCs w:val="18"/>
                  <w:lang w:eastAsia="ro-MD"/>
                </w:rPr>
                <w:t>▼M17</w:t>
              </w:r>
            </w:hyperlink>
          </w:p>
          <w:p w14:paraId="4563863A" w14:textId="77777777" w:rsidR="00914DC9" w:rsidRPr="006F5136" w:rsidRDefault="00914DC9" w:rsidP="00914DC9">
            <w:pPr>
              <w:shd w:val="clear" w:color="auto" w:fill="FFFFFF"/>
              <w:spacing w:after="0" w:line="240" w:lineRule="auto"/>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(2)   Următoarele expuneri nu sunt considerate expuneri de tip retail:</w:t>
            </w:r>
          </w:p>
          <w:p w14:paraId="16214AD2" w14:textId="77777777" w:rsidR="00914DC9" w:rsidRPr="006F5136" w:rsidRDefault="00914DC9" w:rsidP="00914DC9">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 xml:space="preserve">(a) expuneri care nu sunt reprezentate de titluri de datorie și care conferă un drept subordonat și rezidual asupra activelor sau venitului </w:t>
            </w:r>
            <w:proofErr w:type="gramStart"/>
            <w:r w:rsidRPr="006F5136">
              <w:rPr>
                <w:rFonts w:ascii="Times New Roman" w:eastAsia="Times New Roman" w:hAnsi="Times New Roman" w:cs="Times New Roman"/>
                <w:color w:val="000000" w:themeColor="text1"/>
                <w:sz w:val="18"/>
                <w:szCs w:val="18"/>
                <w:lang w:eastAsia="ro-MD"/>
              </w:rPr>
              <w:t>emitentului;</w:t>
            </w:r>
            <w:proofErr w:type="gramEnd"/>
          </w:p>
          <w:p w14:paraId="16401569" w14:textId="77777777" w:rsidR="00914DC9" w:rsidRPr="006F5136" w:rsidRDefault="00914DC9" w:rsidP="00914DC9">
            <w:pPr>
              <w:shd w:val="clear" w:color="auto" w:fill="FFFFFF"/>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color w:val="000000" w:themeColor="text1"/>
                <w:sz w:val="18"/>
                <w:szCs w:val="18"/>
                <w:lang w:eastAsia="ro-MD"/>
              </w:rPr>
              <w:t>(b) </w:t>
            </w:r>
            <w:r w:rsidRPr="006F5136">
              <w:rPr>
                <w:rFonts w:ascii="Times New Roman" w:eastAsia="Times New Roman" w:hAnsi="Times New Roman" w:cs="Times New Roman"/>
                <w:sz w:val="18"/>
                <w:szCs w:val="18"/>
                <w:lang w:eastAsia="ro-MD"/>
              </w:rPr>
              <w:t xml:space="preserve">expuneri din titluri de datorie și alte titluri de valoare, parteneriate, instrumente financiare derivate sau alte vehicule, a căror semnificație economică este similară cu cea </w:t>
            </w:r>
            <w:proofErr w:type="gramStart"/>
            <w:r w:rsidRPr="006F5136">
              <w:rPr>
                <w:rFonts w:ascii="Times New Roman" w:eastAsia="Times New Roman" w:hAnsi="Times New Roman" w:cs="Times New Roman"/>
                <w:sz w:val="18"/>
                <w:szCs w:val="18"/>
                <w:lang w:eastAsia="ro-MD"/>
              </w:rPr>
              <w:t>a</w:t>
            </w:r>
            <w:proofErr w:type="gramEnd"/>
            <w:r w:rsidRPr="006F5136">
              <w:rPr>
                <w:rFonts w:ascii="Times New Roman" w:eastAsia="Times New Roman" w:hAnsi="Times New Roman" w:cs="Times New Roman"/>
                <w:sz w:val="18"/>
                <w:szCs w:val="18"/>
                <w:lang w:eastAsia="ro-MD"/>
              </w:rPr>
              <w:t> expunerilor menționate la litera (a</w:t>
            </w:r>
            <w:proofErr w:type="gramStart"/>
            <w:r w:rsidRPr="006F5136">
              <w:rPr>
                <w:rFonts w:ascii="Times New Roman" w:eastAsia="Times New Roman" w:hAnsi="Times New Roman" w:cs="Times New Roman"/>
                <w:sz w:val="18"/>
                <w:szCs w:val="18"/>
                <w:lang w:eastAsia="ro-MD"/>
              </w:rPr>
              <w:t>);</w:t>
            </w:r>
            <w:proofErr w:type="gramEnd"/>
          </w:p>
          <w:p w14:paraId="33821CAF" w14:textId="77777777" w:rsidR="00914DC9" w:rsidRPr="006F5136" w:rsidRDefault="00914DC9" w:rsidP="00914DC9">
            <w:pPr>
              <w:shd w:val="clear" w:color="auto" w:fill="FFFFFF"/>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color w:val="000000" w:themeColor="text1"/>
                <w:sz w:val="18"/>
                <w:szCs w:val="18"/>
                <w:lang w:eastAsia="ro-MD"/>
              </w:rPr>
              <w:t>(c) </w:t>
            </w:r>
            <w:r w:rsidRPr="006F5136">
              <w:rPr>
                <w:rFonts w:ascii="Times New Roman" w:eastAsia="Times New Roman" w:hAnsi="Times New Roman" w:cs="Times New Roman"/>
                <w:sz w:val="18"/>
                <w:szCs w:val="18"/>
                <w:lang w:eastAsia="ro-MD"/>
              </w:rPr>
              <w:t>toate celelalte expuneri sub formă de titluri de valoare.</w:t>
            </w:r>
          </w:p>
          <w:p w14:paraId="58A081F0" w14:textId="77777777" w:rsidR="00914DC9" w:rsidRPr="006F5136" w:rsidRDefault="00914DC9" w:rsidP="00914DC9">
            <w:pPr>
              <w:pStyle w:val="CM4"/>
              <w:tabs>
                <w:tab w:val="left" w:pos="150"/>
              </w:tabs>
              <w:ind w:left="-43"/>
              <w:jc w:val="both"/>
              <w:rPr>
                <w:rFonts w:ascii="Times New Roman" w:hAnsi="Times New Roman"/>
                <w:sz w:val="18"/>
                <w:szCs w:val="18"/>
                <w:lang w:val="ro-RO" w:eastAsia="ru-RU"/>
              </w:rPr>
            </w:pPr>
          </w:p>
        </w:tc>
        <w:tc>
          <w:tcPr>
            <w:tcW w:w="1661" w:type="pct"/>
            <w:shd w:val="clear" w:color="auto" w:fill="auto"/>
          </w:tcPr>
          <w:p w14:paraId="793CE87D"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64</w:t>
            </w:r>
            <w:r w:rsidRPr="006F5136">
              <w:rPr>
                <w:rFonts w:ascii="Times New Roman" w:eastAsia="Times New Roman" w:hAnsi="Times New Roman" w:cs="Times New Roman"/>
                <w:b/>
                <w:bCs/>
                <w:sz w:val="18"/>
                <w:szCs w:val="18"/>
                <w:vertAlign w:val="superscript"/>
                <w:lang w:val="ro-RO" w:eastAsia="ro-MD"/>
              </w:rPr>
              <w:t>1</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Următoarele expuneri nu sunt considerate expuneri de tip retail:</w:t>
            </w:r>
          </w:p>
          <w:p w14:paraId="30AFE9D7"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expuneri care nu sunt reprezentate de titluri de datorie și care conferă un drept subordonat și rezidual asupra activelor sau venitului emitentului;</w:t>
            </w:r>
          </w:p>
          <w:p w14:paraId="67AA9C45"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expuneri din titluri de datorie și alte titluri de valoare, parteneriate, instrumente financiare derivate sau alte vehicule, a căror semnificație economică este similară cu cea a expunerilor menționate la subpunctul 1);</w:t>
            </w:r>
          </w:p>
          <w:p w14:paraId="23A7B157" w14:textId="77777777" w:rsidR="00914DC9" w:rsidRPr="006F5136" w:rsidRDefault="00914DC9" w:rsidP="00914DC9">
            <w:pPr>
              <w:pStyle w:val="CM4"/>
              <w:tabs>
                <w:tab w:val="left" w:pos="150"/>
              </w:tabs>
              <w:ind w:left="-36"/>
              <w:rPr>
                <w:rFonts w:ascii="Times New Roman" w:hAnsi="Times New Roman"/>
                <w:sz w:val="18"/>
                <w:szCs w:val="18"/>
                <w:lang w:val="ro-RO" w:eastAsia="ro-MD"/>
              </w:rPr>
            </w:pPr>
            <w:r w:rsidRPr="006F5136">
              <w:rPr>
                <w:rFonts w:ascii="Times New Roman" w:hAnsi="Times New Roman"/>
                <w:sz w:val="18"/>
                <w:szCs w:val="18"/>
                <w:lang w:val="ro-RO" w:eastAsia="ro-MD"/>
              </w:rPr>
              <w:t>3) toate celelalte expuneri sub formă de titluri de valoare.</w:t>
            </w:r>
          </w:p>
          <w:p w14:paraId="20A5A962" w14:textId="24E7CA19" w:rsidR="00914DC9" w:rsidRPr="006F5136" w:rsidRDefault="00914DC9" w:rsidP="00914DC9">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0E5FDC3D" w14:textId="38E6A2B8"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0E90B627" w14:textId="02FD45B6"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11CAD53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5"/>
        </w:trPr>
        <w:tc>
          <w:tcPr>
            <w:tcW w:w="1924" w:type="pct"/>
          </w:tcPr>
          <w:p w14:paraId="2F2B25F0" w14:textId="17D634D3" w:rsidR="00914DC9" w:rsidRPr="006F5136" w:rsidRDefault="00914DC9" w:rsidP="00914DC9">
            <w:pPr>
              <w:shd w:val="clear" w:color="auto" w:fill="FFFFFF"/>
              <w:spacing w:after="0" w:line="240" w:lineRule="auto"/>
              <w:jc w:val="both"/>
              <w:rPr>
                <w:rFonts w:ascii="Times New Roman" w:hAnsi="Times New Roman" w:cs="Times New Roman"/>
                <w:sz w:val="18"/>
                <w:szCs w:val="18"/>
                <w:lang w:eastAsia="ru-RU"/>
              </w:rPr>
            </w:pPr>
            <w:r w:rsidRPr="006F5136">
              <w:rPr>
                <w:rFonts w:ascii="Times New Roman" w:eastAsia="Times New Roman" w:hAnsi="Times New Roman" w:cs="Times New Roman"/>
                <w:sz w:val="18"/>
                <w:szCs w:val="18"/>
                <w:lang w:eastAsia="ro-MD"/>
              </w:rPr>
              <w:t>(3)   Expunerile de tip retail menționate la alineatul (1) primesc o pondere de risc de 75 %, cu excepția expunerilor față de tranzactori, care primesc o pondere de risc de 45 %.</w:t>
            </w:r>
          </w:p>
        </w:tc>
        <w:tc>
          <w:tcPr>
            <w:tcW w:w="1661" w:type="pct"/>
            <w:shd w:val="clear" w:color="auto" w:fill="auto"/>
          </w:tcPr>
          <w:p w14:paraId="729993EA" w14:textId="77777777" w:rsidR="00914DC9" w:rsidRPr="006F5136" w:rsidRDefault="00914DC9" w:rsidP="00914DC9">
            <w:pPr>
              <w:pStyle w:val="CM4"/>
              <w:tabs>
                <w:tab w:val="left" w:pos="150"/>
              </w:tabs>
              <w:ind w:left="-36"/>
              <w:rPr>
                <w:rFonts w:ascii="Times New Roman" w:hAnsi="Times New Roman"/>
                <w:sz w:val="18"/>
                <w:szCs w:val="18"/>
                <w:lang w:val="ro-RO" w:eastAsia="ro-MD"/>
              </w:rPr>
            </w:pPr>
            <w:r w:rsidRPr="006F5136">
              <w:rPr>
                <w:rFonts w:ascii="Times New Roman" w:hAnsi="Times New Roman"/>
                <w:b/>
                <w:bCs/>
                <w:sz w:val="18"/>
                <w:szCs w:val="18"/>
                <w:lang w:val="ro-RO" w:eastAsia="ro-MD"/>
              </w:rPr>
              <w:t>63.</w:t>
            </w:r>
            <w:r w:rsidRPr="006F5136">
              <w:rPr>
                <w:rFonts w:ascii="Times New Roman" w:hAnsi="Times New Roman"/>
                <w:sz w:val="18"/>
                <w:szCs w:val="18"/>
                <w:lang w:val="ro-RO" w:eastAsia="ro-MD"/>
              </w:rPr>
              <w:t xml:space="preserve"> </w:t>
            </w:r>
            <w:bookmarkStart w:id="9" w:name="_Hlk206518685"/>
            <w:r w:rsidRPr="006F5136">
              <w:rPr>
                <w:rFonts w:ascii="Times New Roman" w:hAnsi="Times New Roman"/>
                <w:sz w:val="18"/>
                <w:szCs w:val="18"/>
                <w:lang w:val="ro-RO" w:eastAsia="ro-MD"/>
              </w:rPr>
              <w:t>Expunerile față de tranzactori, care respectă criteriile expunerilor de tip retail menționate la punctul 61, primesc o pondere de risc de 45 %.</w:t>
            </w:r>
            <w:bookmarkEnd w:id="9"/>
          </w:p>
          <w:p w14:paraId="255B3EE2" w14:textId="08CC6602" w:rsidR="00914DC9" w:rsidRPr="006F5136" w:rsidRDefault="00914DC9" w:rsidP="00914DC9">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u-RU"/>
              </w:rPr>
              <w:t>Modificat prin Proiectul HCE al BNM privind modificarea Regulamentului nr.111/2018.</w:t>
            </w:r>
          </w:p>
        </w:tc>
        <w:tc>
          <w:tcPr>
            <w:tcW w:w="503" w:type="pct"/>
          </w:tcPr>
          <w:p w14:paraId="38881DA6" w14:textId="39DDDEB3"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58E62FF6" w14:textId="0FB55963"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43056D3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70"/>
        </w:trPr>
        <w:tc>
          <w:tcPr>
            <w:tcW w:w="1924" w:type="pct"/>
          </w:tcPr>
          <w:p w14:paraId="716533B5" w14:textId="40BB0282" w:rsidR="00914DC9" w:rsidRPr="006F5136" w:rsidRDefault="00914DC9" w:rsidP="00914DC9">
            <w:pPr>
              <w:shd w:val="clear" w:color="auto" w:fill="FFFFFF"/>
              <w:spacing w:after="0" w:line="240" w:lineRule="auto"/>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(4)   În cazul în care nu este îndeplinit niciunul dintre criteriile menționate la alineatul (1) pentru o expunere față de una sau mai multe persoane fizice, expunerea se consideră expunere de tip retail și se atribuie o pondere de risc de 100 %.</w:t>
            </w:r>
          </w:p>
        </w:tc>
        <w:tc>
          <w:tcPr>
            <w:tcW w:w="1661" w:type="pct"/>
            <w:shd w:val="clear" w:color="auto" w:fill="auto"/>
          </w:tcPr>
          <w:p w14:paraId="61C0254E" w14:textId="77777777" w:rsidR="00914DC9" w:rsidRPr="006F5136" w:rsidRDefault="00914DC9" w:rsidP="00914DC9">
            <w:pPr>
              <w:pStyle w:val="CM4"/>
              <w:tabs>
                <w:tab w:val="left" w:pos="150"/>
              </w:tabs>
              <w:ind w:left="-36"/>
              <w:rPr>
                <w:rFonts w:ascii="Times New Roman" w:hAnsi="Times New Roman"/>
                <w:sz w:val="18"/>
                <w:szCs w:val="18"/>
                <w:lang w:val="ro-RO" w:eastAsia="ro-MD"/>
              </w:rPr>
            </w:pPr>
            <w:r w:rsidRPr="006F5136">
              <w:rPr>
                <w:rFonts w:ascii="Times New Roman" w:hAnsi="Times New Roman"/>
                <w:b/>
                <w:bCs/>
                <w:sz w:val="18"/>
                <w:szCs w:val="18"/>
                <w:lang w:val="ro-RO" w:eastAsia="ro-MD"/>
              </w:rPr>
              <w:t>64</w:t>
            </w:r>
            <w:r w:rsidRPr="006F5136">
              <w:rPr>
                <w:rFonts w:ascii="Times New Roman" w:hAnsi="Times New Roman"/>
                <w:b/>
                <w:bCs/>
                <w:sz w:val="18"/>
                <w:szCs w:val="18"/>
                <w:vertAlign w:val="superscript"/>
                <w:lang w:val="ro-RO" w:eastAsia="ro-MD"/>
              </w:rPr>
              <w:t>2</w:t>
            </w:r>
            <w:r w:rsidRPr="006F5136">
              <w:rPr>
                <w:rFonts w:ascii="Times New Roman" w:hAnsi="Times New Roman"/>
                <w:b/>
                <w:bCs/>
                <w:sz w:val="18"/>
                <w:szCs w:val="18"/>
                <w:lang w:val="ro-RO" w:eastAsia="ro-MD"/>
              </w:rPr>
              <w:t>.</w:t>
            </w:r>
            <w:r w:rsidRPr="006F5136">
              <w:rPr>
                <w:rFonts w:ascii="Times New Roman" w:hAnsi="Times New Roman"/>
                <w:sz w:val="18"/>
                <w:szCs w:val="18"/>
                <w:lang w:val="ro-RO" w:eastAsia="ro-MD"/>
              </w:rPr>
              <w:t xml:space="preserve"> În cazul în care nu este îndeplinit niciunul dintre criteriile menționate la punctul 61 subpunctele 1) – 3) pentru o expunere față de una sau mai multe persoane fizice, expunerea se consideră expunere de tip retail și se atribuie o pondere de risc de 100 %.</w:t>
            </w:r>
          </w:p>
          <w:p w14:paraId="527DA814" w14:textId="6FA062D8" w:rsidR="00914DC9" w:rsidRPr="006F5136" w:rsidRDefault="00914DC9" w:rsidP="00914DC9">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39A5F4E3" w14:textId="2CF07FAB"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2EB07857" w14:textId="215E8B94"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787C712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71"/>
        </w:trPr>
        <w:tc>
          <w:tcPr>
            <w:tcW w:w="1924" w:type="pct"/>
          </w:tcPr>
          <w:p w14:paraId="7E3267E1" w14:textId="15B43620" w:rsidR="00914DC9" w:rsidRPr="006F5136" w:rsidRDefault="00914DC9" w:rsidP="00914DC9">
            <w:pPr>
              <w:spacing w:after="0" w:line="240" w:lineRule="auto"/>
              <w:jc w:val="both"/>
              <w:rPr>
                <w:rFonts w:ascii="Times New Roman" w:hAnsi="Times New Roman" w:cs="Times New Roman"/>
                <w:sz w:val="18"/>
                <w:szCs w:val="18"/>
                <w:lang w:val="ro-RO" w:eastAsia="ru-RU"/>
              </w:rPr>
            </w:pPr>
            <w:r w:rsidRPr="006F5136">
              <w:rPr>
                <w:rFonts w:ascii="Times New Roman" w:eastAsia="Times New Roman" w:hAnsi="Times New Roman" w:cs="Times New Roman"/>
                <w:sz w:val="18"/>
                <w:szCs w:val="18"/>
                <w:lang w:eastAsia="ro-MD"/>
              </w:rPr>
              <w:t xml:space="preserve">(5)   Prin derogare de la alineatul (3), </w:t>
            </w:r>
            <w:r w:rsidRPr="006F5136">
              <w:rPr>
                <w:rFonts w:ascii="Times New Roman" w:hAnsi="Times New Roman" w:cs="Times New Roman"/>
                <w:sz w:val="18"/>
                <w:szCs w:val="18"/>
                <w:lang w:val="ro-RO" w:eastAsia="ru-RU"/>
              </w:rPr>
              <w:t xml:space="preserve">expunerile datorate împrumuturilor acordate de o instituție pensionarilor sau salariaților care au </w:t>
            </w:r>
            <w:proofErr w:type="gramStart"/>
            <w:r w:rsidRPr="006F5136">
              <w:rPr>
                <w:rFonts w:ascii="Times New Roman" w:hAnsi="Times New Roman" w:cs="Times New Roman"/>
                <w:sz w:val="18"/>
                <w:szCs w:val="18"/>
                <w:lang w:val="ro-RO" w:eastAsia="ru-RU"/>
              </w:rPr>
              <w:t>un contract</w:t>
            </w:r>
            <w:proofErr w:type="gramEnd"/>
            <w:r w:rsidRPr="006F5136">
              <w:rPr>
                <w:rFonts w:ascii="Times New Roman" w:hAnsi="Times New Roman" w:cs="Times New Roman"/>
                <w:sz w:val="18"/>
                <w:szCs w:val="18"/>
                <w:lang w:val="ro-RO" w:eastAsia="ru-RU"/>
              </w:rPr>
              <w:t xml:space="preserve"> permanent cu condiția transferului necondiționat al unei părți a pensiei sau a salariului debitorului către instituția respectivă li se atribuie o pondere de risc de 35 %, dacă sunt îndeplinite cumulativ următoarele condiții:</w:t>
            </w:r>
          </w:p>
          <w:p w14:paraId="6EC80E2F" w14:textId="77777777" w:rsidR="00914DC9" w:rsidRPr="006F5136" w:rsidRDefault="00914DC9" w:rsidP="00914DC9">
            <w:pPr>
              <w:spacing w:after="0" w:line="240" w:lineRule="auto"/>
              <w:jc w:val="both"/>
              <w:rPr>
                <w:rFonts w:ascii="Times New Roman" w:hAnsi="Times New Roman" w:cs="Times New Roman"/>
                <w:sz w:val="18"/>
                <w:szCs w:val="18"/>
                <w:lang w:val="ro-RO" w:eastAsia="ru-RU"/>
              </w:rPr>
            </w:pPr>
            <w:r w:rsidRPr="006F5136">
              <w:rPr>
                <w:rFonts w:ascii="Times New Roman" w:hAnsi="Times New Roman" w:cs="Times New Roman"/>
                <w:sz w:val="18"/>
                <w:szCs w:val="18"/>
                <w:lang w:val="ro-RO" w:eastAsia="ru-RU"/>
              </w:rPr>
              <w:t>(a) pentru a rambursa împrumutul, debitorul autorizează în mod necondiționat fondul de pensii sau angajatorul să efectueze plăți directe către instituția de credit prin deducerea ratelor lunare ale împrumutului din pensia sau salariul lunar al debitorului;</w:t>
            </w:r>
          </w:p>
          <w:p w14:paraId="0BD50D33" w14:textId="77777777" w:rsidR="00914DC9" w:rsidRPr="006F5136" w:rsidRDefault="00914DC9" w:rsidP="00914DC9">
            <w:pPr>
              <w:spacing w:after="0" w:line="240" w:lineRule="auto"/>
              <w:jc w:val="both"/>
              <w:rPr>
                <w:rFonts w:ascii="Times New Roman" w:hAnsi="Times New Roman" w:cs="Times New Roman"/>
                <w:sz w:val="18"/>
                <w:szCs w:val="18"/>
                <w:lang w:val="ro-RO" w:eastAsia="ru-RU"/>
              </w:rPr>
            </w:pPr>
            <w:r w:rsidRPr="006F5136">
              <w:rPr>
                <w:rFonts w:ascii="Times New Roman" w:hAnsi="Times New Roman" w:cs="Times New Roman"/>
                <w:sz w:val="18"/>
                <w:szCs w:val="18"/>
                <w:lang w:val="ro-RO" w:eastAsia="ru-RU"/>
              </w:rPr>
              <w:t>(b) riscurile de deces, de incapacitate de muncă, de șomaj sau de reducere a pensiei sau salariului lunar net al debitorului sunt acoperite în mod corespunzător printr-o poliță de asigurare subscrisă de debitor în beneficiul instituției de credit;</w:t>
            </w:r>
          </w:p>
          <w:p w14:paraId="07681534" w14:textId="77777777" w:rsidR="00914DC9" w:rsidRPr="006F5136" w:rsidRDefault="00914DC9" w:rsidP="00914DC9">
            <w:pPr>
              <w:spacing w:after="0" w:line="240" w:lineRule="auto"/>
              <w:jc w:val="both"/>
              <w:rPr>
                <w:rFonts w:ascii="Times New Roman" w:hAnsi="Times New Roman" w:cs="Times New Roman"/>
                <w:sz w:val="18"/>
                <w:szCs w:val="18"/>
                <w:lang w:val="ro-RO" w:eastAsia="ru-RU"/>
              </w:rPr>
            </w:pPr>
            <w:r w:rsidRPr="006F5136">
              <w:rPr>
                <w:rFonts w:ascii="Times New Roman" w:hAnsi="Times New Roman" w:cs="Times New Roman"/>
                <w:sz w:val="18"/>
                <w:szCs w:val="18"/>
                <w:lang w:val="ro-RO" w:eastAsia="ru-RU"/>
              </w:rPr>
              <w:t>(c) plățile lunare care trebuie efectuate de debitor pentru toate împrumuturile care îndeplinesc condițiile prevăzute la literele (a) și (b) nu depășesc în total 20 % din pensia sau salariul lunar net al debitorului;</w:t>
            </w:r>
          </w:p>
          <w:p w14:paraId="446F24CB" w14:textId="3F021DCB" w:rsidR="00914DC9" w:rsidRPr="006F5136" w:rsidRDefault="00914DC9" w:rsidP="00914DC9">
            <w:pPr>
              <w:shd w:val="clear" w:color="auto" w:fill="FFFFFF"/>
              <w:spacing w:after="0" w:line="240" w:lineRule="auto"/>
              <w:rPr>
                <w:rFonts w:ascii="Times New Roman" w:eastAsia="Times New Roman" w:hAnsi="Times New Roman" w:cs="Times New Roman"/>
                <w:b/>
                <w:bCs/>
                <w:sz w:val="18"/>
                <w:szCs w:val="18"/>
                <w:lang w:eastAsia="ro-MD"/>
              </w:rPr>
            </w:pPr>
            <w:r w:rsidRPr="006F5136">
              <w:rPr>
                <w:rFonts w:ascii="Times New Roman" w:hAnsi="Times New Roman" w:cs="Times New Roman"/>
                <w:sz w:val="18"/>
                <w:szCs w:val="18"/>
                <w:lang w:val="ro-RO" w:eastAsia="ru-RU"/>
              </w:rPr>
              <w:t>(d) scadența inițială maximă a împrumutului este egală cu zece ani sau mai mică.</w:t>
            </w:r>
          </w:p>
        </w:tc>
        <w:tc>
          <w:tcPr>
            <w:tcW w:w="1661" w:type="pct"/>
            <w:shd w:val="clear" w:color="auto" w:fill="auto"/>
          </w:tcPr>
          <w:p w14:paraId="247B23AF"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64</w:t>
            </w:r>
            <w:r w:rsidRPr="006F5136">
              <w:rPr>
                <w:rFonts w:ascii="Times New Roman" w:eastAsia="Times New Roman" w:hAnsi="Times New Roman" w:cs="Times New Roman"/>
                <w:b/>
                <w:bCs/>
                <w:sz w:val="18"/>
                <w:szCs w:val="18"/>
                <w:vertAlign w:val="superscript"/>
                <w:lang w:val="ro-RO" w:eastAsia="ro-MD"/>
              </w:rPr>
              <w:t>3</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Prin derogare de la punctul 63, expunerile aferente creditelor acordate de o bancă pensionarilor sau salariaților care au un contract permanent cu condiția transferului necondiționat al unei părți a pensiei sau a salariului debitorului către banca respectivă primesc o pondere de risc de 35 %, dacă sunt îndeplinite cumulativ următoarele condiții:</w:t>
            </w:r>
          </w:p>
          <w:p w14:paraId="2314C65F"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pentru a rambursa creditul, debitorul autorizează în mod necondiționat fondul de pensii sau angajatorul să efectueze plăți directe către bancă prin deducerea ratelor lunare ale creditului din pensia sau salariul lunar al debitorului;</w:t>
            </w:r>
          </w:p>
          <w:p w14:paraId="6F0ADD29"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riscurile de deces, de incapacitate de muncă, de șomaj sau de reducere a pensiei sau a salariului lunar net al debitorului sunt acoperite în mod corespunzător printr-o poliță de asigurare în beneficiul băncii;</w:t>
            </w:r>
          </w:p>
          <w:p w14:paraId="0ED36602"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plățile lunare care trebuie efectuate de debitor pentru toate creditele care îndeplinesc condițiile prevăzute la subpunctele 1) și 2) nu depășesc în total 20 % din pensia sau salariul lunar net al debitorului;</w:t>
            </w:r>
          </w:p>
          <w:p w14:paraId="6207CE5D" w14:textId="77777777" w:rsidR="00914DC9" w:rsidRPr="006F5136" w:rsidRDefault="00914DC9" w:rsidP="00914DC9">
            <w:pPr>
              <w:pStyle w:val="CM4"/>
              <w:tabs>
                <w:tab w:val="left" w:pos="150"/>
              </w:tabs>
              <w:ind w:left="-36"/>
              <w:rPr>
                <w:rFonts w:ascii="Times New Roman" w:hAnsi="Times New Roman"/>
                <w:sz w:val="18"/>
                <w:szCs w:val="18"/>
                <w:lang w:val="ro-RO" w:eastAsia="ro-MD"/>
              </w:rPr>
            </w:pPr>
            <w:r w:rsidRPr="006F5136">
              <w:rPr>
                <w:rFonts w:ascii="Times New Roman" w:hAnsi="Times New Roman"/>
                <w:sz w:val="18"/>
                <w:szCs w:val="18"/>
                <w:lang w:val="ro-RO" w:eastAsia="ro-MD"/>
              </w:rPr>
              <w:t>4) scadența inițială maximă a creditului este mai mică sau egală cu 10 ani.</w:t>
            </w:r>
          </w:p>
          <w:p w14:paraId="76E34FD7" w14:textId="5F30DDA7" w:rsidR="00914DC9" w:rsidRPr="006F5136" w:rsidRDefault="00914DC9" w:rsidP="00914DC9">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097AF1FB" w14:textId="5CB97163"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4CA1DBDC" w14:textId="513FCD5D"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1468F11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40"/>
        </w:trPr>
        <w:tc>
          <w:tcPr>
            <w:tcW w:w="1924" w:type="pct"/>
          </w:tcPr>
          <w:p w14:paraId="6C0C9AE9" w14:textId="77777777" w:rsidR="00914DC9" w:rsidRPr="006F5136" w:rsidRDefault="00914DC9" w:rsidP="00914DC9">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▼M17</w:t>
            </w:r>
          </w:p>
          <w:p w14:paraId="3A9FD08F" w14:textId="77777777" w:rsidR="00914DC9" w:rsidRPr="006F5136" w:rsidRDefault="00914DC9" w:rsidP="00914DC9">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b/>
                <w:bCs/>
                <w:sz w:val="18"/>
                <w:szCs w:val="18"/>
                <w:lang w:val="ro-RO" w:eastAsia="ru-RU"/>
              </w:rPr>
              <w:t>Articolul 123a</w:t>
            </w:r>
            <w:r w:rsidRPr="006F5136">
              <w:rPr>
                <w:rFonts w:ascii="Times New Roman" w:hAnsi="Times New Roman"/>
                <w:sz w:val="18"/>
                <w:szCs w:val="18"/>
                <w:lang w:val="ro-RO" w:eastAsia="ru-RU"/>
              </w:rPr>
              <w:t xml:space="preserve"> </w:t>
            </w:r>
            <w:r w:rsidRPr="006F5136">
              <w:rPr>
                <w:rFonts w:ascii="Times New Roman" w:hAnsi="Times New Roman"/>
                <w:b/>
                <w:bCs/>
                <w:sz w:val="18"/>
                <w:szCs w:val="18"/>
                <w:lang w:val="ro-RO" w:eastAsia="ru-RU"/>
              </w:rPr>
              <w:t>Expuneri cu neconcordanță de monede</w:t>
            </w:r>
          </w:p>
          <w:p w14:paraId="2010D7CA" w14:textId="77777777" w:rsidR="00914DC9" w:rsidRPr="006F5136" w:rsidRDefault="00914DC9" w:rsidP="00914DC9">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(1)   În cazul expunerilor față de persoane fizice încadrate în clasa de expuneri menționată la articolul 112 litera (h) sau în cazul expunerilor față de persoane fizice care sunt considerate expuneri garantate cu ipoteci asupra unui bun imobil locativ încadrate în clara de expuneri menționată la articolul 112 litera (i), ponderea de risc atribuită în conformitate cu prezentul capitol se înmulțește cu un factor de 1,5 , ponderea de risc rezultată neputând fi mai mare de 150 %, atunci când sunt îndeplinite următoarele condiții:</w:t>
            </w:r>
          </w:p>
          <w:p w14:paraId="3AE246CF" w14:textId="77777777" w:rsidR="00914DC9" w:rsidRPr="006F5136" w:rsidRDefault="00914DC9" w:rsidP="00914DC9">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(a) expunerea este denominată într-o monedă diferită de moneda sursei de venit a debitorului;</w:t>
            </w:r>
          </w:p>
          <w:p w14:paraId="0E5ED836" w14:textId="77777777" w:rsidR="00914DC9" w:rsidRPr="006F5136" w:rsidRDefault="00914DC9" w:rsidP="00914DC9">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(b) debitorul nu are o acoperire împotriva riscului său de plată cauzat de neconcordanța de monede, fie printr-un instrument financiar, fie printr-un venit în valută care să corespundă monedei expunerii, sau totalul unor astfel de acoperiri disponibile pentru debitor acoperă mai puțin de 90 % din fiecare rată pentru această expunere.</w:t>
            </w:r>
          </w:p>
          <w:p w14:paraId="66C2A06B" w14:textId="7DF7205B" w:rsidR="00914DC9" w:rsidRPr="006F5136" w:rsidRDefault="00914DC9" w:rsidP="00914DC9">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Dacă o instituție nu este în măsură să identifice expunerile cu neconcordanță de monede, multiplicatorul de 1,5 al ponderii de risc se aplică tuturor expunerilor neacoperite în cazul cărora moneda expunerilor este diferită de moneda națională a țării de reședință a debitorului.</w:t>
            </w:r>
          </w:p>
        </w:tc>
        <w:tc>
          <w:tcPr>
            <w:tcW w:w="1661" w:type="pct"/>
            <w:shd w:val="clear" w:color="auto" w:fill="auto"/>
          </w:tcPr>
          <w:p w14:paraId="20656634" w14:textId="77777777" w:rsidR="00914DC9" w:rsidRPr="006F5136" w:rsidRDefault="00914DC9" w:rsidP="00914DC9">
            <w:pPr>
              <w:spacing w:after="0" w:line="240" w:lineRule="auto"/>
              <w:jc w:val="center"/>
              <w:rPr>
                <w:rFonts w:ascii="Times New Roman" w:eastAsia="Times New Roman" w:hAnsi="Times New Roman" w:cs="Times New Roman"/>
                <w:b/>
                <w:bCs/>
                <w:i/>
                <w:iCs/>
                <w:sz w:val="18"/>
                <w:szCs w:val="18"/>
                <w:lang w:val="ro-RO" w:eastAsia="ro-MD"/>
              </w:rPr>
            </w:pPr>
            <w:r w:rsidRPr="006F5136">
              <w:rPr>
                <w:rFonts w:ascii="Times New Roman" w:eastAsia="Times New Roman" w:hAnsi="Times New Roman" w:cs="Times New Roman"/>
                <w:sz w:val="18"/>
                <w:szCs w:val="18"/>
                <w:lang w:val="ro-RO" w:eastAsia="ro-MD"/>
              </w:rPr>
              <w:t> </w:t>
            </w:r>
            <w:r w:rsidRPr="006F5136">
              <w:rPr>
                <w:rFonts w:ascii="Times New Roman" w:eastAsia="Times New Roman" w:hAnsi="Times New Roman" w:cs="Times New Roman"/>
                <w:b/>
                <w:bCs/>
                <w:i/>
                <w:iCs/>
                <w:sz w:val="18"/>
                <w:szCs w:val="18"/>
                <w:lang w:val="ro-RO" w:eastAsia="ro-MD"/>
              </w:rPr>
              <w:t>Secțiunea a 10</w:t>
            </w:r>
            <w:r w:rsidRPr="006F5136">
              <w:rPr>
                <w:rFonts w:ascii="Times New Roman" w:eastAsia="Times New Roman" w:hAnsi="Times New Roman" w:cs="Times New Roman"/>
                <w:b/>
                <w:bCs/>
                <w:i/>
                <w:iCs/>
                <w:sz w:val="18"/>
                <w:szCs w:val="18"/>
                <w:vertAlign w:val="superscript"/>
                <w:lang w:val="ro-RO" w:eastAsia="ro-MD"/>
              </w:rPr>
              <w:t>1</w:t>
            </w:r>
            <w:r w:rsidRPr="006F5136">
              <w:rPr>
                <w:rFonts w:ascii="Times New Roman" w:eastAsia="Times New Roman" w:hAnsi="Times New Roman" w:cs="Times New Roman"/>
                <w:b/>
                <w:bCs/>
                <w:i/>
                <w:iCs/>
                <w:sz w:val="18"/>
                <w:szCs w:val="18"/>
                <w:lang w:val="ro-RO" w:eastAsia="ro-MD"/>
              </w:rPr>
              <w:t xml:space="preserve">-a </w:t>
            </w:r>
          </w:p>
          <w:p w14:paraId="6D0EA790" w14:textId="77777777" w:rsidR="00914DC9" w:rsidRPr="006F5136" w:rsidRDefault="00914DC9" w:rsidP="00914DC9">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i/>
                <w:iCs/>
                <w:sz w:val="18"/>
                <w:szCs w:val="18"/>
                <w:lang w:val="ro-RO" w:eastAsia="ro-MD"/>
              </w:rPr>
              <w:t>Expuneri cu neconcordanță de monede</w:t>
            </w:r>
          </w:p>
          <w:p w14:paraId="663F34DF" w14:textId="77777777" w:rsidR="00914DC9" w:rsidRPr="006F5136" w:rsidRDefault="00914DC9" w:rsidP="00914DC9">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64</w:t>
            </w:r>
            <w:r w:rsidRPr="006F5136">
              <w:rPr>
                <w:rFonts w:ascii="Times New Roman" w:eastAsia="Times New Roman" w:hAnsi="Times New Roman" w:cs="Times New Roman"/>
                <w:b/>
                <w:bCs/>
                <w:sz w:val="18"/>
                <w:szCs w:val="18"/>
                <w:vertAlign w:val="superscript"/>
                <w:lang w:val="ro-RO" w:eastAsia="ro-MD"/>
              </w:rPr>
              <w:t>4</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În cazul expunerilor față de persoane fizice încadrate în clasa de expuneri de tip retail menționată la punctul 11 subpunctul 8) sau în cazul expunerilor față de persoane fizice care sunt considerate expuneri garantate cu ipoteci asupra unui bun imobil locativ încadrate în clasa de expuneri menționată la punctul 11 subpunctul 9), ponderea de risc atribuită în conformitate cu prezentul capitol se înmulțește cu un factor de 1,5, ponderea de risc rezultată neputând fi mai mare de 150 %, atunci când sunt îndeplinite următoarele condiții:</w:t>
            </w:r>
          </w:p>
          <w:p w14:paraId="21DC4F11" w14:textId="77777777" w:rsidR="00914DC9" w:rsidRPr="006F5136" w:rsidRDefault="00914DC9" w:rsidP="00914DC9">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expunerea este denominată într-o monedă diferită de moneda sursei de venit a debitorului;</w:t>
            </w:r>
          </w:p>
          <w:p w14:paraId="5286EEA2" w14:textId="77777777" w:rsidR="00914DC9" w:rsidRPr="006F5136" w:rsidRDefault="00914DC9" w:rsidP="00914DC9">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debitorul nu are o acoperire împotriva riscului său de plată cauzat de neconcordanța de monede, fie printr-un instrument financiar, fie printr-un venit în valută care să corespundă monedei expunerii, sau totalul unor astfel de acoperiri disponibile pentru debitor acoperă mai puțin de 90 % din fiecare rată pentru această expunere.</w:t>
            </w:r>
          </w:p>
          <w:p w14:paraId="6AFFEEC5" w14:textId="77777777" w:rsidR="00914DC9" w:rsidRPr="006F5136" w:rsidRDefault="00914DC9" w:rsidP="00914DC9">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64</w:t>
            </w:r>
            <w:r w:rsidRPr="006F5136">
              <w:rPr>
                <w:rFonts w:ascii="Times New Roman" w:eastAsia="Times New Roman" w:hAnsi="Times New Roman" w:cs="Times New Roman"/>
                <w:b/>
                <w:bCs/>
                <w:sz w:val="18"/>
                <w:szCs w:val="18"/>
                <w:vertAlign w:val="superscript"/>
                <w:lang w:val="ro-RO" w:eastAsia="ro-MD"/>
              </w:rPr>
              <w:t>5</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Dacă o bancă nu este în măsură să identifice expunerile cu neconcordanță de monede, multiplicatorul de 1,5 al ponderii de risc se aplică tuturor expunerilor neacoperite în cazul cărora moneda expunerilor este diferită de moneda națională a țării de reședință a debitorului.</w:t>
            </w:r>
          </w:p>
          <w:p w14:paraId="53911764" w14:textId="331FE6DB" w:rsidR="00914DC9" w:rsidRPr="006F5136" w:rsidRDefault="00914DC9" w:rsidP="00914DC9">
            <w:pPr>
              <w:pStyle w:val="CM4"/>
              <w:tabs>
                <w:tab w:val="left" w:pos="150"/>
              </w:tabs>
              <w:ind w:left="-36"/>
              <w:rPr>
                <w:rFonts w:ascii="Times New Roman" w:hAnsi="Times New Roman"/>
                <w:sz w:val="18"/>
                <w:szCs w:val="18"/>
                <w:lang w:val="ro-RO" w:eastAsia="ru-RU"/>
              </w:rPr>
            </w:pPr>
            <w:r w:rsidRPr="006F5136">
              <w:rPr>
                <w:rFonts w:ascii="Times New Roman" w:hAnsi="Times New Roman"/>
                <w:i/>
                <w:iCs/>
                <w:sz w:val="18"/>
                <w:szCs w:val="18"/>
                <w:lang w:val="ro-RO" w:eastAsia="ru-RU"/>
              </w:rPr>
              <w:t>Proiectul HCE al BNM privind modificarea Regulamentului nr.111/2018</w:t>
            </w:r>
          </w:p>
        </w:tc>
        <w:tc>
          <w:tcPr>
            <w:tcW w:w="503" w:type="pct"/>
          </w:tcPr>
          <w:p w14:paraId="003B2E19" w14:textId="6463BA7F"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79643598" w14:textId="60F6844F"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0E4EE94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62"/>
        </w:trPr>
        <w:tc>
          <w:tcPr>
            <w:tcW w:w="1924" w:type="pct"/>
          </w:tcPr>
          <w:p w14:paraId="197B7DF1" w14:textId="77777777" w:rsidR="00914DC9" w:rsidRPr="006F5136" w:rsidRDefault="00914DC9" w:rsidP="00914DC9">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(2)   În sensul prezentului articol, „sursă de venit” se referă la orice sursă care generează fluxuri de numerar pentru debitor, inclusiv din remiteri, venituri din chirii sau salarii, excluzându-se încasările din vânzarea de active sau din acțiuni în regres similare ale instituției.</w:t>
            </w:r>
          </w:p>
          <w:p w14:paraId="703E5B61" w14:textId="7D978F85" w:rsidR="00914DC9" w:rsidRPr="006F5136" w:rsidRDefault="00914DC9" w:rsidP="00914DC9">
            <w:pPr>
              <w:pStyle w:val="CM4"/>
              <w:tabs>
                <w:tab w:val="left" w:pos="150"/>
              </w:tabs>
              <w:ind w:left="-43"/>
              <w:jc w:val="both"/>
              <w:rPr>
                <w:rFonts w:ascii="Times New Roman" w:hAnsi="Times New Roman"/>
                <w:sz w:val="18"/>
                <w:szCs w:val="18"/>
                <w:lang w:val="ro-RO" w:eastAsia="ru-RU"/>
              </w:rPr>
            </w:pPr>
          </w:p>
        </w:tc>
        <w:tc>
          <w:tcPr>
            <w:tcW w:w="1661" w:type="pct"/>
            <w:shd w:val="clear" w:color="auto" w:fill="auto"/>
          </w:tcPr>
          <w:p w14:paraId="371A866D" w14:textId="77777777" w:rsidR="00914DC9" w:rsidRPr="006F5136" w:rsidRDefault="00914DC9" w:rsidP="00914DC9">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64</w:t>
            </w:r>
            <w:r w:rsidRPr="006F5136">
              <w:rPr>
                <w:rFonts w:ascii="Times New Roman" w:eastAsia="Times New Roman" w:hAnsi="Times New Roman" w:cs="Times New Roman"/>
                <w:b/>
                <w:bCs/>
                <w:sz w:val="18"/>
                <w:szCs w:val="18"/>
                <w:vertAlign w:val="superscript"/>
                <w:lang w:val="ro-RO" w:eastAsia="ro-MD"/>
              </w:rPr>
              <w:t>6</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În sensul prezentului articol, „sursă de venit” se referă la orice sursă care generează fluxuri de numerar pentru debitor, inclusiv din remiteri, venituri din chirii sau salarii, excluzându-se încasările din vânzarea de active sau din acțiuni în regres similare ale băncii.</w:t>
            </w:r>
          </w:p>
          <w:p w14:paraId="23448D34" w14:textId="7CBD0295" w:rsidR="00914DC9" w:rsidRPr="006F5136" w:rsidRDefault="00914DC9" w:rsidP="00914DC9">
            <w:pPr>
              <w:pStyle w:val="CM4"/>
              <w:tabs>
                <w:tab w:val="left" w:pos="150"/>
              </w:tabs>
              <w:ind w:left="-36"/>
              <w:rPr>
                <w:rFonts w:ascii="Times New Roman" w:hAnsi="Times New Roman"/>
                <w:sz w:val="18"/>
                <w:szCs w:val="18"/>
                <w:lang w:val="ro-RO" w:eastAsia="ru-RU"/>
              </w:rPr>
            </w:pPr>
            <w:r w:rsidRPr="006F5136">
              <w:rPr>
                <w:rFonts w:ascii="Times New Roman" w:hAnsi="Times New Roman"/>
                <w:i/>
                <w:iCs/>
                <w:sz w:val="18"/>
                <w:szCs w:val="18"/>
                <w:lang w:val="ro-RO" w:eastAsia="ru-RU"/>
              </w:rPr>
              <w:t>Proiectul HCE al BNM privind modificarea Regulamentului nr.111/2018</w:t>
            </w:r>
          </w:p>
        </w:tc>
        <w:tc>
          <w:tcPr>
            <w:tcW w:w="503" w:type="pct"/>
          </w:tcPr>
          <w:p w14:paraId="17E9CC33" w14:textId="2DF96D89"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7F4B7EDD" w14:textId="54EBEF85"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FE04D8" w:rsidRPr="006F5136" w14:paraId="543F83C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62"/>
        </w:trPr>
        <w:tc>
          <w:tcPr>
            <w:tcW w:w="1924" w:type="pct"/>
          </w:tcPr>
          <w:p w14:paraId="3CD8C436" w14:textId="3A69D9CD" w:rsidR="00FE04D8" w:rsidRPr="006F5136" w:rsidRDefault="00FE04D8" w:rsidP="005E4694">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(3)   Prin derogare de la alineatul (1), atunci când perechea de monede menționată la alineatul (1) litera (a) este formată din euro și moneda unui stat membru care participă la cea de a doua etapă a uniunii economice și monetare (MCS II), multiplicatorul de 1,5 al ponderii de risc nu se aplică.</w:t>
            </w:r>
          </w:p>
        </w:tc>
        <w:tc>
          <w:tcPr>
            <w:tcW w:w="1661" w:type="pct"/>
            <w:shd w:val="clear" w:color="auto" w:fill="auto"/>
          </w:tcPr>
          <w:p w14:paraId="62EC10ED" w14:textId="7ECF9611" w:rsidR="00FE04D8" w:rsidRPr="006F5136" w:rsidRDefault="00FE04D8" w:rsidP="005E4694">
            <w:pPr>
              <w:shd w:val="clear" w:color="auto" w:fill="FFFFFF"/>
              <w:spacing w:after="0" w:line="240" w:lineRule="auto"/>
              <w:jc w:val="both"/>
              <w:rPr>
                <w:rFonts w:ascii="Times New Roman" w:eastAsia="Times New Roman" w:hAnsi="Times New Roman" w:cs="Times New Roman"/>
                <w:b/>
                <w:bCs/>
                <w:sz w:val="18"/>
                <w:szCs w:val="18"/>
                <w:lang w:val="ro-RO" w:eastAsia="ro-MD"/>
              </w:rPr>
            </w:pPr>
          </w:p>
        </w:tc>
        <w:tc>
          <w:tcPr>
            <w:tcW w:w="503" w:type="pct"/>
          </w:tcPr>
          <w:p w14:paraId="1552459E" w14:textId="42786CC2" w:rsidR="00FE04D8" w:rsidRPr="006F5136" w:rsidRDefault="00FE04D8"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Prevederi UE neaplicabile</w:t>
            </w:r>
          </w:p>
        </w:tc>
        <w:tc>
          <w:tcPr>
            <w:tcW w:w="912" w:type="pct"/>
          </w:tcPr>
          <w:p w14:paraId="104578FF" w14:textId="77777777" w:rsidR="00FE04D8" w:rsidRPr="006F5136" w:rsidRDefault="00FE04D8" w:rsidP="005E4694">
            <w:pPr>
              <w:spacing w:after="0" w:line="240" w:lineRule="auto"/>
              <w:jc w:val="both"/>
              <w:rPr>
                <w:rFonts w:ascii="Times New Roman" w:hAnsi="Times New Roman" w:cs="Times New Roman"/>
                <w:sz w:val="18"/>
                <w:szCs w:val="18"/>
                <w:lang w:val="ro-RO"/>
              </w:rPr>
            </w:pPr>
          </w:p>
        </w:tc>
      </w:tr>
      <w:tr w:rsidR="0027576A" w:rsidRPr="006F5136" w14:paraId="75954F8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A1802B7" w14:textId="562431C5" w:rsidR="0027576A" w:rsidRPr="006F5136" w:rsidRDefault="0027576A" w:rsidP="005E4694">
            <w:pPr>
              <w:pStyle w:val="CM4"/>
              <w:tabs>
                <w:tab w:val="left" w:pos="150"/>
              </w:tabs>
              <w:ind w:left="-43"/>
              <w:jc w:val="both"/>
              <w:rPr>
                <w:rFonts w:ascii="Times New Roman" w:hAnsi="Times New Roman"/>
                <w:i/>
                <w:iCs/>
                <w:sz w:val="18"/>
                <w:szCs w:val="18"/>
                <w:lang w:val="ro-RO" w:eastAsia="ru-RU"/>
              </w:rPr>
            </w:pPr>
            <w:r w:rsidRPr="006F5136">
              <w:rPr>
                <w:rFonts w:ascii="Times New Roman" w:hAnsi="Times New Roman"/>
                <w:sz w:val="18"/>
                <w:szCs w:val="18"/>
                <w:lang w:val="ro-RO" w:eastAsia="ru-RU"/>
              </w:rPr>
              <w:t>▼M</w:t>
            </w:r>
            <w:r w:rsidR="000E550B" w:rsidRPr="006F5136">
              <w:rPr>
                <w:rFonts w:ascii="Times New Roman" w:hAnsi="Times New Roman"/>
                <w:sz w:val="18"/>
                <w:szCs w:val="18"/>
                <w:lang w:val="ro-RO" w:eastAsia="ru-RU"/>
              </w:rPr>
              <w:t>17</w:t>
            </w:r>
          </w:p>
          <w:p w14:paraId="341B5FF5" w14:textId="165BF875" w:rsidR="0027576A" w:rsidRPr="006F5136" w:rsidRDefault="0027576A" w:rsidP="005E4694">
            <w:pPr>
              <w:pStyle w:val="CM4"/>
              <w:tabs>
                <w:tab w:val="left" w:pos="150"/>
              </w:tabs>
              <w:ind w:left="-43"/>
              <w:jc w:val="both"/>
              <w:rPr>
                <w:rFonts w:ascii="Times New Roman" w:hAnsi="Times New Roman"/>
                <w:b/>
                <w:iCs/>
                <w:sz w:val="18"/>
                <w:szCs w:val="18"/>
                <w:lang w:val="ro-RO" w:eastAsia="ru-RU"/>
              </w:rPr>
            </w:pPr>
            <w:r w:rsidRPr="006F5136">
              <w:rPr>
                <w:rFonts w:ascii="Times New Roman" w:hAnsi="Times New Roman"/>
                <w:i/>
                <w:iCs/>
                <w:sz w:val="18"/>
                <w:szCs w:val="18"/>
                <w:lang w:val="ro-RO" w:eastAsia="ru-RU"/>
              </w:rPr>
              <w:t>Articolul 124</w:t>
            </w:r>
            <w:r w:rsidRPr="006F5136">
              <w:rPr>
                <w:rFonts w:ascii="Times New Roman" w:hAnsi="Times New Roman"/>
                <w:iCs/>
                <w:sz w:val="18"/>
                <w:szCs w:val="18"/>
                <w:lang w:val="ro-RO" w:eastAsia="ru-RU"/>
              </w:rPr>
              <w:t xml:space="preserve"> </w:t>
            </w:r>
            <w:r w:rsidR="00455C1D" w:rsidRPr="006F5136">
              <w:rPr>
                <w:rFonts w:ascii="Times New Roman" w:hAnsi="Times New Roman"/>
                <w:b/>
                <w:iCs/>
                <w:sz w:val="18"/>
                <w:szCs w:val="18"/>
                <w:lang w:val="ro-RO" w:eastAsia="ru-RU"/>
              </w:rPr>
              <w:t>Expuneri garantate cu ipoteci asupra bunurilor imobile</w:t>
            </w:r>
          </w:p>
          <w:p w14:paraId="193D05FC" w14:textId="77777777" w:rsidR="0027576A" w:rsidRPr="006F5136" w:rsidRDefault="0027576A" w:rsidP="005E4694">
            <w:pPr>
              <w:spacing w:after="0" w:line="240" w:lineRule="auto"/>
              <w:rPr>
                <w:rFonts w:ascii="Times New Roman" w:hAnsi="Times New Roman" w:cs="Times New Roman"/>
                <w:sz w:val="18"/>
                <w:szCs w:val="18"/>
                <w:lang w:val="ro-RO"/>
              </w:rPr>
            </w:pPr>
          </w:p>
          <w:p w14:paraId="024E0FC5" w14:textId="77777777" w:rsidR="00455C1D"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(1) </w:t>
            </w:r>
            <w:r w:rsidR="00455C1D" w:rsidRPr="006F5136">
              <w:rPr>
                <w:rFonts w:ascii="Times New Roman" w:hAnsi="Times New Roman"/>
                <w:iCs/>
                <w:sz w:val="18"/>
                <w:szCs w:val="18"/>
                <w:lang w:val="ro-RO" w:eastAsia="ru-RU"/>
              </w:rPr>
              <w:t>O expunere non-ADC care nu îndeplinește toate condițiile prevăzute la alineatul (3) sau orice parte a unei expuneri non-ADC care depășește valoarea nominală a dreptului de ipotecă asupra bunului este tratată după cum urmează:</w:t>
            </w:r>
          </w:p>
          <w:p w14:paraId="60C781B1" w14:textId="50E6DFB3" w:rsidR="00455C1D" w:rsidRPr="006F5136" w:rsidRDefault="00455C1D"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o expunere non-IPRE este ponderată la risc ca o expunere la o contraparte care nu este garantată cu bunul imobil în cauză;</w:t>
            </w:r>
          </w:p>
          <w:p w14:paraId="24C1694F" w14:textId="4420A813" w:rsidR="0027576A" w:rsidRPr="006F5136" w:rsidRDefault="00455C1D"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o expunere IPRE primește o pondere de risc de 150 %.</w:t>
            </w:r>
          </w:p>
        </w:tc>
        <w:tc>
          <w:tcPr>
            <w:tcW w:w="1661" w:type="pct"/>
            <w:shd w:val="clear" w:color="auto" w:fill="auto"/>
          </w:tcPr>
          <w:p w14:paraId="18639A49" w14:textId="449A718B" w:rsidR="0027576A" w:rsidRPr="006F5136" w:rsidRDefault="0027576A" w:rsidP="005E4694">
            <w:pPr>
              <w:pStyle w:val="CM4"/>
              <w:tabs>
                <w:tab w:val="left" w:pos="150"/>
              </w:tabs>
              <w:ind w:left="-36"/>
              <w:rPr>
                <w:rFonts w:ascii="Times New Roman" w:hAnsi="Times New Roman"/>
                <w:i/>
                <w:iCs/>
                <w:sz w:val="18"/>
                <w:szCs w:val="18"/>
                <w:lang w:val="ro-RO" w:eastAsia="ru-RU"/>
              </w:rPr>
            </w:pPr>
            <w:r w:rsidRPr="006F5136">
              <w:rPr>
                <w:rFonts w:ascii="Times New Roman" w:hAnsi="Times New Roman"/>
                <w:i/>
                <w:iCs/>
                <w:sz w:val="18"/>
                <w:szCs w:val="18"/>
                <w:lang w:val="ro-RO" w:eastAsia="ru-RU"/>
              </w:rPr>
              <w:t xml:space="preserve">Secțiunea a 11-a. </w:t>
            </w:r>
            <w:r w:rsidR="001C4115" w:rsidRPr="006F5136">
              <w:rPr>
                <w:rFonts w:ascii="Times New Roman" w:hAnsi="Times New Roman"/>
                <w:b/>
                <w:bCs/>
                <w:i/>
                <w:iCs/>
                <w:sz w:val="18"/>
                <w:szCs w:val="18"/>
                <w:lang w:val="ro-RO" w:eastAsia="ru-RU"/>
              </w:rPr>
              <w:t>Expuneri garantate cu ipoteci asupra bunurilor imobile</w:t>
            </w:r>
          </w:p>
          <w:p w14:paraId="3EAD63A4" w14:textId="77777777" w:rsidR="000706AB" w:rsidRPr="006F5136" w:rsidRDefault="000706AB"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65.</w:t>
            </w:r>
            <w:r w:rsidRPr="006F5136">
              <w:rPr>
                <w:rFonts w:ascii="Times New Roman" w:eastAsia="Times New Roman" w:hAnsi="Times New Roman" w:cs="Times New Roman"/>
                <w:sz w:val="18"/>
                <w:szCs w:val="18"/>
                <w:lang w:val="ro-RO" w:eastAsia="ro-MD"/>
              </w:rPr>
              <w:t xml:space="preserve"> O expunere non-ADC care nu îndeplinește toate condițiile prevăzute la punctul 67 sau orice parte a unei expuneri non-ADC care depășește valoarea nominală a dreptului de ipotecă asupra bunului este tratată după cum urmează:</w:t>
            </w:r>
          </w:p>
          <w:p w14:paraId="1CD4676B" w14:textId="77777777" w:rsidR="000706AB" w:rsidRPr="006F5136" w:rsidRDefault="000706AB"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o expunere non-IPRE este ponderată la risc ca o expunere la o contraparte care nu este garantată cu bunul imobil în cauză;</w:t>
            </w:r>
          </w:p>
          <w:p w14:paraId="40229BC4" w14:textId="4502AFC8" w:rsidR="000706AB" w:rsidRPr="006F5136" w:rsidRDefault="000706AB"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o-MD"/>
              </w:rPr>
              <w:t>2) o expunere IPRE primește o pondere de risc de 150 %.</w:t>
            </w:r>
          </w:p>
          <w:p w14:paraId="0CAB244C" w14:textId="2735EC3F" w:rsidR="0027576A" w:rsidRPr="006F5136" w:rsidRDefault="000706AB"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i/>
                <w:iCs/>
                <w:sz w:val="18"/>
                <w:szCs w:val="18"/>
                <w:lang w:val="ro-RO" w:eastAsia="ru-RU"/>
              </w:rPr>
              <w:t>Proiectul HCE al BNM privind modificarea Regulamentului nr.111/2018</w:t>
            </w:r>
          </w:p>
        </w:tc>
        <w:tc>
          <w:tcPr>
            <w:tcW w:w="503" w:type="pct"/>
          </w:tcPr>
          <w:p w14:paraId="1C9C35E1" w14:textId="77777777" w:rsidR="0027576A" w:rsidRPr="006F5136" w:rsidRDefault="0027576A"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iCs/>
                <w:sz w:val="18"/>
                <w:szCs w:val="18"/>
                <w:lang w:val="ro-RO"/>
              </w:rPr>
              <w:t>Compatibil</w:t>
            </w:r>
          </w:p>
          <w:p w14:paraId="2DDCC524" w14:textId="77777777" w:rsidR="0027576A" w:rsidRPr="006F5136" w:rsidRDefault="0027576A" w:rsidP="005E4694">
            <w:pPr>
              <w:spacing w:after="0" w:line="240" w:lineRule="auto"/>
              <w:jc w:val="both"/>
              <w:rPr>
                <w:rFonts w:ascii="Times New Roman" w:hAnsi="Times New Roman" w:cs="Times New Roman"/>
                <w:iCs/>
                <w:sz w:val="18"/>
                <w:szCs w:val="18"/>
                <w:lang w:val="ro-RO"/>
              </w:rPr>
            </w:pPr>
          </w:p>
          <w:p w14:paraId="0983B027" w14:textId="77777777" w:rsidR="0027576A" w:rsidRPr="006F5136" w:rsidRDefault="0027576A" w:rsidP="005E4694">
            <w:pPr>
              <w:spacing w:after="0" w:line="240" w:lineRule="auto"/>
              <w:jc w:val="both"/>
              <w:rPr>
                <w:rFonts w:ascii="Times New Roman" w:hAnsi="Times New Roman" w:cs="Times New Roman"/>
                <w:iCs/>
                <w:sz w:val="18"/>
                <w:szCs w:val="18"/>
                <w:lang w:val="ro-RO"/>
              </w:rPr>
            </w:pPr>
          </w:p>
          <w:p w14:paraId="1C098144" w14:textId="77777777" w:rsidR="0027576A" w:rsidRPr="006F5136" w:rsidRDefault="0027576A" w:rsidP="005E4694">
            <w:pPr>
              <w:spacing w:after="0" w:line="240" w:lineRule="auto"/>
              <w:jc w:val="both"/>
              <w:rPr>
                <w:rFonts w:ascii="Times New Roman" w:hAnsi="Times New Roman" w:cs="Times New Roman"/>
                <w:iCs/>
                <w:sz w:val="18"/>
                <w:szCs w:val="18"/>
                <w:lang w:val="ro-RO"/>
              </w:rPr>
            </w:pPr>
          </w:p>
          <w:p w14:paraId="33B0D0EA" w14:textId="77777777" w:rsidR="0027576A" w:rsidRPr="006F5136" w:rsidRDefault="0027576A" w:rsidP="005E4694">
            <w:pPr>
              <w:spacing w:after="0" w:line="240" w:lineRule="auto"/>
              <w:jc w:val="both"/>
              <w:rPr>
                <w:rFonts w:ascii="Times New Roman" w:hAnsi="Times New Roman" w:cs="Times New Roman"/>
                <w:iCs/>
                <w:sz w:val="18"/>
                <w:szCs w:val="18"/>
                <w:lang w:val="ro-RO"/>
              </w:rPr>
            </w:pPr>
          </w:p>
          <w:p w14:paraId="214B783A" w14:textId="77777777" w:rsidR="0027576A" w:rsidRPr="006F5136" w:rsidRDefault="0027576A" w:rsidP="005E4694">
            <w:pPr>
              <w:spacing w:after="0" w:line="240" w:lineRule="auto"/>
              <w:jc w:val="both"/>
              <w:rPr>
                <w:rFonts w:ascii="Times New Roman" w:hAnsi="Times New Roman" w:cs="Times New Roman"/>
                <w:iCs/>
                <w:sz w:val="18"/>
                <w:szCs w:val="18"/>
                <w:lang w:val="ro-RO"/>
              </w:rPr>
            </w:pPr>
          </w:p>
          <w:p w14:paraId="67500D07" w14:textId="77777777" w:rsidR="0027576A" w:rsidRPr="006F5136" w:rsidRDefault="0027576A" w:rsidP="005E4694">
            <w:pPr>
              <w:spacing w:after="0" w:line="240" w:lineRule="auto"/>
              <w:jc w:val="both"/>
              <w:rPr>
                <w:rFonts w:ascii="Times New Roman" w:hAnsi="Times New Roman" w:cs="Times New Roman"/>
                <w:iCs/>
                <w:sz w:val="18"/>
                <w:szCs w:val="18"/>
                <w:lang w:val="ro-RO"/>
              </w:rPr>
            </w:pPr>
          </w:p>
          <w:p w14:paraId="6E0C32BD" w14:textId="0E346151" w:rsidR="0027576A" w:rsidRPr="006F5136" w:rsidRDefault="0027576A" w:rsidP="005E4694">
            <w:pPr>
              <w:spacing w:after="0" w:line="240" w:lineRule="auto"/>
              <w:jc w:val="both"/>
              <w:rPr>
                <w:rFonts w:ascii="Times New Roman" w:hAnsi="Times New Roman" w:cs="Times New Roman"/>
                <w:iCs/>
                <w:sz w:val="18"/>
                <w:szCs w:val="18"/>
                <w:lang w:val="ro-RO"/>
              </w:rPr>
            </w:pPr>
          </w:p>
        </w:tc>
        <w:tc>
          <w:tcPr>
            <w:tcW w:w="912" w:type="pct"/>
          </w:tcPr>
          <w:p w14:paraId="110EFDE0" w14:textId="10B0559D" w:rsidR="0027576A" w:rsidRPr="006F5136" w:rsidRDefault="004C773E" w:rsidP="005E4694">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p w14:paraId="072E35F2" w14:textId="77777777" w:rsidR="0027576A" w:rsidRPr="006F5136" w:rsidRDefault="0027576A" w:rsidP="005E4694">
            <w:pPr>
              <w:spacing w:after="0" w:line="240" w:lineRule="auto"/>
              <w:jc w:val="both"/>
              <w:rPr>
                <w:rFonts w:ascii="Times New Roman" w:hAnsi="Times New Roman" w:cs="Times New Roman"/>
                <w:iCs/>
                <w:sz w:val="18"/>
                <w:szCs w:val="18"/>
                <w:lang w:val="ro-RO"/>
              </w:rPr>
            </w:pPr>
          </w:p>
          <w:p w14:paraId="12D847E7" w14:textId="131E5876" w:rsidR="0027576A" w:rsidRPr="006F5136" w:rsidRDefault="0027576A" w:rsidP="005E4694">
            <w:pPr>
              <w:spacing w:after="0" w:line="240" w:lineRule="auto"/>
              <w:jc w:val="both"/>
              <w:rPr>
                <w:rFonts w:ascii="Times New Roman" w:hAnsi="Times New Roman" w:cs="Times New Roman"/>
                <w:iCs/>
                <w:sz w:val="18"/>
                <w:szCs w:val="18"/>
                <w:lang w:val="ro-RO"/>
              </w:rPr>
            </w:pPr>
          </w:p>
        </w:tc>
      </w:tr>
      <w:tr w:rsidR="00914DC9" w:rsidRPr="006F5136" w14:paraId="60EA642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A8FD5B8" w14:textId="77777777"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(2)   O expunere non-ADC, până la valoarea nominală a dreptului de ipotecă asupra bunului, în cazul în care sunt îndeplinite toate condițiile prevăzute la alineatul (3) din prezentul articol, este tratată după cum urmează:</w:t>
            </w:r>
          </w:p>
          <w:p w14:paraId="1D8975B5" w14:textId="17DA8118"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(a) în cazul în care expunerea este garantată cu un bun imobil locativ</w:t>
            </w:r>
          </w:p>
          <w:p w14:paraId="543210C1" w14:textId="34973FAD"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(i) o expunere non-IPRE este tratată în conformitate cu articolul 125 alineatul (1</w:t>
            </w:r>
            <w:proofErr w:type="gramStart"/>
            <w:r w:rsidRPr="006F5136">
              <w:rPr>
                <w:rFonts w:ascii="Times New Roman" w:eastAsia="Times New Roman" w:hAnsi="Times New Roman" w:cs="Times New Roman"/>
                <w:color w:val="000000" w:themeColor="text1"/>
                <w:sz w:val="18"/>
                <w:szCs w:val="18"/>
                <w:lang w:eastAsia="ro-MD"/>
              </w:rPr>
              <w:t>);</w:t>
            </w:r>
            <w:proofErr w:type="gramEnd"/>
          </w:p>
          <w:p w14:paraId="1FB99BA6" w14:textId="77777777"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p>
          <w:p w14:paraId="2433DD25" w14:textId="29728E0A"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(ii) o expunere IPRE este tratată în conformitate cu articolul 125 alineatul (1) în cazul în care îndeplinește oricare dintre următoarele condiții:</w:t>
            </w:r>
          </w:p>
          <w:p w14:paraId="74B798C6" w14:textId="77777777"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p>
          <w:p w14:paraId="647ED4DC" w14:textId="2ABFE655"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 xml:space="preserve">1. bunul imobil cu care este garantată expunerea este reședința principală a debitorului, indiferent dacă bunul imobil în ansamblu constituie o singură unitate locativă sau dacă bunul imobil cu care este garantată expunerea este o unitate locativă care constituie o parte separată din cadrul bunului </w:t>
            </w:r>
            <w:proofErr w:type="gramStart"/>
            <w:r w:rsidRPr="006F5136">
              <w:rPr>
                <w:rFonts w:ascii="Times New Roman" w:eastAsia="Times New Roman" w:hAnsi="Times New Roman" w:cs="Times New Roman"/>
                <w:color w:val="000000" w:themeColor="text1"/>
                <w:sz w:val="18"/>
                <w:szCs w:val="18"/>
                <w:lang w:eastAsia="ro-MD"/>
              </w:rPr>
              <w:t>imobil;</w:t>
            </w:r>
            <w:proofErr w:type="gramEnd"/>
          </w:p>
          <w:p w14:paraId="64FC7BCA" w14:textId="24F85D1B"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2. expunerea este față de o persoană fizică și este garantată cu o unitate locativă generatoare de venituri, indiferent dacă bunul imobil în ansamblu constituie o singură unitate locativă sau dacă unitatea locativă constituie o parte separată din cadrul bunului imobil, iar expunerile totale ale instituției față de persoana fizică respectivă nu sunt garantate cu mai mult de patru bunuri imobile, inclusiv cele care nu sunt bunuri imobile locative sau care nu îndeplinesc niciunul dintre criteriile precizate la prezentul punct, sau unități locative separate în cadrul unor bunuri imobile;</w:t>
            </w:r>
          </w:p>
          <w:p w14:paraId="3C25F9FA" w14:textId="6145E636"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 xml:space="preserve">3. expunerea este față de asociații sau cooperative de persoane fizice care sunt reglementate de legislația națională și care există exclusiv pentru </w:t>
            </w:r>
            <w:proofErr w:type="gramStart"/>
            <w:r w:rsidRPr="006F5136">
              <w:rPr>
                <w:rFonts w:ascii="Times New Roman" w:eastAsia="Times New Roman" w:hAnsi="Times New Roman" w:cs="Times New Roman"/>
                <w:color w:val="000000" w:themeColor="text1"/>
                <w:sz w:val="18"/>
                <w:szCs w:val="18"/>
                <w:lang w:eastAsia="ro-MD"/>
              </w:rPr>
              <w:t>a</w:t>
            </w:r>
            <w:proofErr w:type="gramEnd"/>
            <w:r w:rsidRPr="006F5136">
              <w:rPr>
                <w:rFonts w:ascii="Times New Roman" w:eastAsia="Times New Roman" w:hAnsi="Times New Roman" w:cs="Times New Roman"/>
                <w:color w:val="000000" w:themeColor="text1"/>
                <w:sz w:val="18"/>
                <w:szCs w:val="18"/>
                <w:lang w:eastAsia="ro-MD"/>
              </w:rPr>
              <w:t xml:space="preserve"> acorda membrilor lor dreptul de a utiliza o reședință principală în bunul imobil cu care este garantat </w:t>
            </w:r>
            <w:proofErr w:type="gramStart"/>
            <w:r w:rsidRPr="006F5136">
              <w:rPr>
                <w:rFonts w:ascii="Times New Roman" w:eastAsia="Times New Roman" w:hAnsi="Times New Roman" w:cs="Times New Roman"/>
                <w:color w:val="000000" w:themeColor="text1"/>
                <w:sz w:val="18"/>
                <w:szCs w:val="18"/>
                <w:lang w:eastAsia="ro-MD"/>
              </w:rPr>
              <w:t>împrumutul;</w:t>
            </w:r>
            <w:proofErr w:type="gramEnd"/>
          </w:p>
          <w:p w14:paraId="2E12C13D" w14:textId="519D920A"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 xml:space="preserve">4. expunerea este față de societăți de locuințe publice sau asociații non-profit care sunt reglementate prin lege și care există pentru a servi unor scopuri sociale și </w:t>
            </w:r>
            <w:proofErr w:type="gramStart"/>
            <w:r w:rsidRPr="006F5136">
              <w:rPr>
                <w:rFonts w:ascii="Times New Roman" w:eastAsia="Times New Roman" w:hAnsi="Times New Roman" w:cs="Times New Roman"/>
                <w:color w:val="000000" w:themeColor="text1"/>
                <w:sz w:val="18"/>
                <w:szCs w:val="18"/>
                <w:lang w:eastAsia="ro-MD"/>
              </w:rPr>
              <w:t>a</w:t>
            </w:r>
            <w:proofErr w:type="gramEnd"/>
            <w:r w:rsidRPr="006F5136">
              <w:rPr>
                <w:rFonts w:ascii="Times New Roman" w:eastAsia="Times New Roman" w:hAnsi="Times New Roman" w:cs="Times New Roman"/>
                <w:color w:val="000000" w:themeColor="text1"/>
                <w:sz w:val="18"/>
                <w:szCs w:val="18"/>
                <w:lang w:eastAsia="ro-MD"/>
              </w:rPr>
              <w:t xml:space="preserve"> oferi chiriașilor locuințe pe termen </w:t>
            </w:r>
            <w:proofErr w:type="gramStart"/>
            <w:r w:rsidRPr="006F5136">
              <w:rPr>
                <w:rFonts w:ascii="Times New Roman" w:eastAsia="Times New Roman" w:hAnsi="Times New Roman" w:cs="Times New Roman"/>
                <w:color w:val="000000" w:themeColor="text1"/>
                <w:sz w:val="18"/>
                <w:szCs w:val="18"/>
                <w:lang w:eastAsia="ro-MD"/>
              </w:rPr>
              <w:t>lung;</w:t>
            </w:r>
            <w:proofErr w:type="gramEnd"/>
          </w:p>
          <w:p w14:paraId="208C1083" w14:textId="77777777"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p>
          <w:p w14:paraId="54E041EF" w14:textId="77777777"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(iii) o expunere IPRE care nu îndeplinește niciuna dintre condițiile prevăzute la punctul (ii) de la prezenta literă este tratată în conformitate cu articolul 125 alineatul (2</w:t>
            </w:r>
            <w:proofErr w:type="gramStart"/>
            <w:r w:rsidRPr="006F5136">
              <w:rPr>
                <w:rFonts w:ascii="Times New Roman" w:eastAsia="Times New Roman" w:hAnsi="Times New Roman" w:cs="Times New Roman"/>
                <w:color w:val="000000" w:themeColor="text1"/>
                <w:sz w:val="18"/>
                <w:szCs w:val="18"/>
                <w:lang w:eastAsia="ro-MD"/>
              </w:rPr>
              <w:t>);</w:t>
            </w:r>
            <w:proofErr w:type="gramEnd"/>
          </w:p>
          <w:p w14:paraId="0C4BAEAF" w14:textId="00CD5B39"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(b) în cazul în care expunerea este garantată cu bunuri imobile comerciale, aceasta este tratată după cum urmează:</w:t>
            </w:r>
          </w:p>
          <w:p w14:paraId="1BF37903" w14:textId="61315C2B"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(i) o expunere non-IPRE este tratată în conformitate cu articolul 126 alineatul (1</w:t>
            </w:r>
            <w:proofErr w:type="gramStart"/>
            <w:r w:rsidRPr="006F5136">
              <w:rPr>
                <w:rFonts w:ascii="Times New Roman" w:eastAsia="Times New Roman" w:hAnsi="Times New Roman" w:cs="Times New Roman"/>
                <w:color w:val="000000" w:themeColor="text1"/>
                <w:sz w:val="18"/>
                <w:szCs w:val="18"/>
                <w:lang w:eastAsia="ro-MD"/>
              </w:rPr>
              <w:t>);</w:t>
            </w:r>
            <w:proofErr w:type="gramEnd"/>
          </w:p>
          <w:p w14:paraId="2B4468D2" w14:textId="3DA9BBE2" w:rsidR="00914DC9" w:rsidRPr="006F5136" w:rsidRDefault="00914DC9" w:rsidP="00914DC9">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(ii) o expunere IPRE este tratată în conformitate cu articolul 126 alineatul (2).</w:t>
            </w:r>
          </w:p>
        </w:tc>
        <w:tc>
          <w:tcPr>
            <w:tcW w:w="1661" w:type="pct"/>
            <w:shd w:val="clear" w:color="auto" w:fill="auto"/>
          </w:tcPr>
          <w:p w14:paraId="74BE71B1"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66.</w:t>
            </w:r>
            <w:r w:rsidRPr="006F5136">
              <w:rPr>
                <w:rFonts w:ascii="Times New Roman" w:eastAsia="Times New Roman" w:hAnsi="Times New Roman" w:cs="Times New Roman"/>
                <w:sz w:val="18"/>
                <w:szCs w:val="18"/>
                <w:lang w:val="ro-RO" w:eastAsia="ro-MD"/>
              </w:rPr>
              <w:t xml:space="preserve"> O expunere non-ADC, până la valoarea nominală a dreptului de ipotecă asupra bunului, în cazul în care sunt îndeplinite toate condițiile prevăzute la punctul 67, este tratată după cum urmează:</w:t>
            </w:r>
          </w:p>
          <w:p w14:paraId="491C8378"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în cazul în care expunerea este garantată cu un bun imobil locativ:</w:t>
            </w:r>
          </w:p>
          <w:p w14:paraId="65EC6949"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o expunere non-IPRE este tratată în conformitate cu punctele 69-69</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w:t>
            </w:r>
          </w:p>
          <w:p w14:paraId="398FF56E"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b) o expunere IPRE este tratată în conformitate cu punctele 69-69</w:t>
            </w:r>
            <w:r w:rsidRPr="006F5136">
              <w:rPr>
                <w:rFonts w:ascii="Times New Roman" w:eastAsia="Times New Roman" w:hAnsi="Times New Roman" w:cs="Times New Roman"/>
                <w:sz w:val="18"/>
                <w:szCs w:val="18"/>
                <w:vertAlign w:val="superscript"/>
                <w:lang w:val="ro-RO" w:eastAsia="ro-MD"/>
              </w:rPr>
              <w:t xml:space="preserve">3 </w:t>
            </w:r>
            <w:r w:rsidRPr="006F5136">
              <w:rPr>
                <w:rFonts w:ascii="Times New Roman" w:eastAsia="Times New Roman" w:hAnsi="Times New Roman" w:cs="Times New Roman"/>
                <w:sz w:val="18"/>
                <w:szCs w:val="18"/>
                <w:lang w:val="ro-RO" w:eastAsia="ro-MD"/>
              </w:rPr>
              <w:t>în cazul în care îndeplinește oricare dintre următoarele condiții:</w:t>
            </w:r>
          </w:p>
          <w:p w14:paraId="62C7439E"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bunul imobil cu care este garantată expunerea este reședința principală a debitorului, indiferent dacă bunul imobil în ansamblu constituie o singură unitate locativă sau dacă bunul imobil cu care este garantată expunerea este o unitate locativă care constituie o parte separată din cadrul bunului imobil;</w:t>
            </w:r>
          </w:p>
          <w:p w14:paraId="1179E941"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expunerea este față de o persoană fizică și este garantată cu o unitate locativă generatoare de venituri, indiferent dacă bunul imobil în ansamblu constituie o singură unitate locativă sau dacă unitatea locativă constituie o parte separată din cadrul bunului imobil, iar expunerile totale ale băncii față de persoana fizică respectivă nu sunt garantate cu mai mult de patru bunuri imobile, inclusiv cele care nu sunt bunuri imobile locative sau care nu îndeplinesc niciunul dintre criteriile precizate la prezentul punct, sau unități locative separate în cadrul unor bunuri imobile;</w:t>
            </w:r>
          </w:p>
          <w:p w14:paraId="0CF628D3"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expunerea este față de asociații sau cooperative de persoane fizice care sunt reglementate de legislația națională și care există exclusiv pentru a acorda membrilor lor dreptul de a utiliza o reședință principală în bunul imobil cu care este garantat împrumutul;</w:t>
            </w:r>
          </w:p>
          <w:p w14:paraId="5A88E1B2"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expunerea este față de societăți de locuințe publice sau asociații non-profit care sunt reglementate prin lege și care există pentru a servi unor scopuri sociale și a oferi chiriașilor locuințe pe termen lung;</w:t>
            </w:r>
          </w:p>
          <w:p w14:paraId="50474899"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c) o expunere IPRE care nu îndeplinește niciuna dintre condițiile prevăzute la litera b) punctul (ii) de la prezenta literă este tratată în conformitate cu punctele 70-70</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w:t>
            </w:r>
          </w:p>
          <w:p w14:paraId="59B8F4BD"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în cazul în care expunerea este garantată cu bunuri imobile comerciale, aceasta este tratată după cum urmează:</w:t>
            </w:r>
          </w:p>
          <w:p w14:paraId="2791EABA"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o expunere non-IPRE este tratată în conformitate cu punctele 71 - 71</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w:t>
            </w:r>
          </w:p>
          <w:p w14:paraId="69942FFF" w14:textId="77777777" w:rsidR="00914DC9" w:rsidRPr="006F5136" w:rsidRDefault="00914DC9" w:rsidP="00914DC9">
            <w:pPr>
              <w:pStyle w:val="CM4"/>
              <w:tabs>
                <w:tab w:val="left" w:pos="150"/>
              </w:tabs>
              <w:ind w:left="-36"/>
              <w:rPr>
                <w:rFonts w:ascii="Times New Roman" w:hAnsi="Times New Roman"/>
                <w:sz w:val="18"/>
                <w:szCs w:val="18"/>
                <w:lang w:val="ro-RO" w:eastAsia="ro-MD"/>
              </w:rPr>
            </w:pPr>
            <w:r w:rsidRPr="006F5136">
              <w:rPr>
                <w:rFonts w:ascii="Times New Roman" w:hAnsi="Times New Roman"/>
                <w:sz w:val="18"/>
                <w:szCs w:val="18"/>
                <w:lang w:val="ro-RO" w:eastAsia="ro-MD"/>
              </w:rPr>
              <w:t>b) o expunere IPRE este tratată în conformitate cu punctele 72 - 72</w:t>
            </w:r>
            <w:r w:rsidRPr="006F5136">
              <w:rPr>
                <w:rFonts w:ascii="Times New Roman" w:hAnsi="Times New Roman"/>
                <w:sz w:val="18"/>
                <w:szCs w:val="18"/>
                <w:vertAlign w:val="superscript"/>
                <w:lang w:val="ro-RO" w:eastAsia="ro-MD"/>
              </w:rPr>
              <w:t>2</w:t>
            </w:r>
            <w:r w:rsidRPr="006F5136">
              <w:rPr>
                <w:rFonts w:ascii="Times New Roman" w:hAnsi="Times New Roman"/>
                <w:sz w:val="18"/>
                <w:szCs w:val="18"/>
                <w:lang w:val="ro-RO" w:eastAsia="ro-MD"/>
              </w:rPr>
              <w:t>.</w:t>
            </w:r>
          </w:p>
          <w:p w14:paraId="7A7601B3" w14:textId="75023621" w:rsidR="00914DC9" w:rsidRPr="006F5136" w:rsidRDefault="00914DC9" w:rsidP="00914DC9">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1C2C1FD3" w14:textId="51A91F8E"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Compatibil</w:t>
            </w:r>
          </w:p>
        </w:tc>
        <w:tc>
          <w:tcPr>
            <w:tcW w:w="912" w:type="pct"/>
          </w:tcPr>
          <w:p w14:paraId="63CD956D" w14:textId="602C66E5"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914DC9" w:rsidRPr="006F5136" w14:paraId="7F2458F7"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FC15B8A" w14:textId="77777777" w:rsidR="00914DC9" w:rsidRPr="006F5136" w:rsidRDefault="00914DC9" w:rsidP="00914DC9">
            <w:pPr>
              <w:pStyle w:val="CM4"/>
              <w:tabs>
                <w:tab w:val="left" w:pos="150"/>
              </w:tabs>
              <w:ind w:left="-43"/>
              <w:jc w:val="both"/>
              <w:rPr>
                <w:rFonts w:ascii="Times New Roman" w:hAnsi="Times New Roman"/>
                <w:sz w:val="18"/>
                <w:szCs w:val="18"/>
                <w:lang w:val="ro-RO"/>
              </w:rPr>
            </w:pPr>
            <w:r w:rsidRPr="006F5136">
              <w:rPr>
                <w:rFonts w:ascii="Times New Roman" w:hAnsi="Times New Roman"/>
                <w:sz w:val="18"/>
                <w:szCs w:val="18"/>
                <w:lang w:val="ro-RO"/>
              </w:rPr>
              <w:t>(3)   Ca să fie eligibilă pentru tratamentul menționat la alineatul (2), o expunere garantată cu un bun imobil îndeplinește toate condițiile următoare:</w:t>
            </w:r>
          </w:p>
          <w:p w14:paraId="6EF1BF1C" w14:textId="2956FCF8" w:rsidR="00914DC9" w:rsidRPr="006F5136" w:rsidRDefault="00914DC9" w:rsidP="00914DC9">
            <w:pPr>
              <w:pStyle w:val="CM4"/>
              <w:tabs>
                <w:tab w:val="left" w:pos="150"/>
              </w:tabs>
              <w:ind w:left="-43"/>
              <w:jc w:val="both"/>
              <w:rPr>
                <w:rFonts w:ascii="Times New Roman" w:hAnsi="Times New Roman"/>
                <w:sz w:val="18"/>
                <w:szCs w:val="18"/>
                <w:lang w:val="ro-RO"/>
              </w:rPr>
            </w:pPr>
            <w:r w:rsidRPr="006F5136">
              <w:rPr>
                <w:rFonts w:ascii="Times New Roman" w:hAnsi="Times New Roman"/>
                <w:sz w:val="18"/>
                <w:szCs w:val="18"/>
                <w:lang w:val="ro-RO"/>
              </w:rPr>
              <w:t>(a) bunul imobil cu care este garantată expunerea îndeplinește oricare dintre următoarele condiții:</w:t>
            </w:r>
          </w:p>
          <w:p w14:paraId="4B3D7AA0" w14:textId="77777777" w:rsidR="00914DC9" w:rsidRPr="006F5136" w:rsidRDefault="00914DC9" w:rsidP="00914DC9">
            <w:pPr>
              <w:pStyle w:val="CM4"/>
              <w:tabs>
                <w:tab w:val="left" w:pos="150"/>
              </w:tabs>
              <w:ind w:left="-43"/>
              <w:jc w:val="both"/>
              <w:rPr>
                <w:rFonts w:ascii="Times New Roman" w:hAnsi="Times New Roman"/>
                <w:sz w:val="18"/>
                <w:szCs w:val="18"/>
                <w:lang w:val="ro-RO"/>
              </w:rPr>
            </w:pPr>
          </w:p>
          <w:p w14:paraId="6AEACA05" w14:textId="11E8C194" w:rsidR="00914DC9" w:rsidRPr="006F5136" w:rsidRDefault="00914DC9" w:rsidP="00914DC9">
            <w:pPr>
              <w:pStyle w:val="CM4"/>
              <w:tabs>
                <w:tab w:val="left" w:pos="150"/>
              </w:tabs>
              <w:ind w:left="-43"/>
              <w:jc w:val="both"/>
              <w:rPr>
                <w:rFonts w:ascii="Times New Roman" w:hAnsi="Times New Roman"/>
                <w:sz w:val="18"/>
                <w:szCs w:val="18"/>
                <w:lang w:val="ro-RO"/>
              </w:rPr>
            </w:pPr>
            <w:r w:rsidRPr="006F5136">
              <w:rPr>
                <w:rFonts w:ascii="Times New Roman" w:hAnsi="Times New Roman"/>
                <w:sz w:val="18"/>
                <w:szCs w:val="18"/>
                <w:lang w:val="ro-RO"/>
              </w:rPr>
              <w:t>(i) bunul imobil a fost complet finalizat;</w:t>
            </w:r>
          </w:p>
          <w:p w14:paraId="3CFAFFE4" w14:textId="5AD0A8CE" w:rsidR="00914DC9" w:rsidRPr="006F5136" w:rsidRDefault="00914DC9" w:rsidP="00914DC9">
            <w:pPr>
              <w:pStyle w:val="CM4"/>
              <w:tabs>
                <w:tab w:val="left" w:pos="150"/>
              </w:tabs>
              <w:ind w:left="-43"/>
              <w:jc w:val="both"/>
              <w:rPr>
                <w:rFonts w:ascii="Times New Roman" w:hAnsi="Times New Roman"/>
                <w:sz w:val="18"/>
                <w:szCs w:val="18"/>
                <w:lang w:val="ro-RO"/>
              </w:rPr>
            </w:pPr>
            <w:r w:rsidRPr="006F5136">
              <w:rPr>
                <w:rFonts w:ascii="Times New Roman" w:hAnsi="Times New Roman"/>
                <w:sz w:val="18"/>
                <w:szCs w:val="18"/>
                <w:lang w:val="ro-RO"/>
              </w:rPr>
              <w:t>(ii) bunul imobil este un teren forestier sau agricol;</w:t>
            </w:r>
          </w:p>
          <w:p w14:paraId="67627130" w14:textId="2AFA2E58" w:rsidR="00914DC9" w:rsidRPr="006F5136" w:rsidRDefault="00914DC9" w:rsidP="00914DC9">
            <w:pPr>
              <w:pStyle w:val="CM4"/>
              <w:tabs>
                <w:tab w:val="left" w:pos="150"/>
              </w:tabs>
              <w:ind w:left="-43"/>
              <w:jc w:val="both"/>
              <w:rPr>
                <w:rFonts w:ascii="Times New Roman" w:hAnsi="Times New Roman"/>
                <w:sz w:val="18"/>
                <w:szCs w:val="18"/>
                <w:lang w:val="ro-RO"/>
              </w:rPr>
            </w:pPr>
            <w:r w:rsidRPr="006F5136">
              <w:rPr>
                <w:rFonts w:ascii="Times New Roman" w:hAnsi="Times New Roman"/>
                <w:sz w:val="18"/>
                <w:szCs w:val="18"/>
                <w:lang w:val="ro-RO"/>
              </w:rPr>
              <w:t>(iii) împrumutul se acordă unei persoane fizice și bunul imobil este fie un bun imobil locativ în construcție, fie un teren pe care este planificată construirea unui bun imobil locativ, dacă planul a fost aprobat în mod legal de toate autoritățile relevante, după caz, și dacă este îndeplinită oricare dintre următoarele condiții:</w:t>
            </w:r>
          </w:p>
          <w:p w14:paraId="469D2D55" w14:textId="77777777" w:rsidR="00914DC9" w:rsidRPr="006F5136" w:rsidRDefault="00914DC9" w:rsidP="00914DC9">
            <w:pPr>
              <w:pStyle w:val="CM4"/>
              <w:tabs>
                <w:tab w:val="left" w:pos="150"/>
              </w:tabs>
              <w:ind w:left="-43"/>
              <w:jc w:val="both"/>
              <w:rPr>
                <w:rFonts w:ascii="Times New Roman" w:hAnsi="Times New Roman"/>
                <w:sz w:val="18"/>
                <w:szCs w:val="18"/>
                <w:lang w:val="ro-RO"/>
              </w:rPr>
            </w:pPr>
          </w:p>
          <w:p w14:paraId="4D5C42E5" w14:textId="0605E3A0" w:rsidR="00914DC9" w:rsidRPr="006F5136" w:rsidRDefault="00914DC9" w:rsidP="00914DC9">
            <w:pPr>
              <w:pStyle w:val="CM4"/>
              <w:tabs>
                <w:tab w:val="left" w:pos="150"/>
              </w:tabs>
              <w:ind w:left="-43"/>
              <w:jc w:val="both"/>
              <w:rPr>
                <w:rFonts w:ascii="Times New Roman" w:hAnsi="Times New Roman"/>
                <w:sz w:val="18"/>
                <w:szCs w:val="18"/>
                <w:lang w:val="ro-RO"/>
              </w:rPr>
            </w:pPr>
            <w:r w:rsidRPr="006F5136">
              <w:rPr>
                <w:rFonts w:ascii="Times New Roman" w:hAnsi="Times New Roman"/>
                <w:sz w:val="18"/>
                <w:szCs w:val="18"/>
                <w:lang w:val="ro-RO"/>
              </w:rPr>
              <w:t>1. bunul imobil nu cuprinde mai mult de patru unități locative și va fi reședința principală a debitorului, iar creditarea persoanei fizice nu finanțează în mod indirect expuneri ADC;</w:t>
            </w:r>
          </w:p>
          <w:p w14:paraId="19AFFCEE" w14:textId="7F8E0294" w:rsidR="00914DC9" w:rsidRPr="006F5136" w:rsidRDefault="00914DC9" w:rsidP="00914DC9">
            <w:pPr>
              <w:pStyle w:val="CM4"/>
              <w:tabs>
                <w:tab w:val="left" w:pos="150"/>
              </w:tabs>
              <w:ind w:left="-43"/>
              <w:jc w:val="both"/>
              <w:rPr>
                <w:rFonts w:ascii="Times New Roman" w:hAnsi="Times New Roman"/>
                <w:sz w:val="18"/>
                <w:szCs w:val="18"/>
                <w:lang w:val="ro-RO"/>
              </w:rPr>
            </w:pPr>
            <w:r w:rsidRPr="006F5136">
              <w:rPr>
                <w:rFonts w:ascii="Times New Roman" w:hAnsi="Times New Roman"/>
                <w:sz w:val="18"/>
                <w:szCs w:val="18"/>
                <w:lang w:val="ro-RO"/>
              </w:rPr>
              <w:t>2. o administrație centrală, o administrație regională, o autoritate locală sau o entitate din sectorul public este implicată, expunerile la acestea fiind tratate în conformitate cu articolul 115 alineatul (2) sau, respectiv, articolul 116 alineatul (4), și are competențele legale și capacitatea de a asigura finalizarea bunului imobil aflat în construcție într-un termen rezonabil și are obligația sau și-a asumat un angajament obligatoriu din punct de vedere juridic să asigure finalizarea în cazul în care, fără intervenția sa, construcția nu ar fi finalizată într-un astfel de interval de timp rezonabil; în mod alternativ, există un mecanism juridic echivalent pentru asigurarea finalizării bunului imobil aflat în construcție într-un termen rezonabil;</w:t>
            </w:r>
          </w:p>
        </w:tc>
        <w:tc>
          <w:tcPr>
            <w:tcW w:w="1661" w:type="pct"/>
            <w:shd w:val="clear" w:color="auto" w:fill="auto"/>
          </w:tcPr>
          <w:p w14:paraId="387CD521"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67.</w:t>
            </w:r>
            <w:r w:rsidRPr="006F5136">
              <w:rPr>
                <w:rFonts w:ascii="Times New Roman" w:eastAsia="Times New Roman" w:hAnsi="Times New Roman" w:cs="Times New Roman"/>
                <w:sz w:val="18"/>
                <w:szCs w:val="18"/>
                <w:lang w:val="ro-RO" w:eastAsia="ro-MD"/>
              </w:rPr>
              <w:t xml:space="preserve"> Ca să fie eligibilă pentru tratamentul menționat la punctul 66, o expunere garantată cu un bun imobil îndeplinește cumulativ următoarele condiții:</w:t>
            </w:r>
          </w:p>
          <w:p w14:paraId="28091860"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bunul imobil cu care este garantată expunerea îndeplinește oricare dintre următoarele condiții:</w:t>
            </w:r>
          </w:p>
          <w:p w14:paraId="7FF8D5FD"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bunul imobil a fost complet finalizat;</w:t>
            </w:r>
          </w:p>
          <w:p w14:paraId="0836572E"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b) bunul imobil este un teren forestier sau agricol;</w:t>
            </w:r>
          </w:p>
          <w:p w14:paraId="27BB3463"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c) creditul se acordă unei persoane fizice și bunul imobil este fie un bun imobil locativ în construcție, fie un teren pe care este planificată construirea unui bun imobil locativ, dacă planul a fost aprobat în mod legal de toate autoritățile relevante, după caz, și dacă este îndeplinită oricare dintre următoarele condiții:</w:t>
            </w:r>
          </w:p>
          <w:p w14:paraId="53D5880A"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bunul imobil nu cuprinde mai mult de patru unități locative și va fi reședința principală a debitorului, iar creditarea persoanei fizice nu finanțează în mod indirect expuneri ADC;</w:t>
            </w:r>
          </w:p>
          <w:p w14:paraId="41D0CBD0"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o administrație centrală, o administrație regională, o autoritate locală sau o entitate din sectorul public este implicată, expunerile la acestea fiind tratate în conformitate cu punctele 35</w:t>
            </w:r>
            <w:r w:rsidRPr="006F5136">
              <w:rPr>
                <w:rFonts w:ascii="Times New Roman" w:eastAsia="Times New Roman" w:hAnsi="Times New Roman" w:cs="Times New Roman"/>
                <w:sz w:val="18"/>
                <w:szCs w:val="18"/>
                <w:vertAlign w:val="superscript"/>
                <w:lang w:val="ro-RO" w:eastAsia="ro-MD"/>
              </w:rPr>
              <w:t>2</w:t>
            </w:r>
            <w:r w:rsidRPr="006F5136">
              <w:rPr>
                <w:rFonts w:ascii="Times New Roman" w:eastAsia="Times New Roman" w:hAnsi="Times New Roman" w:cs="Times New Roman"/>
                <w:sz w:val="18"/>
                <w:szCs w:val="18"/>
                <w:lang w:val="ro-RO" w:eastAsia="ro-MD"/>
              </w:rPr>
              <w:t xml:space="preserve"> sau, respectiv, 42 - 42</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 și are competențele legale și capacitatea de a asigura finalizarea bunului imobil aflat în construcție într-un termen rezonabil și are obligația sau și-a asumat un angajament obligatoriu din punct de vedere juridic să asigure finalizarea în cazul în care, fără intervenția sa, construcția nu ar fi finalizată într-un astfel de interval de timp rezonabil; în mod alternativ, există un mecanism juridic echivalent pentru asigurarea finalizării bunului imobil aflat în construcție într-un termen rezonabil;</w:t>
            </w:r>
          </w:p>
          <w:p w14:paraId="48DD0A6D" w14:textId="75BA1F6A" w:rsidR="00914DC9" w:rsidRPr="006F5136" w:rsidRDefault="00914DC9" w:rsidP="00914DC9">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231124D9" w14:textId="447999D4"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3FA2648F" w14:textId="080F2BFE" w:rsidR="00914DC9" w:rsidRPr="006F5136" w:rsidRDefault="00914DC9" w:rsidP="00914DC9">
            <w:pPr>
              <w:spacing w:after="0" w:line="240" w:lineRule="auto"/>
              <w:jc w:val="both"/>
              <w:rPr>
                <w:rFonts w:ascii="Times New Roman" w:hAnsi="Times New Roman" w:cs="Times New Roman"/>
                <w:iCs/>
                <w:sz w:val="18"/>
                <w:szCs w:val="18"/>
                <w:lang w:val="ro-RO"/>
              </w:rPr>
            </w:pPr>
            <w:r w:rsidRPr="006F5136">
              <w:rPr>
                <w:rFonts w:ascii="Times New Roman" w:hAnsi="Times New Roman" w:cs="Times New Roman"/>
                <w:sz w:val="18"/>
                <w:szCs w:val="18"/>
                <w:lang w:val="ro-RO"/>
              </w:rPr>
              <w:t>Regulamentul nr.111/2018</w:t>
            </w:r>
          </w:p>
        </w:tc>
      </w:tr>
      <w:tr w:rsidR="00914DC9" w:rsidRPr="006F5136" w14:paraId="01919DC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97"/>
        </w:trPr>
        <w:tc>
          <w:tcPr>
            <w:tcW w:w="1924" w:type="pct"/>
          </w:tcPr>
          <w:p w14:paraId="2DF3E3F2" w14:textId="347D3ED5" w:rsidR="00914DC9" w:rsidRPr="006F5136" w:rsidRDefault="00914DC9" w:rsidP="00914DC9">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(b) expunerea este garantată cu un drept de ipotecă de prim rang deținut de instituție asupra bunului imobil sau instituția deține dreptul de ipotecă de prim rang și orice alt drept de ipotecă de rang inferior în ordine secvențială asupra bunului respectiv;</w:t>
            </w:r>
          </w:p>
        </w:tc>
        <w:tc>
          <w:tcPr>
            <w:tcW w:w="1661" w:type="pct"/>
            <w:shd w:val="clear" w:color="auto" w:fill="auto"/>
          </w:tcPr>
          <w:p w14:paraId="7849377F"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expunerea este garantată cu un drept de ipotecă de prim rang deținut de bancă asupra bunului imobil sau banca deține dreptul de ipotecă de prim rang și orice alt drept de ipotecă de rang inferior în ordine secvențială asupra bunului respectiv;</w:t>
            </w:r>
          </w:p>
          <w:p w14:paraId="4546EE97" w14:textId="58E32E92" w:rsidR="00914DC9" w:rsidRPr="006F5136" w:rsidRDefault="00914DC9" w:rsidP="00914DC9">
            <w:pPr>
              <w:pStyle w:val="CM4"/>
              <w:tabs>
                <w:tab w:val="left" w:pos="150"/>
              </w:tabs>
              <w:ind w:left="-36"/>
              <w:rPr>
                <w:rFonts w:ascii="Times New Roman" w:hAnsi="Times New Roman"/>
                <w:sz w:val="18"/>
                <w:szCs w:val="18"/>
                <w:lang w:val="ro-RO" w:eastAsia="ru-RU"/>
              </w:rPr>
            </w:pPr>
            <w:r w:rsidRPr="006F5136">
              <w:rPr>
                <w:rFonts w:ascii="Times New Roman" w:hAnsi="Times New Roman"/>
                <w:i/>
                <w:iCs/>
                <w:sz w:val="18"/>
                <w:szCs w:val="18"/>
                <w:lang w:val="ro-RO" w:eastAsia="ru-RU"/>
              </w:rPr>
              <w:t>Proiectul HCE al BNM privind modificarea Regulamentului nr.111/2018</w:t>
            </w:r>
          </w:p>
        </w:tc>
        <w:tc>
          <w:tcPr>
            <w:tcW w:w="503" w:type="pct"/>
          </w:tcPr>
          <w:p w14:paraId="346194ED" w14:textId="256C5994"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53CEF011" w14:textId="48B5386A" w:rsidR="00914DC9" w:rsidRPr="006F5136" w:rsidRDefault="00914DC9" w:rsidP="00914DC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327B2C1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284D4C0" w14:textId="1D5D0E38"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(c) valoarea bunului imobil nu depinde în mod semnificativ de calitatea creditului debitorului;</w:t>
            </w:r>
          </w:p>
        </w:tc>
        <w:tc>
          <w:tcPr>
            <w:tcW w:w="1661" w:type="pct"/>
            <w:shd w:val="clear" w:color="auto" w:fill="auto"/>
          </w:tcPr>
          <w:p w14:paraId="4801B773"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valoarea bunului imobil nu depinde în mod semnificativ de calitatea creditului debitorului;</w:t>
            </w:r>
          </w:p>
          <w:p w14:paraId="6CE2AE3A" w14:textId="1E7E8842" w:rsidR="00914DC9" w:rsidRPr="006F5136" w:rsidRDefault="00914DC9" w:rsidP="00914DC9">
            <w:pPr>
              <w:pStyle w:val="CM4"/>
              <w:tabs>
                <w:tab w:val="left" w:pos="150"/>
              </w:tabs>
              <w:ind w:left="-36"/>
              <w:rPr>
                <w:rFonts w:ascii="Times New Roman" w:hAnsi="Times New Roman"/>
                <w:sz w:val="18"/>
                <w:szCs w:val="18"/>
                <w:lang w:val="ro-RO"/>
              </w:rPr>
            </w:pPr>
            <w:r w:rsidRPr="006F5136">
              <w:rPr>
                <w:rFonts w:ascii="Times New Roman" w:hAnsi="Times New Roman"/>
                <w:i/>
                <w:iCs/>
                <w:sz w:val="18"/>
                <w:szCs w:val="18"/>
                <w:lang w:val="ro-RO" w:eastAsia="ru-RU"/>
              </w:rPr>
              <w:t>Proiectul HCE al BNM privind modificarea Regulamentului nr.111/2018</w:t>
            </w:r>
          </w:p>
        </w:tc>
        <w:tc>
          <w:tcPr>
            <w:tcW w:w="503" w:type="pct"/>
          </w:tcPr>
          <w:p w14:paraId="4F42D73D" w14:textId="6B421671"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524815DA" w14:textId="6163E862"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7E6D51D2"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4A9416B" w14:textId="1A63734A" w:rsidR="00914DC9" w:rsidRPr="006F5136" w:rsidRDefault="00914DC9" w:rsidP="00914DC9">
            <w:pPr>
              <w:shd w:val="clear" w:color="auto" w:fill="FFFFFF"/>
              <w:spacing w:after="0" w:line="240" w:lineRule="auto"/>
              <w:rPr>
                <w:rFonts w:ascii="Times New Roman" w:hAnsi="Times New Roman" w:cs="Times New Roman"/>
                <w:iCs/>
                <w:sz w:val="18"/>
                <w:szCs w:val="18"/>
                <w:lang w:eastAsia="ru-RU"/>
              </w:rPr>
            </w:pPr>
            <w:r w:rsidRPr="006F5136">
              <w:rPr>
                <w:rFonts w:ascii="Times New Roman" w:hAnsi="Times New Roman" w:cs="Times New Roman"/>
                <w:iCs/>
                <w:sz w:val="18"/>
                <w:szCs w:val="18"/>
                <w:lang w:eastAsia="ru-RU"/>
              </w:rPr>
              <w:t>(d) toate informațiile necesare la inițierea expunerii și în scopul monitorizării sunt documentate în mod corespunzător, inclusiv informațiile referitoare la capacitatea de rambursare a debitorului și la evaluarea bunului imobil;</w:t>
            </w:r>
          </w:p>
        </w:tc>
        <w:tc>
          <w:tcPr>
            <w:tcW w:w="1661" w:type="pct"/>
            <w:shd w:val="clear" w:color="auto" w:fill="auto"/>
          </w:tcPr>
          <w:p w14:paraId="7CF41777" w14:textId="77777777" w:rsidR="00914DC9" w:rsidRPr="006F5136" w:rsidRDefault="00914DC9" w:rsidP="00914DC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4) toate informațiile necesare la inițierea expunerii și în scopul monitorizării sunt documentate în mod corespunzător, inclusiv informațiile referitoare la capacitatea de rambursare a debitorului și la evaluarea bunului imobil;</w:t>
            </w:r>
          </w:p>
          <w:p w14:paraId="5C3F76B8" w14:textId="773E110F" w:rsidR="00914DC9" w:rsidRPr="006F5136" w:rsidRDefault="00914DC9" w:rsidP="00914DC9">
            <w:pPr>
              <w:pStyle w:val="CM4"/>
              <w:tabs>
                <w:tab w:val="left" w:pos="150"/>
              </w:tabs>
              <w:ind w:left="-36"/>
              <w:rPr>
                <w:rFonts w:ascii="Times New Roman" w:hAnsi="Times New Roman"/>
                <w:sz w:val="18"/>
                <w:szCs w:val="18"/>
                <w:lang w:val="ro-RO"/>
              </w:rPr>
            </w:pPr>
            <w:r w:rsidRPr="006F5136">
              <w:rPr>
                <w:rFonts w:ascii="Times New Roman" w:hAnsi="Times New Roman"/>
                <w:i/>
                <w:iCs/>
                <w:sz w:val="18"/>
                <w:szCs w:val="18"/>
                <w:lang w:val="ro-RO" w:eastAsia="ru-RU"/>
              </w:rPr>
              <w:t>Proiectul HCE al BNM privind modificarea Regulamentului nr.111/2018</w:t>
            </w:r>
          </w:p>
        </w:tc>
        <w:tc>
          <w:tcPr>
            <w:tcW w:w="503" w:type="pct"/>
          </w:tcPr>
          <w:p w14:paraId="09BA4A50" w14:textId="50D6D0D7"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4AC18DE4" w14:textId="5C16AEC1"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3F357170"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7"/>
        </w:trPr>
        <w:tc>
          <w:tcPr>
            <w:tcW w:w="1924" w:type="pct"/>
          </w:tcPr>
          <w:p w14:paraId="7ED3C6BD" w14:textId="4810E25F" w:rsidR="00914DC9" w:rsidRPr="006F5136" w:rsidRDefault="00914DC9" w:rsidP="00914DC9">
            <w:pPr>
              <w:shd w:val="clear" w:color="auto" w:fill="FFFFFF"/>
              <w:spacing w:after="0" w:line="240" w:lineRule="auto"/>
              <w:rPr>
                <w:rFonts w:ascii="Times New Roman" w:hAnsi="Times New Roman" w:cs="Times New Roman"/>
                <w:iCs/>
                <w:sz w:val="18"/>
                <w:szCs w:val="18"/>
                <w:lang w:eastAsia="ru-RU"/>
              </w:rPr>
            </w:pPr>
            <w:r w:rsidRPr="006F5136">
              <w:rPr>
                <w:rFonts w:ascii="Times New Roman" w:hAnsi="Times New Roman" w:cs="Times New Roman"/>
                <w:iCs/>
                <w:sz w:val="18"/>
                <w:szCs w:val="18"/>
                <w:lang w:eastAsia="ru-RU"/>
              </w:rPr>
              <w:t>(e) sunt îndeplinite cerințele prevăzute la articolul 208 și sunt respectate regulile de evaluare prevăzute la articolul 229 alineatul (1).</w:t>
            </w:r>
          </w:p>
        </w:tc>
        <w:tc>
          <w:tcPr>
            <w:tcW w:w="1661" w:type="pct"/>
            <w:shd w:val="clear" w:color="auto" w:fill="auto"/>
          </w:tcPr>
          <w:p w14:paraId="72FA17C5" w14:textId="77777777" w:rsidR="00914DC9" w:rsidRPr="006F5136" w:rsidRDefault="00914DC9" w:rsidP="00914DC9">
            <w:pPr>
              <w:pStyle w:val="CM4"/>
              <w:tabs>
                <w:tab w:val="left" w:pos="150"/>
              </w:tabs>
              <w:ind w:left="-36"/>
              <w:rPr>
                <w:rFonts w:ascii="Times New Roman" w:hAnsi="Times New Roman"/>
                <w:sz w:val="18"/>
                <w:szCs w:val="18"/>
                <w:lang w:val="ro-RO" w:eastAsia="ro-MD"/>
              </w:rPr>
            </w:pPr>
            <w:r w:rsidRPr="006F5136">
              <w:rPr>
                <w:rFonts w:ascii="Times New Roman" w:hAnsi="Times New Roman"/>
                <w:sz w:val="18"/>
                <w:szCs w:val="18"/>
                <w:lang w:val="ro-RO" w:eastAsia="ro-MD"/>
              </w:rPr>
              <w:t>5) sunt îndeplinite cerințele prevăzute la anexa nr.2 și sunt respectate regulile de evaluare prevăzute în Regulamentul 112/2018.</w:t>
            </w:r>
          </w:p>
          <w:p w14:paraId="1D7C4C8E" w14:textId="2321586C"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44919BDB" w14:textId="6D3B1C78"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21150A36" w14:textId="0FC01930"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005A244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4475F65" w14:textId="7FC659BA" w:rsidR="00914DC9" w:rsidRPr="006F5136" w:rsidRDefault="00914DC9" w:rsidP="00914DC9">
            <w:pPr>
              <w:shd w:val="clear" w:color="auto" w:fill="FFFFFF"/>
              <w:spacing w:after="0" w:line="240" w:lineRule="auto"/>
              <w:rPr>
                <w:rFonts w:ascii="Times New Roman" w:hAnsi="Times New Roman" w:cs="Times New Roman"/>
                <w:iCs/>
                <w:sz w:val="18"/>
                <w:szCs w:val="18"/>
                <w:lang w:eastAsia="ru-RU"/>
              </w:rPr>
            </w:pPr>
            <w:r w:rsidRPr="006F5136">
              <w:rPr>
                <w:rFonts w:ascii="Times New Roman" w:hAnsi="Times New Roman" w:cs="Times New Roman"/>
                <w:iCs/>
                <w:sz w:val="18"/>
                <w:szCs w:val="18"/>
                <w:lang w:eastAsia="ru-RU"/>
              </w:rPr>
              <w:t>În sensul primului paragraf litera (c), instituțiile pot exclude situațiile în care factori pur macroeconomici afectează atât valoarea bunului imobil, cât și performanța debitorului.</w:t>
            </w:r>
          </w:p>
        </w:tc>
        <w:tc>
          <w:tcPr>
            <w:tcW w:w="1661" w:type="pct"/>
            <w:shd w:val="clear" w:color="auto" w:fill="auto"/>
          </w:tcPr>
          <w:p w14:paraId="45172576" w14:textId="77777777" w:rsidR="00914DC9" w:rsidRPr="006F5136" w:rsidRDefault="00914DC9" w:rsidP="00914DC9">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67</w:t>
            </w:r>
            <w:r w:rsidRPr="006F5136">
              <w:rPr>
                <w:rFonts w:ascii="Times New Roman" w:eastAsia="Times New Roman" w:hAnsi="Times New Roman" w:cs="Times New Roman"/>
                <w:b/>
                <w:bCs/>
                <w:sz w:val="18"/>
                <w:szCs w:val="18"/>
                <w:vertAlign w:val="superscript"/>
                <w:lang w:val="ro-RO" w:eastAsia="ro-MD"/>
              </w:rPr>
              <w:t>1</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În sensul punctului 67 subpunctul 3), băncile pot exclude situațiile în care factori pur macroeconomici afectează atât valoarea bunului imobil, cât și performanța debitorului.</w:t>
            </w:r>
          </w:p>
          <w:p w14:paraId="01236DA0" w14:textId="2404F5D0"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473154FD" w14:textId="7E14F128"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4A963ACA" w14:textId="047474A9"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349C24E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27396F8" w14:textId="1FB7CAE9" w:rsidR="00914DC9" w:rsidRPr="006F5136" w:rsidRDefault="00914DC9" w:rsidP="00914DC9">
            <w:pPr>
              <w:shd w:val="clear" w:color="auto" w:fill="FFFFFF"/>
              <w:spacing w:after="0" w:line="240" w:lineRule="auto"/>
              <w:rPr>
                <w:rFonts w:ascii="Times New Roman" w:hAnsi="Times New Roman" w:cs="Times New Roman"/>
                <w:iCs/>
                <w:sz w:val="18"/>
                <w:szCs w:val="18"/>
                <w:lang w:eastAsia="ru-RU"/>
              </w:rPr>
            </w:pPr>
            <w:r w:rsidRPr="006F5136">
              <w:rPr>
                <w:rFonts w:ascii="Times New Roman" w:hAnsi="Times New Roman" w:cs="Times New Roman"/>
                <w:iCs/>
                <w:sz w:val="18"/>
                <w:szCs w:val="18"/>
                <w:lang w:eastAsia="ru-RU"/>
              </w:rPr>
              <w:t>În sensul primului paragraf litera (d), instituțiile instituie politici de subscriere în ceea ce privește inițierea expunerilor garantate cu bunuri imobile care includ evaluarea capacității de rambursare a debitorului. Politicile de subscriere includ indicatorii relevanți pentru evaluarea respectivă și nivelurile lor maxime respective.</w:t>
            </w:r>
          </w:p>
        </w:tc>
        <w:tc>
          <w:tcPr>
            <w:tcW w:w="1661" w:type="pct"/>
            <w:shd w:val="clear" w:color="auto" w:fill="auto"/>
          </w:tcPr>
          <w:p w14:paraId="775E29D1" w14:textId="77777777" w:rsidR="00914DC9" w:rsidRPr="006F5136" w:rsidRDefault="00914DC9" w:rsidP="00914DC9">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67</w:t>
            </w:r>
            <w:r w:rsidRPr="006F5136">
              <w:rPr>
                <w:rFonts w:ascii="Times New Roman" w:eastAsia="Times New Roman" w:hAnsi="Times New Roman" w:cs="Times New Roman"/>
                <w:b/>
                <w:bCs/>
                <w:sz w:val="18"/>
                <w:szCs w:val="18"/>
                <w:vertAlign w:val="superscript"/>
                <w:lang w:val="ro-RO" w:eastAsia="ro-MD"/>
              </w:rPr>
              <w:t>2</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În sensul punctului 67 subpunctul 4), băncile instituie politici de subscriere în ceea ce privește inițierea expunerilor garantate cu bunuri imobile care includ evaluarea capacității de rambursare a debitorului. Politicile de subscriere includ indicatorii relevanți pentru evaluarea respectivă și nivelurile lor maxime.</w:t>
            </w:r>
          </w:p>
          <w:p w14:paraId="47737306" w14:textId="72773720"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3310793C" w14:textId="02AC3BCF"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A07B449" w14:textId="247F2175"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7583F19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9B1492B" w14:textId="77777777"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(4)   Prin derogare de la alineatul (3) litera (b), în jurisdicțiile în care drepturile de ipotecă de rang inferior conferă deținătorului o creanță asupra garanțiilor reale care este executorie din punct de vedere juridic și constituie un mijloc eficace de diminuare a riscului de credit, pot fi recunoscute și drepturile de ipotecă de rang inferior deținute de o instituție, alta decât cea care deține dreptul de ipotecă de rang superior, inclusiv în cazul în care instituția nu deține dreptul de ipotecă de rang superior sau nu deține un drept de ipotecă situat între un drept de ipotecă de rang superior și un drept de ipotecă de rang inferior care sunt ambele deținute de instituție.</w:t>
            </w:r>
          </w:p>
          <w:p w14:paraId="3150CBE4" w14:textId="77777777"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În sensul primului paragraf, normele care reglementează drepturile de ipotecă asigură toate elementele următoare:</w:t>
            </w:r>
          </w:p>
          <w:p w14:paraId="03AAB86F" w14:textId="77777777"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(a) fiecare instituție care deține un drept de ipotecă asupra unui bun poate iniția vânzarea bunului în mod independent de alte entități care dețin un drept de ipotecă asupra bunului;</w:t>
            </w:r>
          </w:p>
          <w:p w14:paraId="14C5F2C3" w14:textId="47721C31"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(b) în cazul în care vânzarea bunului nu se realizează prin licitație publică, entitățile care dețin un drept de ipotecă de rang superior iau măsuri rezonabile pentru a obține o valoare de piață justă sau cel mai bun preț care poate fi obținut în circumstanțele respective atunci când își exercită singure orice drept de vânzare.</w:t>
            </w:r>
          </w:p>
        </w:tc>
        <w:tc>
          <w:tcPr>
            <w:tcW w:w="1661" w:type="pct"/>
            <w:shd w:val="clear" w:color="auto" w:fill="auto"/>
          </w:tcPr>
          <w:p w14:paraId="459721DE"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b/>
                <w:bCs/>
                <w:sz w:val="18"/>
                <w:szCs w:val="18"/>
                <w:lang w:val="ro-RO" w:eastAsia="ro-MD"/>
              </w:rPr>
              <w:t>67</w:t>
            </w:r>
            <w:r w:rsidRPr="006F5136">
              <w:rPr>
                <w:rFonts w:ascii="Times New Roman" w:eastAsia="Times New Roman" w:hAnsi="Times New Roman" w:cs="Times New Roman"/>
                <w:b/>
                <w:bCs/>
                <w:sz w:val="18"/>
                <w:szCs w:val="18"/>
                <w:vertAlign w:val="superscript"/>
                <w:lang w:val="ro-RO" w:eastAsia="ro-MD"/>
              </w:rPr>
              <w:t>3</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eastAsia="ro-MD"/>
              </w:rPr>
              <w:t>Prin derogare de la punctul 67 subpunctul 2), în cazul în care drepturile de ipotecă de rang inferior conferă deținătorului o creanță asupra garanțiilor reale care este executorie din punct de vedere juridic și constituie un mijloc eficace de diminuare a riscului de credit, pot fi recunoscute și drepturile de ipotecă de rang inferior deținute de banc</w:t>
            </w:r>
            <w:r w:rsidRPr="006F5136">
              <w:rPr>
                <w:rFonts w:ascii="Times New Roman" w:eastAsia="Times New Roman" w:hAnsi="Times New Roman" w:cs="Times New Roman"/>
                <w:sz w:val="18"/>
                <w:szCs w:val="18"/>
                <w:lang w:val="ro-RO" w:eastAsia="ro-MD"/>
              </w:rPr>
              <w:t>ă</w:t>
            </w:r>
            <w:r w:rsidRPr="006F5136">
              <w:rPr>
                <w:rFonts w:ascii="Times New Roman" w:eastAsia="Times New Roman" w:hAnsi="Times New Roman" w:cs="Times New Roman"/>
                <w:sz w:val="18"/>
                <w:szCs w:val="18"/>
                <w:lang w:eastAsia="ro-MD"/>
              </w:rPr>
              <w:t>, alta decât cea care deține dreptul de ipotecă de rang superior, inclusiv în cazul în care banca nu deține dreptul de ipotecă de rang superior sau nu deține un drept de ipotecă situat între un drept de ipotecă de rang superior și un drept de ipotecă de rang inferior care sunt ambele deținute de bancă. Normele care reglementează drepturile de ipotecă asigură cumulativ următoarele elemente:</w:t>
            </w:r>
          </w:p>
          <w:p w14:paraId="51FB2886" w14:textId="77777777" w:rsidR="00914DC9" w:rsidRPr="006F5136" w:rsidRDefault="00914DC9" w:rsidP="00914DC9">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 xml:space="preserve">1) fiecare bancă care deține un drept de ipotecă asupra unui bun poate iniția vânzarea bunului în mod independent de alte entități care dețin un drept de ipotecă asupra </w:t>
            </w:r>
            <w:proofErr w:type="gramStart"/>
            <w:r w:rsidRPr="006F5136">
              <w:rPr>
                <w:rFonts w:ascii="Times New Roman" w:eastAsia="Times New Roman" w:hAnsi="Times New Roman" w:cs="Times New Roman"/>
                <w:sz w:val="18"/>
                <w:szCs w:val="18"/>
                <w:lang w:eastAsia="ro-MD"/>
              </w:rPr>
              <w:t>bunului;</w:t>
            </w:r>
            <w:proofErr w:type="gramEnd"/>
          </w:p>
          <w:p w14:paraId="6CB9A247" w14:textId="77777777" w:rsidR="00914DC9" w:rsidRPr="006F5136" w:rsidRDefault="00914DC9" w:rsidP="00914DC9">
            <w:pPr>
              <w:spacing w:after="0" w:line="240" w:lineRule="auto"/>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 xml:space="preserve">2) în cazul în care vânzarea bunului nu se realizează prin licitație publică, entitățile care dețin un drept de ipotecă de rang superior iau măsuri rezonabile pentru </w:t>
            </w:r>
            <w:proofErr w:type="gramStart"/>
            <w:r w:rsidRPr="006F5136">
              <w:rPr>
                <w:rFonts w:ascii="Times New Roman" w:eastAsia="Times New Roman" w:hAnsi="Times New Roman" w:cs="Times New Roman"/>
                <w:sz w:val="18"/>
                <w:szCs w:val="18"/>
                <w:lang w:eastAsia="ro-MD"/>
              </w:rPr>
              <w:t>a</w:t>
            </w:r>
            <w:proofErr w:type="gramEnd"/>
            <w:r w:rsidRPr="006F5136">
              <w:rPr>
                <w:rFonts w:ascii="Times New Roman" w:eastAsia="Times New Roman" w:hAnsi="Times New Roman" w:cs="Times New Roman"/>
                <w:sz w:val="18"/>
                <w:szCs w:val="18"/>
                <w:lang w:eastAsia="ro-MD"/>
              </w:rPr>
              <w:t xml:space="preserve"> obține o valoare de piață justă sau cel mai bun preț care poate fi obținut în circumstanțele respective atunci când își exercită singure orice drept de vânzare.</w:t>
            </w:r>
          </w:p>
          <w:p w14:paraId="08FEDBA4" w14:textId="28936FC3"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343CC9EB" w14:textId="3C335442"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B1AFDB6" w14:textId="18342EC9"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2C7FD9B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FC01C5F" w14:textId="1480A2B6"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(5)   În scopul calculării cuantumurilor ponderate la risc ale expunerilor pentru facilitățile neutilizate, drepturile de ipotecă care îndeplinesc toate cerințele de eligibilitate prevăzute la alineatul (3) și, după caz, la alineatul (4) pot fi recunoscute în cazul în care tragerea în cadrul facilității este condiționată de constituirea unui drept de ipotecă, în prealabil sau simultan, pe măsura dreptului instituției asupra dreptului de ipotecă odată ce facilitatea este utilizată, astfel încât instituția nu are niciun drept asupra dreptului de ipotecă în măsura în care facilitatea nu este utilizată.</w:t>
            </w:r>
          </w:p>
        </w:tc>
        <w:tc>
          <w:tcPr>
            <w:tcW w:w="1661" w:type="pct"/>
            <w:shd w:val="clear" w:color="auto" w:fill="auto"/>
          </w:tcPr>
          <w:p w14:paraId="6A7801E2" w14:textId="77777777" w:rsidR="00914DC9" w:rsidRPr="006F5136" w:rsidRDefault="00914DC9" w:rsidP="00914DC9">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67</w:t>
            </w:r>
            <w:r w:rsidRPr="006F5136">
              <w:rPr>
                <w:rFonts w:ascii="Times New Roman" w:eastAsia="Times New Roman" w:hAnsi="Times New Roman" w:cs="Times New Roman"/>
                <w:b/>
                <w:bCs/>
                <w:sz w:val="18"/>
                <w:szCs w:val="18"/>
                <w:vertAlign w:val="superscript"/>
                <w:lang w:val="ro-RO" w:eastAsia="ro-MD"/>
              </w:rPr>
              <w:t>4</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În scopul calculării cuantumurilor ponderate la risc ale expunerilor pentru facilitățile neutilizate, drepturile de ipotecă care îndeplinesc toate cerințele de eligibilitate prevăzute la punctul 67 poate fi recunoscut în cazul în care tragerea în cadrul facilității este condiționată de constituirea unui drept de ipotecă, în prealabil sau simultan, pe măsura dreptului băncii asupra dreptului de ipotecă odată ce facilitatea este utilizată, astfel încât banca nu are niciun drept asupra dreptului de ipotecă în măsura în care facilitatea nu este utilizată.</w:t>
            </w:r>
          </w:p>
          <w:p w14:paraId="380D4B58" w14:textId="18ED1AF0"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711038EC" w14:textId="24F3A173"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6649A4B" w14:textId="318576BF"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5BD5882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DD16F3B" w14:textId="36BFAF11"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(6)   În sensul articolului 125 alineatul (2) și al articolului 126 alineatul (2), raportul expunere/valoare („ETV”) se calculează împărțind cuantumul brut al expunerii la valoarea bunului imobil, sub rezerva următoarelor condiții:</w:t>
            </w:r>
          </w:p>
        </w:tc>
        <w:tc>
          <w:tcPr>
            <w:tcW w:w="1661" w:type="pct"/>
            <w:shd w:val="clear" w:color="auto" w:fill="auto"/>
          </w:tcPr>
          <w:p w14:paraId="21A6FC88" w14:textId="77777777" w:rsidR="00914DC9" w:rsidRPr="006F5136" w:rsidRDefault="00914DC9" w:rsidP="00914DC9">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68.  </w:t>
            </w:r>
            <w:r w:rsidRPr="006F5136">
              <w:rPr>
                <w:rFonts w:ascii="Times New Roman" w:eastAsia="Times New Roman" w:hAnsi="Times New Roman" w:cs="Times New Roman"/>
                <w:sz w:val="18"/>
                <w:szCs w:val="18"/>
                <w:lang w:val="ro-RO" w:eastAsia="ro-MD"/>
              </w:rPr>
              <w:t>În sensul punctelor 70-70</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 xml:space="preserve"> și al punctelor 72 - 72</w:t>
            </w:r>
            <w:r w:rsidRPr="006F5136">
              <w:rPr>
                <w:rFonts w:ascii="Times New Roman" w:eastAsia="Times New Roman" w:hAnsi="Times New Roman" w:cs="Times New Roman"/>
                <w:sz w:val="18"/>
                <w:szCs w:val="18"/>
                <w:vertAlign w:val="superscript"/>
                <w:lang w:val="ro-RO" w:eastAsia="ro-MD"/>
              </w:rPr>
              <w:t>2</w:t>
            </w:r>
            <w:r w:rsidRPr="006F5136">
              <w:rPr>
                <w:rFonts w:ascii="Times New Roman" w:eastAsia="Times New Roman" w:hAnsi="Times New Roman" w:cs="Times New Roman"/>
                <w:sz w:val="18"/>
                <w:szCs w:val="18"/>
                <w:lang w:val="ro-RO" w:eastAsia="ro-MD"/>
              </w:rPr>
              <w:t>, raportul expunere/valoare (ETV) se calculează împărțind cuantumul brut al expunerii la valoarea bunului imobil, cu respectarea următoarelor condiții:</w:t>
            </w:r>
          </w:p>
          <w:p w14:paraId="16A526BE" w14:textId="25687F4B"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58CC07AF" w14:textId="5E7B8015"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264FBB6A" w14:textId="42ED8038"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2559848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064238D" w14:textId="4296E35C"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(a) cuantumul brut al expunerii se calculează ca fiind valoarea contabilă a elementului de activ aferent expunerii garantate cu bunul imobil și orice cuantum netras, dar angajat care, odată tras, ar crește valoarea expunerii garantate cu bunul imobil; respectivul cuantum brut al expunerii se calculează fără a lua în considerare:</w:t>
            </w:r>
          </w:p>
          <w:p w14:paraId="7575543F" w14:textId="1301AEAD"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(i) ajustările specifice pentru riscul de credit în conformitate cu articolul 110;</w:t>
            </w:r>
          </w:p>
          <w:p w14:paraId="047CA5E8" w14:textId="319D2953"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(ii) ajustările de valoare suplimentare în conformitate cu articolul 34 legate de activitatea instituției din afara portofoliului de tranzacționare;</w:t>
            </w:r>
          </w:p>
          <w:p w14:paraId="774A6DA0" w14:textId="75471404"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(iii) cuantumurile deduse în conformitate cu articolul 36 alineatul (1) litera (m); și</w:t>
            </w:r>
          </w:p>
          <w:p w14:paraId="27A5056E" w14:textId="42D7C681"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(iv) alte reduceri ale fondurilor proprii aferente elementului de activ;</w:t>
            </w:r>
          </w:p>
        </w:tc>
        <w:tc>
          <w:tcPr>
            <w:tcW w:w="1661" w:type="pct"/>
            <w:shd w:val="clear" w:color="auto" w:fill="auto"/>
          </w:tcPr>
          <w:p w14:paraId="53D07DAC" w14:textId="77777777" w:rsidR="00914DC9" w:rsidRPr="006F5136" w:rsidRDefault="00914DC9" w:rsidP="00914DC9">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cuantumul brut al expunerii se calculează ca fiind valoarea contabilă a elementului de activ aferent expunerii garantate cu bunul imobil și orice cuantum netras, dar angajat care, odată tras, ar crește valoarea expunerii garantate cu bunul imobil; respectivul cuantum brut al expunerii se calculează fără a lua în considerare:</w:t>
            </w:r>
          </w:p>
          <w:p w14:paraId="0072147E" w14:textId="77777777" w:rsidR="00914DC9" w:rsidRPr="006F5136" w:rsidRDefault="00914DC9" w:rsidP="00914DC9">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ajustările specifice pentru riscul de credit în conformitate cu Regulamentul nr.116/2018 cu privire la calculul de către bănci al ajustărilor specifice și al ajustărilor generale pentru riscul de credit;</w:t>
            </w:r>
          </w:p>
          <w:p w14:paraId="3388D38E" w14:textId="77777777" w:rsidR="00914DC9" w:rsidRPr="006F5136" w:rsidRDefault="00914DC9" w:rsidP="00914DC9">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b) ajustările de valoare suplimentare în conformitate cu Regulamentul nr.109/2018 legate de activitatea băncii din afara portofoliului de tranzacționare;</w:t>
            </w:r>
          </w:p>
          <w:p w14:paraId="2328C7C1" w14:textId="40E0561F" w:rsidR="00914DC9" w:rsidRPr="006F5136" w:rsidRDefault="00914DC9" w:rsidP="00914DC9">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c) cuantumurile deduse în conformitate cu Regulamentul nr.109/2018; și</w:t>
            </w:r>
          </w:p>
          <w:p w14:paraId="6E83FBEF" w14:textId="77777777" w:rsidR="00914DC9" w:rsidRPr="006F5136" w:rsidRDefault="00914DC9" w:rsidP="00914DC9">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d) alte reduceri ale fondurilor proprii aferente elementului de activ;</w:t>
            </w:r>
          </w:p>
          <w:p w14:paraId="00CE1067" w14:textId="4545E4D4"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7C57DECF" w14:textId="2C5CAEF9"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520BAF86" w14:textId="7AB15CFF"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3F71725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9938C08" w14:textId="404A1447"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(b) cuantumul brut al expunerii se calculează fără a ține cont de orice tip de protecție finanțată sau nefinanțată a creditului, cu excepția conturilor de depozite gajate deschise la instituția creditoare care îndeplinesc toate cerințele pentru compensare bilanțieră, fie în cadrul acordurilor-cadru de compensare în conformitate cu articolele 196 și 206, fie în temeiul altor acorduri de compensare bilanțieră în conformitate cu articolele 195 și 205 și care au fost gajate necondiționat și irevocabil exclusiv în scopul îndeplinirii obligației din credite aferente expunerii garantate cu bunul imobil;</w:t>
            </w:r>
          </w:p>
        </w:tc>
        <w:tc>
          <w:tcPr>
            <w:tcW w:w="1661" w:type="pct"/>
            <w:shd w:val="clear" w:color="auto" w:fill="auto"/>
          </w:tcPr>
          <w:p w14:paraId="4907F64D" w14:textId="4BBC5CEF" w:rsidR="00914DC9" w:rsidRPr="006F5136" w:rsidRDefault="00914DC9" w:rsidP="00914DC9">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cuantumul brut al expunerii se calculează fără a ține cont de orice tip de protecție finanțată sau nefinanțată a creditului, cu excepția conturilor de depozite gajate deschise la banca creditoare care îndeplinesc toate cerințele pentru compensare bilanțieră, fie în cadrul acordurilor-cadru de compensare sau altor acorduri de compensare bilanțieră în conformitate cu Regulamentul nr.112/2018 și care au fost gajate necondiționat și irevocabil exclusiv în scopul îndeplinirii obligației din credite aferente expunerii garantate cu bunul imobil;</w:t>
            </w:r>
          </w:p>
          <w:p w14:paraId="1C6FD81D" w14:textId="24F8B1CF"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09C295C6" w14:textId="01499AFA"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08F87A1D" w14:textId="7FCB1181"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2D704610"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55C35E4" w14:textId="740A58C6"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(c) pentru expunerile care trebuie tratate în conformitate cu articolul 125 alineatul (2) sau cu articolul 126 alineatul (2) în cazul în care o parte, alta decât instituția, deține un drept de ipotecă de rang superior și un drept de ipotecă de rang inferior deținut de instituție este recunoscut în temeiul alineatului (4) de la prezentul articol, cuantumul brut al expunerii se calculează ca suma dintre cuantumul brut al expunerii aferente dreptului de ipotecă deținut de instituție și cuantumurile brute ale expunerii pentru toate celelalte drepturi de ipotecă de rang egal sau superior față de dreptul de ipotecă deținut de instituție.</w:t>
            </w:r>
          </w:p>
        </w:tc>
        <w:tc>
          <w:tcPr>
            <w:tcW w:w="1661" w:type="pct"/>
            <w:shd w:val="clear" w:color="auto" w:fill="auto"/>
          </w:tcPr>
          <w:p w14:paraId="4EB62DE0" w14:textId="77777777" w:rsidR="00914DC9" w:rsidRPr="006F5136" w:rsidRDefault="00914DC9" w:rsidP="00914DC9">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pentru expunerile care trebuie tratate în conformitate cu punctele 70-70</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 xml:space="preserve"> sau cu punctele 72 - 72</w:t>
            </w:r>
            <w:r w:rsidRPr="006F5136">
              <w:rPr>
                <w:rFonts w:ascii="Times New Roman" w:eastAsia="Times New Roman" w:hAnsi="Times New Roman" w:cs="Times New Roman"/>
                <w:sz w:val="18"/>
                <w:szCs w:val="18"/>
                <w:vertAlign w:val="superscript"/>
                <w:lang w:val="ro-RO" w:eastAsia="ro-MD"/>
              </w:rPr>
              <w:t>2</w:t>
            </w:r>
            <w:r w:rsidRPr="006F5136">
              <w:rPr>
                <w:rFonts w:ascii="Times New Roman" w:eastAsia="Times New Roman" w:hAnsi="Times New Roman" w:cs="Times New Roman"/>
                <w:sz w:val="18"/>
                <w:szCs w:val="18"/>
                <w:lang w:val="ro-RO" w:eastAsia="ro-MD"/>
              </w:rPr>
              <w:t xml:space="preserve"> în cazul în care o parte, alta decât banca, deține un drept de ipotecă de rang superior și un drept de ipotecă de rang inferior deținut de bancă este recunoscut în temeiul punctului 67</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 cuantumul brut al expunerii se calculează ca suma dintre cuantumul brut al expunerii aferente dreptului de ipotecă deținut de bancă și cuantumurile brute ale expunerii pentru toate celelalte drepturi de ipotecă de rang egal sau superior față de dreptul de ipotecă deținut de bancă.</w:t>
            </w:r>
          </w:p>
          <w:p w14:paraId="7D8C3C26" w14:textId="5234EDA8"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07EC7339" w14:textId="1F379411"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50CF719" w14:textId="32380441"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07EECCB7"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C8B49F8" w14:textId="36D53B35"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În sensul primului paragraf litera (a), în cazul în care o instituție are mai mult de o expunere garantată cu același bun imobil, iar expunerile respective sunt garantate cu drepturi de ipotecă aflate în ordine ierarhică secvențială asupra respectivului bun imobil și nu există niciun drept de ipotecă de rang intermediar deținut de o parte terță, expunerile sunt tratate ca o expunere combinată unică, iar pentru a calcula cuantumul brut al expunerii pentru expunerea combinată unică, se însumează cuantumurile brute ale expunerilor individuale.</w:t>
            </w:r>
          </w:p>
        </w:tc>
        <w:tc>
          <w:tcPr>
            <w:tcW w:w="1661" w:type="pct"/>
            <w:shd w:val="clear" w:color="auto" w:fill="auto"/>
          </w:tcPr>
          <w:p w14:paraId="0ECC086F" w14:textId="77777777" w:rsidR="00914DC9" w:rsidRPr="006F5136" w:rsidRDefault="00914DC9" w:rsidP="00914DC9">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68</w:t>
            </w:r>
            <w:r w:rsidRPr="006F5136">
              <w:rPr>
                <w:rFonts w:ascii="Times New Roman" w:eastAsia="Times New Roman" w:hAnsi="Times New Roman" w:cs="Times New Roman"/>
                <w:b/>
                <w:bCs/>
                <w:sz w:val="18"/>
                <w:szCs w:val="18"/>
                <w:vertAlign w:val="superscript"/>
                <w:lang w:val="ro-RO" w:eastAsia="ro-MD"/>
              </w:rPr>
              <w:t>1</w:t>
            </w:r>
            <w:r w:rsidRPr="006F5136">
              <w:rPr>
                <w:rFonts w:ascii="Times New Roman" w:eastAsia="Times New Roman" w:hAnsi="Times New Roman" w:cs="Times New Roman"/>
                <w:sz w:val="18"/>
                <w:szCs w:val="18"/>
                <w:lang w:val="ro-RO" w:eastAsia="ro-MD"/>
              </w:rPr>
              <w:t>. În sensul punctului 68 subpunctul 1), în cazul în care banca are mai mult de o expunere garantată cu același bun imobil, iar expunerile respective sunt garantate cu drepturi de ipotecă aflate în ordine ierarhică secvențială asupra respectivului bun imobil și nu există niciun drept de ipotecă de rang intermediar deținut de o parte terță, expunerile sunt tratate ca o expunere combinată unică, iar pentru a calcula cuantumul brut al expunerii pentru expunerea combinată unică, se însumează cuantumurile brute ale expunerilor individuale.</w:t>
            </w:r>
          </w:p>
          <w:p w14:paraId="26A16425" w14:textId="446C351C"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188BA9FF" w14:textId="2A07EE4F"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41056B36" w14:textId="0D4E0520"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07738B9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278E570" w14:textId="0229EE69"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În sensul primului paragraf litera (c), în cazul în care nu există informații suficiente pentru a se putea stabili ordinea de prioritate a celorlalte drepturi de ipotecă, instituția tratează respectivele drepturi de ipotecă ca fiind de rang egal cu dreptul de ipotecă de rang inferior deținut de instituție. Instituția determină mai întâi ponderea de risc în conformitate cu articolul 125 alineatul (2) sau cu articolul 126 alineatul (2) (denumită în continuare „ponderea de risc de bază”), după caz. Instituția ajustează apoi această pondere de risc cu un multiplicator de 1,25 , în scopul calculării cuantumurilor ponderate la risc ale drepturilor de ipotecă de rang inferior. În cazul în care ponderea de risc de bază corespunde celei mai mici benzi expunere/valoare, multiplicatorul nu se aplică. Ponderea de risc rezultată din înmulțirea cu 1,25 a ponderii de risc de bază este plafonată la ponderea de risc care s-ar aplica expunerii dacă nu au fost îndeplinite cerințele de la alineatul (3).</w:t>
            </w:r>
          </w:p>
          <w:p w14:paraId="37145D9F" w14:textId="77777777"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p>
        </w:tc>
        <w:tc>
          <w:tcPr>
            <w:tcW w:w="1661" w:type="pct"/>
            <w:shd w:val="clear" w:color="auto" w:fill="auto"/>
          </w:tcPr>
          <w:p w14:paraId="6F04F1B5" w14:textId="77777777" w:rsidR="00914DC9" w:rsidRPr="006F5136" w:rsidRDefault="00914DC9" w:rsidP="00914DC9">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68</w:t>
            </w:r>
            <w:r w:rsidRPr="006F5136">
              <w:rPr>
                <w:rFonts w:ascii="Times New Roman" w:eastAsia="Times New Roman" w:hAnsi="Times New Roman" w:cs="Times New Roman"/>
                <w:b/>
                <w:bCs/>
                <w:sz w:val="18"/>
                <w:szCs w:val="18"/>
                <w:vertAlign w:val="superscript"/>
                <w:lang w:val="ro-RO" w:eastAsia="ro-MD"/>
              </w:rPr>
              <w:t>2</w:t>
            </w:r>
            <w:r w:rsidRPr="006F5136">
              <w:rPr>
                <w:rFonts w:ascii="Times New Roman" w:eastAsia="Times New Roman" w:hAnsi="Times New Roman" w:cs="Times New Roman"/>
                <w:sz w:val="18"/>
                <w:szCs w:val="18"/>
                <w:lang w:val="ro-RO" w:eastAsia="ro-MD"/>
              </w:rPr>
              <w:t>. În sensul punctului 68 subpunctul 3)), în cazul în care nu există informații suficiente pentru a se putea stabili ordinea de prioritate a celorlalte drepturi de ipotecă, banca tratează respectivele drepturi de ipotecă ca fiind de rang egal cu dreptul de ipotecă de rang inferior deținut de bancă. Banca determină mai întâi ponderea de risc în conformitate punctelor 70-70</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 xml:space="preserve">  sau punctele 72 - 72</w:t>
            </w:r>
            <w:r w:rsidRPr="006F5136">
              <w:rPr>
                <w:rFonts w:ascii="Times New Roman" w:eastAsia="Times New Roman" w:hAnsi="Times New Roman" w:cs="Times New Roman"/>
                <w:sz w:val="18"/>
                <w:szCs w:val="18"/>
                <w:vertAlign w:val="superscript"/>
                <w:lang w:val="ro-RO" w:eastAsia="ro-MD"/>
              </w:rPr>
              <w:t>2</w:t>
            </w:r>
            <w:r w:rsidRPr="006F5136">
              <w:rPr>
                <w:rFonts w:ascii="Times New Roman" w:eastAsia="Times New Roman" w:hAnsi="Times New Roman" w:cs="Times New Roman"/>
                <w:sz w:val="18"/>
                <w:szCs w:val="18"/>
                <w:lang w:val="ro-RO" w:eastAsia="ro-MD"/>
              </w:rPr>
              <w:t xml:space="preserve"> (denumită în continuare „ponderea de risc de bază”), după caz. Banca ajustează apoi această pondere de risc cu un multiplicator de 1,25 , în scopul calculării cuantumurilor ponderate la risc ale drepturilor de ipotecă de rang inferior. În cazul în care ponderea de risc de bază corespunde celei mai mici benzi ETV, multiplicatorul nu se aplică. Ponderea de risc rezultată din înmulțirea cu 1,25 a ponderii de risc de bază este plafonată la ponderea de risc care s-ar aplica expunerii dacă nu au fost îndeplinite cerințele de la punctul 67.</w:t>
            </w:r>
          </w:p>
          <w:p w14:paraId="2358704F" w14:textId="680D5DA2"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12D94E7C" w14:textId="0527477D"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35A49EF9" w14:textId="4EEE35FD"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914DC9" w:rsidRPr="006F5136" w14:paraId="465A080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73F8256" w14:textId="250AF215" w:rsidR="00914DC9" w:rsidRPr="006F5136" w:rsidRDefault="00914DC9" w:rsidP="00914DC9">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(7)   Expunerile față de un chiriaș în cazul unei tranzacții de leasing de bunuri imobile în care instituția este locator, iar chiriașul are opțiunea de cumpărare se califică drept expuneri garantate cu bunuri imobile și sunt tratate în conformitate cu tratamentul prevăzut la articolul 125 sau 126 dacă sunt îndeplinite condițiile aplicabile prevăzute la prezentul articol, cu condiția ca expunerea instituției să fie garantată de dreptul său de proprietate asupra bunului respectiv.</w:t>
            </w:r>
          </w:p>
        </w:tc>
        <w:tc>
          <w:tcPr>
            <w:tcW w:w="1661" w:type="pct"/>
            <w:shd w:val="clear" w:color="auto" w:fill="auto"/>
          </w:tcPr>
          <w:p w14:paraId="6154C51F" w14:textId="77777777" w:rsidR="00914DC9" w:rsidRPr="006F5136" w:rsidRDefault="00914DC9" w:rsidP="00914DC9">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68</w:t>
            </w:r>
            <w:r w:rsidRPr="006F5136">
              <w:rPr>
                <w:rFonts w:ascii="Times New Roman" w:eastAsia="Times New Roman" w:hAnsi="Times New Roman" w:cs="Times New Roman"/>
                <w:b/>
                <w:bCs/>
                <w:sz w:val="18"/>
                <w:szCs w:val="18"/>
                <w:vertAlign w:val="superscript"/>
                <w:lang w:val="ro-RO" w:eastAsia="ro-MD"/>
              </w:rPr>
              <w:t>3</w:t>
            </w:r>
            <w:r w:rsidRPr="006F5136">
              <w:rPr>
                <w:rFonts w:ascii="Times New Roman" w:eastAsia="Times New Roman" w:hAnsi="Times New Roman" w:cs="Times New Roman"/>
                <w:sz w:val="18"/>
                <w:szCs w:val="18"/>
                <w:lang w:val="ro-RO" w:eastAsia="ro-MD"/>
              </w:rPr>
              <w:t>. Expunerile față de un locatar în cazul unei tranzacții de leasing de bunuri imobile în care banca este locator, iar locatarul are opțiunea de cumpărare se califică drept expuneri garantate cu bunuri imobile și sunt tratate în conformitate cu tratamentul prevăzut la punctele 69-70</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 xml:space="preserve"> sau 71 - 72</w:t>
            </w:r>
            <w:r w:rsidRPr="006F5136">
              <w:rPr>
                <w:rFonts w:ascii="Times New Roman" w:eastAsia="Times New Roman" w:hAnsi="Times New Roman" w:cs="Times New Roman"/>
                <w:sz w:val="18"/>
                <w:szCs w:val="18"/>
                <w:vertAlign w:val="superscript"/>
                <w:lang w:val="ro-RO" w:eastAsia="ro-MD"/>
              </w:rPr>
              <w:t>2</w:t>
            </w:r>
            <w:r w:rsidRPr="006F5136">
              <w:rPr>
                <w:rFonts w:ascii="Times New Roman" w:eastAsia="Times New Roman" w:hAnsi="Times New Roman" w:cs="Times New Roman"/>
                <w:sz w:val="18"/>
                <w:szCs w:val="18"/>
                <w:lang w:val="ro-RO" w:eastAsia="ro-MD"/>
              </w:rPr>
              <w:t xml:space="preserve"> dacă sunt îndeplinite condițiile aplicabile prevăzute la prezenta secțiune, cu condiția ca expunerea băncii să fie garantată de dreptul său de proprietate asupra bunului respectiv.</w:t>
            </w:r>
          </w:p>
          <w:p w14:paraId="1A77F775" w14:textId="52B5CF69"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075D11A8" w14:textId="28EEA906"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87B1ED1" w14:textId="66D71761" w:rsidR="00914DC9" w:rsidRPr="006F5136" w:rsidRDefault="00914DC9" w:rsidP="00914DC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A263BF" w:rsidRPr="006F5136" w14:paraId="569696BE"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CB7C249" w14:textId="2BEB3E82" w:rsidR="00A263BF" w:rsidRPr="006F5136" w:rsidRDefault="00A263BF" w:rsidP="005E4694">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(8)   Statele membre desemnează o autoritate care să fie responsabilă cu aplicarea alineatului (9). Autoritatea respectivă este autoritatea competentă sau autoritatea desemnată.</w:t>
            </w:r>
          </w:p>
        </w:tc>
        <w:tc>
          <w:tcPr>
            <w:tcW w:w="1661" w:type="pct"/>
            <w:shd w:val="clear" w:color="auto" w:fill="auto"/>
          </w:tcPr>
          <w:p w14:paraId="10A55DFD" w14:textId="77777777" w:rsidR="00A263BF" w:rsidRPr="006F5136" w:rsidRDefault="00A263BF" w:rsidP="005E4694">
            <w:pPr>
              <w:spacing w:after="0" w:line="240" w:lineRule="auto"/>
              <w:rPr>
                <w:rFonts w:ascii="Times New Roman" w:hAnsi="Times New Roman" w:cs="Times New Roman"/>
                <w:sz w:val="18"/>
                <w:szCs w:val="18"/>
                <w:lang w:val="ro-RO"/>
              </w:rPr>
            </w:pPr>
          </w:p>
        </w:tc>
        <w:tc>
          <w:tcPr>
            <w:tcW w:w="503" w:type="pct"/>
          </w:tcPr>
          <w:p w14:paraId="331362DE" w14:textId="75753CEE" w:rsidR="00A263BF" w:rsidRPr="006F5136" w:rsidRDefault="006B3BC1" w:rsidP="005E4694">
            <w:pPr>
              <w:spacing w:after="0" w:line="240" w:lineRule="auto"/>
              <w:rPr>
                <w:rFonts w:ascii="Times New Roman" w:hAnsi="Times New Roman" w:cs="Times New Roman"/>
                <w:sz w:val="18"/>
                <w:szCs w:val="18"/>
                <w:lang w:val="ro-RO"/>
              </w:rPr>
            </w:pPr>
            <w:r>
              <w:rPr>
                <w:rFonts w:ascii="Times New Roman" w:hAnsi="Times New Roman" w:cs="Times New Roman"/>
                <w:sz w:val="18"/>
                <w:szCs w:val="18"/>
                <w:lang w:val="ro-RO"/>
              </w:rPr>
              <w:t>Prevederi UE neaplicabile</w:t>
            </w:r>
          </w:p>
        </w:tc>
        <w:tc>
          <w:tcPr>
            <w:tcW w:w="912" w:type="pct"/>
          </w:tcPr>
          <w:p w14:paraId="09C49BB8" w14:textId="77777777" w:rsidR="00A263BF" w:rsidRPr="006F5136" w:rsidRDefault="00A263BF" w:rsidP="005E4694">
            <w:pPr>
              <w:spacing w:after="0" w:line="240" w:lineRule="auto"/>
              <w:rPr>
                <w:rFonts w:ascii="Times New Roman" w:hAnsi="Times New Roman" w:cs="Times New Roman"/>
                <w:sz w:val="18"/>
                <w:szCs w:val="18"/>
                <w:lang w:val="ro-RO"/>
              </w:rPr>
            </w:pPr>
          </w:p>
        </w:tc>
      </w:tr>
      <w:tr w:rsidR="006B3BC1" w:rsidRPr="006F5136" w14:paraId="4D2A920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E02EFC9" w14:textId="3734099E" w:rsidR="006B3BC1" w:rsidRPr="006F5136" w:rsidRDefault="006B3BC1" w:rsidP="006B3BC1">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În cazul în care autoritatea desemnată de statul membru pentru punerea în aplicare a prezentului articol este autoritatea competentă, ea se asigură că organismele și autoritățile naționale relevante care au un mandat macroprudențial sunt informate în mod corespunzător cu privire la intenția autorității competente de a utiliza dispozițiile prezentului articol și sunt implicate în mod adecvat în evaluarea preocupărilor legate de stabilitatea financiară din statul său membru, în conformitate cu alineatul (9).</w:t>
            </w:r>
          </w:p>
        </w:tc>
        <w:tc>
          <w:tcPr>
            <w:tcW w:w="1661" w:type="pct"/>
            <w:shd w:val="clear" w:color="auto" w:fill="auto"/>
          </w:tcPr>
          <w:p w14:paraId="61B5CA0F" w14:textId="77777777" w:rsidR="006B3BC1" w:rsidRPr="006F5136" w:rsidRDefault="006B3BC1" w:rsidP="006B3BC1">
            <w:pPr>
              <w:spacing w:after="0" w:line="240" w:lineRule="auto"/>
              <w:rPr>
                <w:rFonts w:ascii="Times New Roman" w:hAnsi="Times New Roman" w:cs="Times New Roman"/>
                <w:sz w:val="18"/>
                <w:szCs w:val="18"/>
                <w:lang w:val="ro-RO"/>
              </w:rPr>
            </w:pPr>
          </w:p>
        </w:tc>
        <w:tc>
          <w:tcPr>
            <w:tcW w:w="503" w:type="pct"/>
          </w:tcPr>
          <w:p w14:paraId="16158BB3" w14:textId="08D8FA69" w:rsidR="006B3BC1" w:rsidRPr="006F5136" w:rsidRDefault="006B3BC1" w:rsidP="006B3BC1">
            <w:pPr>
              <w:spacing w:after="0" w:line="240" w:lineRule="auto"/>
              <w:rPr>
                <w:rFonts w:ascii="Times New Roman" w:hAnsi="Times New Roman" w:cs="Times New Roman"/>
                <w:sz w:val="18"/>
                <w:szCs w:val="18"/>
                <w:lang w:val="ro-RO"/>
              </w:rPr>
            </w:pPr>
            <w:r w:rsidRPr="00032C95">
              <w:rPr>
                <w:rFonts w:ascii="Times New Roman" w:hAnsi="Times New Roman" w:cs="Times New Roman"/>
                <w:sz w:val="18"/>
                <w:szCs w:val="18"/>
                <w:lang w:val="ro-RO"/>
              </w:rPr>
              <w:t>Prevederi UE neaplicabile</w:t>
            </w:r>
          </w:p>
        </w:tc>
        <w:tc>
          <w:tcPr>
            <w:tcW w:w="912" w:type="pct"/>
          </w:tcPr>
          <w:p w14:paraId="539D1B3B" w14:textId="77777777" w:rsidR="006B3BC1" w:rsidRPr="006F5136" w:rsidRDefault="006B3BC1" w:rsidP="006B3BC1">
            <w:pPr>
              <w:spacing w:after="0" w:line="240" w:lineRule="auto"/>
              <w:rPr>
                <w:rFonts w:ascii="Times New Roman" w:hAnsi="Times New Roman" w:cs="Times New Roman"/>
                <w:sz w:val="18"/>
                <w:szCs w:val="18"/>
                <w:lang w:val="ro-RO"/>
              </w:rPr>
            </w:pPr>
          </w:p>
        </w:tc>
      </w:tr>
      <w:tr w:rsidR="006B3BC1" w:rsidRPr="006F5136" w14:paraId="463F338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1EAEEB0" w14:textId="597FB987" w:rsidR="006B3BC1" w:rsidRPr="006F5136" w:rsidRDefault="006B3BC1" w:rsidP="006B3BC1">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În cazul în care autoritatea desemnată de statul membru pentru punerea în aplicare a prezentului articol este diferită de autoritatea competentă, statul membru adoptă dispozițiile necesare pentru a asigura în mod adecvat coordonarea și schimbul de informații între autoritatea competentă și autoritatea desemnată în vederea punerii în aplicare corespunzătoare a prezentului articol. În special, autoritățile au obligația să coopereze îndeaproape și să partajeze toate informațiile care ar putea fi necesare pentru exercitarea adecvată a obligațiilor impuse autorității desemnate în temeiul prezentului articol. Această cooperare are drept scop evitarea oricărei forme de acțiune redundantă sau inconsecventă între autoritatea competentă și autoritatea desemnată, precum și asigurarea faptului că interacțiunea cu alte măsuri, în special cu măsurile luate în temeiul articolului 458 din prezentul regulament și al articolului 133 din Directiva 2013/36/UE, este luată în considerare în mod corespunzător.</w:t>
            </w:r>
          </w:p>
        </w:tc>
        <w:tc>
          <w:tcPr>
            <w:tcW w:w="1661" w:type="pct"/>
            <w:shd w:val="clear" w:color="auto" w:fill="auto"/>
          </w:tcPr>
          <w:p w14:paraId="0CD3BBFE" w14:textId="77777777" w:rsidR="006B3BC1" w:rsidRPr="006F5136" w:rsidRDefault="006B3BC1" w:rsidP="006B3BC1">
            <w:pPr>
              <w:spacing w:after="0" w:line="240" w:lineRule="auto"/>
              <w:rPr>
                <w:rFonts w:ascii="Times New Roman" w:hAnsi="Times New Roman" w:cs="Times New Roman"/>
                <w:sz w:val="18"/>
                <w:szCs w:val="18"/>
                <w:lang w:val="ro-RO"/>
              </w:rPr>
            </w:pPr>
          </w:p>
        </w:tc>
        <w:tc>
          <w:tcPr>
            <w:tcW w:w="503" w:type="pct"/>
          </w:tcPr>
          <w:p w14:paraId="31DFC1E3" w14:textId="070B515C" w:rsidR="006B3BC1" w:rsidRPr="006F5136" w:rsidRDefault="006B3BC1" w:rsidP="006B3BC1">
            <w:pPr>
              <w:spacing w:after="0" w:line="240" w:lineRule="auto"/>
              <w:rPr>
                <w:rFonts w:ascii="Times New Roman" w:hAnsi="Times New Roman" w:cs="Times New Roman"/>
                <w:sz w:val="18"/>
                <w:szCs w:val="18"/>
                <w:lang w:val="ro-RO"/>
              </w:rPr>
            </w:pPr>
            <w:r w:rsidRPr="00032C95">
              <w:rPr>
                <w:rFonts w:ascii="Times New Roman" w:hAnsi="Times New Roman" w:cs="Times New Roman"/>
                <w:sz w:val="18"/>
                <w:szCs w:val="18"/>
                <w:lang w:val="ro-RO"/>
              </w:rPr>
              <w:t>Prevederi UE neaplicabile</w:t>
            </w:r>
          </w:p>
        </w:tc>
        <w:tc>
          <w:tcPr>
            <w:tcW w:w="912" w:type="pct"/>
          </w:tcPr>
          <w:p w14:paraId="701DE74C" w14:textId="77777777" w:rsidR="006B3BC1" w:rsidRPr="006F5136" w:rsidRDefault="006B3BC1" w:rsidP="006B3BC1">
            <w:pPr>
              <w:spacing w:after="0" w:line="240" w:lineRule="auto"/>
              <w:rPr>
                <w:rFonts w:ascii="Times New Roman" w:hAnsi="Times New Roman" w:cs="Times New Roman"/>
                <w:sz w:val="18"/>
                <w:szCs w:val="18"/>
                <w:lang w:val="ro-RO"/>
              </w:rPr>
            </w:pPr>
          </w:p>
        </w:tc>
      </w:tr>
      <w:tr w:rsidR="006B3BC1" w:rsidRPr="006F5136" w14:paraId="402CCF5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C42FFA7" w14:textId="77777777" w:rsidR="006B3BC1" w:rsidRPr="006F5136" w:rsidRDefault="006B3BC1" w:rsidP="006B3BC1">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(9)   Pe baza datelor colectate în temeiul articolului 430a și a oricăror alți indicatori relevanți, autoritatea desemnată în conformitate cu alineatul (8) de la prezentul articol evaluează periodic, cel puțin o dată pe an, dacă ponderile de risc prevăzute la articolele 125 și 126 pentru expunerile garantate cu bunuri imobile situate pe teritoriul statului membru al autorității respective sunt adecvate pe baza:</w:t>
            </w:r>
          </w:p>
          <w:p w14:paraId="3F30C1B3" w14:textId="262D9DC5" w:rsidR="006B3BC1" w:rsidRPr="006F5136" w:rsidRDefault="006B3BC1" w:rsidP="006B3BC1">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(a) istoricului pierderilor rezultate din expunerile garantate cu bunuri imobile;</w:t>
            </w:r>
          </w:p>
          <w:p w14:paraId="2A5A2E4E" w14:textId="3F0A4291" w:rsidR="006B3BC1" w:rsidRPr="006F5136" w:rsidRDefault="006B3BC1" w:rsidP="006B3BC1">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(b) perspectivelor de evoluție a pieței de bunuri imobile.</w:t>
            </w:r>
          </w:p>
        </w:tc>
        <w:tc>
          <w:tcPr>
            <w:tcW w:w="1661" w:type="pct"/>
            <w:shd w:val="clear" w:color="auto" w:fill="auto"/>
          </w:tcPr>
          <w:p w14:paraId="1FFCCF93" w14:textId="77777777" w:rsidR="006B3BC1" w:rsidRPr="006F5136" w:rsidRDefault="006B3BC1" w:rsidP="006B3BC1">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68</w:t>
            </w:r>
            <w:r w:rsidRPr="006F5136">
              <w:rPr>
                <w:rFonts w:ascii="Times New Roman" w:eastAsia="Times New Roman" w:hAnsi="Times New Roman" w:cs="Times New Roman"/>
                <w:b/>
                <w:bCs/>
                <w:sz w:val="18"/>
                <w:szCs w:val="18"/>
                <w:vertAlign w:val="superscript"/>
                <w:lang w:val="ro-RO" w:eastAsia="ro-MD"/>
              </w:rPr>
              <w:t>4</w:t>
            </w:r>
            <w:r w:rsidRPr="006F5136">
              <w:rPr>
                <w:rFonts w:ascii="Times New Roman" w:eastAsia="Times New Roman" w:hAnsi="Times New Roman" w:cs="Times New Roman"/>
                <w:sz w:val="18"/>
                <w:szCs w:val="18"/>
                <w:lang w:val="ro-RO" w:eastAsia="ro-MD"/>
              </w:rPr>
              <w:t>. Pe baza datelor colectate în temeiul anexei nr.2</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 xml:space="preserve"> și a oricăror alți indicatori relevanți, Banca Națională a Moldovei evaluează periodic, cel puțin o dată pe an, dacă ponderile de risc prevăzute la punctele 69-70</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 xml:space="preserve"> și 71 - 72</w:t>
            </w:r>
            <w:r w:rsidRPr="006F5136">
              <w:rPr>
                <w:rFonts w:ascii="Times New Roman" w:eastAsia="Times New Roman" w:hAnsi="Times New Roman" w:cs="Times New Roman"/>
                <w:sz w:val="18"/>
                <w:szCs w:val="18"/>
                <w:vertAlign w:val="superscript"/>
                <w:lang w:val="ro-RO" w:eastAsia="ro-MD"/>
              </w:rPr>
              <w:t>2</w:t>
            </w:r>
            <w:r w:rsidRPr="006F5136">
              <w:rPr>
                <w:rFonts w:ascii="Times New Roman" w:eastAsia="Times New Roman" w:hAnsi="Times New Roman" w:cs="Times New Roman"/>
                <w:sz w:val="18"/>
                <w:szCs w:val="18"/>
                <w:lang w:val="ro-RO" w:eastAsia="ro-MD"/>
              </w:rPr>
              <w:t xml:space="preserve"> pentru expunerile garantate cu bunuri imobile situate pe teritoriul Republicii Moldova sunt adecvate pe baza:</w:t>
            </w:r>
          </w:p>
          <w:p w14:paraId="40B3FAD7" w14:textId="77777777" w:rsidR="006B3BC1" w:rsidRPr="006F5136" w:rsidRDefault="006B3BC1" w:rsidP="006B3BC1">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istoricului pierderilor rezultate din expunerile garantate cu bunuri imobile;</w:t>
            </w:r>
          </w:p>
          <w:p w14:paraId="05D1E9E9" w14:textId="77777777" w:rsidR="006B3BC1" w:rsidRPr="006F5136" w:rsidRDefault="006B3BC1" w:rsidP="006B3BC1">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perspectivelor de evoluție a pieței de bunuri imobile.</w:t>
            </w:r>
          </w:p>
          <w:p w14:paraId="60AF269F" w14:textId="61073076"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3A699C1F" w14:textId="17F6EC55"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00971C7E" w14:textId="76D543BB"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34758D5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F1EF8A2" w14:textId="1C287289" w:rsidR="006B3BC1" w:rsidRPr="006F5136" w:rsidRDefault="006B3BC1" w:rsidP="006B3BC1">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În cazul în care, pe baza evaluării menționate la primul paragraf, autoritatea desemnată în conformitate cu alineatul (8) de la prezentul articol concluzionează că ponderile de risc prevăzute la articolul 125 sau 126 nu reflectă în mod adecvat riscurile reale, legate de unul sau mai multe segmente imobiliare, aferente expunerilor garantate cu ipoteci pe bunuri imobile locative sau pe bunuri imobile comerciale situate în una sau mai multe părți ale teritoriului statului membru al autorității respective, precum și în cazul în care consideră că un caracter inadecvat al ponderilor de risc ar putea avea efecte negative asupra stabilității financiare actuale sau viitoare în statul său membru, aceasta poate majora ponderile de risc aplicabile expunerilor respective în intervalele prevăzute la al patrulea paragraf de la prezentul alineat sau poate impune criterii mai stricte decât cele prevăzute la alineatul (3) de la prezentul articol.</w:t>
            </w:r>
          </w:p>
        </w:tc>
        <w:tc>
          <w:tcPr>
            <w:tcW w:w="1661" w:type="pct"/>
            <w:shd w:val="clear" w:color="auto" w:fill="auto"/>
          </w:tcPr>
          <w:p w14:paraId="769FDE7B" w14:textId="77777777" w:rsidR="006B3BC1" w:rsidRPr="006F5136" w:rsidRDefault="006B3BC1" w:rsidP="006B3BC1">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68</w:t>
            </w:r>
            <w:r w:rsidRPr="006F5136">
              <w:rPr>
                <w:rFonts w:ascii="Times New Roman" w:eastAsia="Times New Roman" w:hAnsi="Times New Roman" w:cs="Times New Roman"/>
                <w:b/>
                <w:bCs/>
                <w:sz w:val="18"/>
                <w:szCs w:val="18"/>
                <w:vertAlign w:val="superscript"/>
                <w:lang w:val="ro-RO" w:eastAsia="ro-MD"/>
              </w:rPr>
              <w:t>5</w:t>
            </w:r>
            <w:r w:rsidRPr="006F5136">
              <w:rPr>
                <w:rFonts w:ascii="Times New Roman" w:eastAsia="Times New Roman" w:hAnsi="Times New Roman" w:cs="Times New Roman"/>
                <w:sz w:val="18"/>
                <w:szCs w:val="18"/>
                <w:lang w:val="ro-RO" w:eastAsia="ro-MD"/>
              </w:rPr>
              <w:t xml:space="preserve">. În cazul în care, pe baza evaluării menționate punctul </w:t>
            </w:r>
            <w:r w:rsidRPr="006F5136">
              <w:rPr>
                <w:rFonts w:ascii="Times New Roman" w:eastAsia="Times New Roman" w:hAnsi="Times New Roman" w:cs="Times New Roman"/>
                <w:b/>
                <w:bCs/>
                <w:sz w:val="18"/>
                <w:szCs w:val="18"/>
                <w:lang w:val="ro-RO" w:eastAsia="ro-MD"/>
              </w:rPr>
              <w:t>68</w:t>
            </w:r>
            <w:r w:rsidRPr="006F5136">
              <w:rPr>
                <w:rFonts w:ascii="Times New Roman" w:eastAsia="Times New Roman" w:hAnsi="Times New Roman" w:cs="Times New Roman"/>
                <w:b/>
                <w:bCs/>
                <w:sz w:val="18"/>
                <w:szCs w:val="18"/>
                <w:vertAlign w:val="superscript"/>
                <w:lang w:val="ro-RO" w:eastAsia="ro-MD"/>
              </w:rPr>
              <w:t>4</w:t>
            </w:r>
            <w:r w:rsidRPr="006F5136">
              <w:rPr>
                <w:rFonts w:ascii="Times New Roman" w:eastAsia="Times New Roman" w:hAnsi="Times New Roman" w:cs="Times New Roman"/>
                <w:sz w:val="18"/>
                <w:szCs w:val="18"/>
                <w:lang w:val="ro-RO" w:eastAsia="ro-MD"/>
              </w:rPr>
              <w:t>, Banca Națională a Moldovei concluzionează că ponderile de risc prevăzute la punctele 69-70</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 xml:space="preserve"> sau 71 - 72</w:t>
            </w:r>
            <w:r w:rsidRPr="006F5136">
              <w:rPr>
                <w:rFonts w:ascii="Times New Roman" w:eastAsia="Times New Roman" w:hAnsi="Times New Roman" w:cs="Times New Roman"/>
                <w:sz w:val="18"/>
                <w:szCs w:val="18"/>
                <w:vertAlign w:val="superscript"/>
                <w:lang w:val="ro-RO" w:eastAsia="ro-MD"/>
              </w:rPr>
              <w:t>2</w:t>
            </w:r>
            <w:r w:rsidRPr="006F5136">
              <w:rPr>
                <w:rFonts w:ascii="Times New Roman" w:eastAsia="Times New Roman" w:hAnsi="Times New Roman" w:cs="Times New Roman"/>
                <w:sz w:val="18"/>
                <w:szCs w:val="18"/>
                <w:lang w:val="ro-RO" w:eastAsia="ro-MD"/>
              </w:rPr>
              <w:t xml:space="preserve"> nu reflectă în mod adecvat riscurile reale, legate de unul sau mai multe segmente imobiliare, aferente expunerilor garantate cu ipoteci pe bunuri imobile locative sau pe bunuri imobile comerciale situate în una sau mai multe părți ale teritoriului Republicii Moldova, precum și în cazul în care consideră că un caracter inadecvat al ponderilor de risc ar putea avea efecte negative asupra stabilității financiare actuale sau viitoare, Banca Națională a Moldovei poate majora ponderile de risc aplicabile expunerilor respective în intervalele prevăzute la punctul 68</w:t>
            </w:r>
            <w:r w:rsidRPr="006F5136">
              <w:rPr>
                <w:rFonts w:ascii="Times New Roman" w:eastAsia="Times New Roman" w:hAnsi="Times New Roman" w:cs="Times New Roman"/>
                <w:sz w:val="18"/>
                <w:szCs w:val="18"/>
                <w:vertAlign w:val="superscript"/>
                <w:lang w:val="ro-RO" w:eastAsia="ro-MD"/>
              </w:rPr>
              <w:t>5</w:t>
            </w:r>
            <w:r w:rsidRPr="006F5136">
              <w:rPr>
                <w:rFonts w:ascii="Times New Roman" w:eastAsia="Times New Roman" w:hAnsi="Times New Roman" w:cs="Times New Roman"/>
                <w:sz w:val="18"/>
                <w:szCs w:val="18"/>
                <w:lang w:val="ro-RO" w:eastAsia="ro-MD"/>
              </w:rPr>
              <w:t xml:space="preserve"> sau poate impune criterii mai stricte decât cele prevăzute la punctul 67.</w:t>
            </w:r>
          </w:p>
          <w:p w14:paraId="4235559D" w14:textId="6E2710D6"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13223E0E" w14:textId="5FA36E5B"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23B366A5" w14:textId="1BCD7C44"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A263BF" w:rsidRPr="006F5136" w14:paraId="4511B44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9F441DA" w14:textId="7E415139" w:rsidR="00A263BF" w:rsidRPr="006F5136" w:rsidRDefault="0020358C" w:rsidP="005E4694">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Autoritatea desemnată în conformitate cu alineatul (8) de la prezentul articol notifică ABE și CERS orice ajustare adusă ponderilor de risc și criteriilor aplicată în temeiul prezentului alineat. În termen de o lună de la primirea notificării respective, ABE și CERS prezintă avizul lor statului membru în cauză și pot indica în avizul respectiv, acolo unde este necesar, dacă consideră că ajustările ponderilor de risc și criteriilor sunt recomandate și altor state membre. ABE și CERS publică ponderile de risc și criteriile pentru expunerile menționate la articolele 125 și 126 și la articolul 199 alineatul (1) litera (a), astfel cum sunt puse în aplicare de autoritatea relevantă.</w:t>
            </w:r>
          </w:p>
        </w:tc>
        <w:tc>
          <w:tcPr>
            <w:tcW w:w="1661" w:type="pct"/>
            <w:shd w:val="clear" w:color="auto" w:fill="auto"/>
          </w:tcPr>
          <w:p w14:paraId="0A8F2A5B" w14:textId="77777777" w:rsidR="00A263BF" w:rsidRPr="006F5136" w:rsidRDefault="00A263BF" w:rsidP="005E4694">
            <w:pPr>
              <w:spacing w:after="0" w:line="240" w:lineRule="auto"/>
              <w:rPr>
                <w:rFonts w:ascii="Times New Roman" w:hAnsi="Times New Roman" w:cs="Times New Roman"/>
                <w:sz w:val="18"/>
                <w:szCs w:val="18"/>
                <w:lang w:val="ro-RO"/>
              </w:rPr>
            </w:pPr>
          </w:p>
        </w:tc>
        <w:tc>
          <w:tcPr>
            <w:tcW w:w="503" w:type="pct"/>
          </w:tcPr>
          <w:p w14:paraId="31589696" w14:textId="4053DEE6" w:rsidR="00A263BF" w:rsidRPr="006F5136" w:rsidRDefault="00DB7340"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 xml:space="preserve">Prevederi UE </w:t>
            </w:r>
            <w:r w:rsidR="006B3BC1">
              <w:rPr>
                <w:rFonts w:ascii="Times New Roman" w:hAnsi="Times New Roman" w:cs="Times New Roman"/>
                <w:sz w:val="18"/>
                <w:szCs w:val="18"/>
                <w:lang w:val="ro-RO"/>
              </w:rPr>
              <w:t>n</w:t>
            </w:r>
            <w:r w:rsidRPr="006F5136">
              <w:rPr>
                <w:rFonts w:ascii="Times New Roman" w:hAnsi="Times New Roman" w:cs="Times New Roman"/>
                <w:sz w:val="18"/>
                <w:szCs w:val="18"/>
                <w:lang w:val="ro-RO"/>
              </w:rPr>
              <w:t>eaplicabile</w:t>
            </w:r>
          </w:p>
        </w:tc>
        <w:tc>
          <w:tcPr>
            <w:tcW w:w="912" w:type="pct"/>
          </w:tcPr>
          <w:p w14:paraId="2E95D4CE" w14:textId="77777777" w:rsidR="00A263BF" w:rsidRPr="006F5136" w:rsidRDefault="00A263BF" w:rsidP="005E4694">
            <w:pPr>
              <w:spacing w:after="0" w:line="240" w:lineRule="auto"/>
              <w:rPr>
                <w:rFonts w:ascii="Times New Roman" w:hAnsi="Times New Roman" w:cs="Times New Roman"/>
                <w:sz w:val="18"/>
                <w:szCs w:val="18"/>
                <w:lang w:val="ro-RO"/>
              </w:rPr>
            </w:pPr>
          </w:p>
        </w:tc>
      </w:tr>
      <w:tr w:rsidR="006B3BC1" w:rsidRPr="006F5136" w14:paraId="28339E8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7"/>
        </w:trPr>
        <w:tc>
          <w:tcPr>
            <w:tcW w:w="1924" w:type="pct"/>
          </w:tcPr>
          <w:p w14:paraId="7FC5032B" w14:textId="72DAC1F4" w:rsidR="006B3BC1" w:rsidRPr="006F5136" w:rsidRDefault="006B3BC1" w:rsidP="006B3BC1">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În sensul celui de al doilea paragraf de la prezentul alineat, autoritatea desemnată în conformitate cu alineatul (8) de la prezentul articol poate majora ponderile de risc prevăzute la articolul 125 alineatul (1) primul paragraf, articolul 125 alineatul (2) primul paragraf, articolul 126 alineatul (1) primul paragraf sau articolul 126 alineatul (2) primul paragraf sau poate impune criterii mai stricte decât cele prevăzute la alineatul (3) de la prezentul articol pentru expunerile la unul sau mai multe segmente imobiliare garantate cu ipoteci pe bunuri imobile situate în una sau mai multe părți ale teritoriului statului membru în care este situată autoritatea respectivă. Autoritatea respectivă nu majorează respectivele ponderi de risc la mai mult de 150 %.</w:t>
            </w:r>
          </w:p>
        </w:tc>
        <w:tc>
          <w:tcPr>
            <w:tcW w:w="1661" w:type="pct"/>
            <w:shd w:val="clear" w:color="auto" w:fill="auto"/>
          </w:tcPr>
          <w:p w14:paraId="1F1F7D0F" w14:textId="77777777" w:rsidR="006B3BC1" w:rsidRPr="006F5136" w:rsidRDefault="006B3BC1" w:rsidP="006B3BC1">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68</w:t>
            </w:r>
            <w:r w:rsidRPr="006F5136">
              <w:rPr>
                <w:rFonts w:ascii="Times New Roman" w:eastAsia="Times New Roman" w:hAnsi="Times New Roman" w:cs="Times New Roman"/>
                <w:b/>
                <w:bCs/>
                <w:sz w:val="18"/>
                <w:szCs w:val="18"/>
                <w:vertAlign w:val="superscript"/>
                <w:lang w:val="ro-RO" w:eastAsia="ro-MD"/>
              </w:rPr>
              <w:t>6</w:t>
            </w:r>
            <w:r w:rsidRPr="006F5136">
              <w:rPr>
                <w:rFonts w:ascii="Times New Roman" w:eastAsia="Times New Roman" w:hAnsi="Times New Roman" w:cs="Times New Roman"/>
                <w:sz w:val="18"/>
                <w:szCs w:val="18"/>
                <w:lang w:val="ro-RO" w:eastAsia="ro-MD"/>
              </w:rPr>
              <w:t>. În sensul punctului 68</w:t>
            </w:r>
            <w:r w:rsidRPr="006F5136">
              <w:rPr>
                <w:rFonts w:ascii="Times New Roman" w:eastAsia="Times New Roman" w:hAnsi="Times New Roman" w:cs="Times New Roman"/>
                <w:sz w:val="18"/>
                <w:szCs w:val="18"/>
                <w:vertAlign w:val="superscript"/>
                <w:lang w:val="ro-RO" w:eastAsia="ro-MD"/>
              </w:rPr>
              <w:t>5</w:t>
            </w:r>
            <w:r w:rsidRPr="006F5136">
              <w:rPr>
                <w:rFonts w:ascii="Times New Roman" w:eastAsia="Times New Roman" w:hAnsi="Times New Roman" w:cs="Times New Roman"/>
                <w:sz w:val="18"/>
                <w:szCs w:val="18"/>
                <w:lang w:val="ro-RO" w:eastAsia="ro-MD"/>
              </w:rPr>
              <w:t>, Banca Națională a Moldovei poate majora ponderile de risc prevăzute la punctele 69, 70, 71 sau 72 sau poate impune criterii mai stricte decât cele prevăzute la punctul 67 pentru expunerile la unul sau mai multe segmente imobiliare garantate cu ipoteci pe bunuri imobile situate în una sau mai multe părți ale teritoriului Republicii Moldova. Ponderile de risc respective nu pot fi majorate mai mult de 150 %.</w:t>
            </w:r>
          </w:p>
          <w:p w14:paraId="44178E4B" w14:textId="160D7960"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56BAAEE2" w14:textId="5332E73D"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52D3F38F" w14:textId="62DDF403"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90700" w:rsidRPr="006F5136" w14:paraId="54EB2FED"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688F992" w14:textId="5BD9B11D" w:rsidR="00290700" w:rsidRPr="006F5136" w:rsidRDefault="00290700" w:rsidP="00290700">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În sensul celui de al doilea paragraf de la prezentul alineat, autoritatea desemnată în conformitate cu alineatul (8) de la prezentul articol poate, de asemenea, să reducă procentele din valoarea bunului imobil menționate la articolul 125 alineatul (1) sau la articolul 126 alineatul (1) sau procentele expunere/valoare care definesc banda expunere/valoare a ponderilor de risc prevăzute la articolul 125 alineatul (2) tabelul 1 sau la articolul 126 alineatul (2) tabelul 1. Autoritatea relevantă asigură coerența între toate benzile expunere/valoare ale ponderilor de risc, astfel încât ponderea de risc a unei benzi expunere/valoare cu pondere de risc inferioară să fie întotdeauna mai mică sau egală cu ponderea de risc aferentă unei benzi expunere/valoare cu pondere de risc superioară.</w:t>
            </w:r>
          </w:p>
        </w:tc>
        <w:tc>
          <w:tcPr>
            <w:tcW w:w="1661" w:type="pct"/>
            <w:shd w:val="clear" w:color="auto" w:fill="auto"/>
          </w:tcPr>
          <w:p w14:paraId="2909416D" w14:textId="77777777" w:rsidR="00290700" w:rsidRPr="006F5136" w:rsidRDefault="00290700" w:rsidP="00290700">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68</w:t>
            </w:r>
            <w:r w:rsidRPr="006F5136">
              <w:rPr>
                <w:rFonts w:ascii="Times New Roman" w:eastAsia="Times New Roman" w:hAnsi="Times New Roman" w:cs="Times New Roman"/>
                <w:b/>
                <w:bCs/>
                <w:sz w:val="18"/>
                <w:szCs w:val="18"/>
                <w:vertAlign w:val="superscript"/>
                <w:lang w:val="ro-RO" w:eastAsia="ro-MD"/>
              </w:rPr>
              <w:t>7</w:t>
            </w:r>
            <w:r w:rsidRPr="006F5136">
              <w:rPr>
                <w:rFonts w:ascii="Times New Roman" w:eastAsia="Times New Roman" w:hAnsi="Times New Roman" w:cs="Times New Roman"/>
                <w:sz w:val="18"/>
                <w:szCs w:val="18"/>
                <w:lang w:val="ro-RO" w:eastAsia="ro-MD"/>
              </w:rPr>
              <w:t>. În sensul punctului 68</w:t>
            </w:r>
            <w:r w:rsidRPr="006F5136">
              <w:rPr>
                <w:rFonts w:ascii="Times New Roman" w:eastAsia="Times New Roman" w:hAnsi="Times New Roman" w:cs="Times New Roman"/>
                <w:sz w:val="18"/>
                <w:szCs w:val="18"/>
                <w:vertAlign w:val="superscript"/>
                <w:lang w:val="ro-RO" w:eastAsia="ro-MD"/>
              </w:rPr>
              <w:t>5</w:t>
            </w:r>
            <w:r w:rsidRPr="006F5136">
              <w:rPr>
                <w:rFonts w:ascii="Times New Roman" w:eastAsia="Times New Roman" w:hAnsi="Times New Roman" w:cs="Times New Roman"/>
                <w:sz w:val="18"/>
                <w:szCs w:val="18"/>
                <w:lang w:val="ro-RO" w:eastAsia="ro-MD"/>
              </w:rPr>
              <w:t>, Banca Națională a Moldovei poate, de asemenea, să reducă procentele din valoarea bunului imobil menționate la punctele 69-69</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 xml:space="preserve"> sau 71-71</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 xml:space="preserve"> sau procentele ETV care definesc banda expunere/valoare (ETV) a ponderilor de risc prevăzute în tabelul nr.6</w:t>
            </w:r>
            <w:r w:rsidRPr="006F5136">
              <w:rPr>
                <w:rFonts w:ascii="Times New Roman" w:eastAsia="Times New Roman" w:hAnsi="Times New Roman" w:cs="Times New Roman"/>
                <w:sz w:val="18"/>
                <w:szCs w:val="18"/>
                <w:vertAlign w:val="superscript"/>
                <w:lang w:val="ro-RO" w:eastAsia="ro-MD"/>
              </w:rPr>
              <w:t xml:space="preserve">2 </w:t>
            </w:r>
            <w:r w:rsidRPr="006F5136">
              <w:rPr>
                <w:rFonts w:ascii="Times New Roman" w:eastAsia="Times New Roman" w:hAnsi="Times New Roman" w:cs="Times New Roman"/>
                <w:sz w:val="18"/>
                <w:szCs w:val="18"/>
                <w:lang w:val="ro-RO" w:eastAsia="ro-MD"/>
              </w:rPr>
              <w:t>de la punctul 70</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 xml:space="preserve"> sau în tabelul nr.6</w:t>
            </w:r>
            <w:r w:rsidRPr="006F5136">
              <w:rPr>
                <w:rFonts w:ascii="Times New Roman" w:eastAsia="Times New Roman" w:hAnsi="Times New Roman" w:cs="Times New Roman"/>
                <w:sz w:val="18"/>
                <w:szCs w:val="18"/>
                <w:vertAlign w:val="superscript"/>
                <w:lang w:val="ro-RO" w:eastAsia="ro-MD"/>
              </w:rPr>
              <w:t xml:space="preserve">3 </w:t>
            </w:r>
            <w:r w:rsidRPr="006F5136">
              <w:rPr>
                <w:rFonts w:ascii="Times New Roman" w:eastAsia="Times New Roman" w:hAnsi="Times New Roman" w:cs="Times New Roman"/>
                <w:sz w:val="18"/>
                <w:szCs w:val="18"/>
                <w:lang w:val="ro-RO" w:eastAsia="ro-MD"/>
              </w:rPr>
              <w:t>de la punctul 72</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 Banca Națională a Moldovei asigură coerența între toate benzile ETV ale ponderilor de risc, astfel încât ponderea de risc a unei benzi ETV cu pondere de risc inferioară să fie întotdeauna mai mică sau egală cu ponderea de risc aferentă unei benzi ETV cu pondere de risc superioară.</w:t>
            </w:r>
          </w:p>
          <w:p w14:paraId="7FDB5A6F" w14:textId="631FB8F4" w:rsidR="00290700" w:rsidRPr="006F5136" w:rsidRDefault="00290700" w:rsidP="00290700">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1D295308" w14:textId="3DC22EA8" w:rsidR="00290700" w:rsidRPr="006F5136" w:rsidRDefault="00290700" w:rsidP="00290700">
            <w:pPr>
              <w:spacing w:after="0" w:line="240" w:lineRule="auto"/>
              <w:rPr>
                <w:rFonts w:ascii="Times New Roman" w:hAnsi="Times New Roman" w:cs="Times New Roman"/>
                <w:sz w:val="18"/>
                <w:szCs w:val="18"/>
                <w:lang w:val="ro-RO"/>
              </w:rPr>
            </w:pPr>
            <w:r>
              <w:rPr>
                <w:rFonts w:ascii="Times New Roman" w:hAnsi="Times New Roman" w:cs="Times New Roman"/>
                <w:sz w:val="18"/>
                <w:szCs w:val="18"/>
                <w:lang w:val="ro-RO"/>
              </w:rPr>
              <w:t>Compatibil</w:t>
            </w:r>
          </w:p>
        </w:tc>
        <w:tc>
          <w:tcPr>
            <w:tcW w:w="912" w:type="pct"/>
          </w:tcPr>
          <w:p w14:paraId="55631360" w14:textId="772A4A3D" w:rsidR="00290700" w:rsidRPr="006F5136" w:rsidRDefault="00290700" w:rsidP="00290700">
            <w:pPr>
              <w:spacing w:after="0" w:line="240" w:lineRule="auto"/>
              <w:rPr>
                <w:rFonts w:ascii="Times New Roman" w:hAnsi="Times New Roman" w:cs="Times New Roman"/>
                <w:sz w:val="18"/>
                <w:szCs w:val="18"/>
                <w:lang w:val="ro-RO"/>
              </w:rPr>
            </w:pPr>
            <w:r w:rsidRPr="00E46172">
              <w:rPr>
                <w:rFonts w:ascii="Times New Roman" w:hAnsi="Times New Roman" w:cs="Times New Roman"/>
                <w:sz w:val="18"/>
                <w:szCs w:val="18"/>
                <w:lang w:val="ro-RO"/>
              </w:rPr>
              <w:t>Regulamentul nr.111/2018</w:t>
            </w:r>
          </w:p>
        </w:tc>
      </w:tr>
      <w:tr w:rsidR="00290700" w:rsidRPr="006F5136" w14:paraId="20647AF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6EE7870" w14:textId="2802572E" w:rsidR="00290700" w:rsidRPr="006F5136" w:rsidRDefault="00290700" w:rsidP="00290700">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(10)   În cazul în care autoritatea desemnată în conformitate cu alineatul (8) stabilește ponderi de risc mai ridicate sau criterii mai stricte în temeiul alineatului (9), instituțiile dispun de o perioadă de tranziție de șase luni pentru a le aplica.</w:t>
            </w:r>
          </w:p>
        </w:tc>
        <w:tc>
          <w:tcPr>
            <w:tcW w:w="1661" w:type="pct"/>
            <w:shd w:val="clear" w:color="auto" w:fill="auto"/>
          </w:tcPr>
          <w:p w14:paraId="3897DF9F" w14:textId="77777777" w:rsidR="00290700" w:rsidRPr="006F5136" w:rsidRDefault="00290700" w:rsidP="00290700">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68</w:t>
            </w:r>
            <w:r w:rsidRPr="006F5136">
              <w:rPr>
                <w:rFonts w:ascii="Times New Roman" w:eastAsia="Times New Roman" w:hAnsi="Times New Roman" w:cs="Times New Roman"/>
                <w:b/>
                <w:bCs/>
                <w:sz w:val="18"/>
                <w:szCs w:val="18"/>
                <w:vertAlign w:val="superscript"/>
                <w:lang w:val="ro-RO" w:eastAsia="ro-MD"/>
              </w:rPr>
              <w:t>8</w:t>
            </w:r>
            <w:r w:rsidRPr="006F5136">
              <w:rPr>
                <w:rFonts w:ascii="Times New Roman" w:eastAsia="Times New Roman" w:hAnsi="Times New Roman" w:cs="Times New Roman"/>
                <w:sz w:val="18"/>
                <w:szCs w:val="18"/>
                <w:lang w:val="ro-RO" w:eastAsia="ro-MD"/>
              </w:rPr>
              <w:t>. În cazul în care sunt stabilite ponderi de risc mai ridicate sau criterii mai stricte, conform punctelor 68</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-68</w:t>
            </w:r>
            <w:r w:rsidRPr="006F5136">
              <w:rPr>
                <w:rFonts w:ascii="Times New Roman" w:eastAsia="Times New Roman" w:hAnsi="Times New Roman" w:cs="Times New Roman"/>
                <w:sz w:val="18"/>
                <w:szCs w:val="18"/>
                <w:vertAlign w:val="superscript"/>
                <w:lang w:val="ro-RO" w:eastAsia="ro-MD"/>
              </w:rPr>
              <w:t>7</w:t>
            </w:r>
            <w:r w:rsidRPr="006F5136">
              <w:rPr>
                <w:rFonts w:ascii="Times New Roman" w:eastAsia="Times New Roman" w:hAnsi="Times New Roman" w:cs="Times New Roman"/>
                <w:sz w:val="18"/>
                <w:szCs w:val="18"/>
                <w:lang w:val="ro-RO" w:eastAsia="ro-MD"/>
              </w:rPr>
              <w:t xml:space="preserve"> băncile dispun de o perioadă de tranziție de șase luni pentru a le aplica.</w:t>
            </w:r>
          </w:p>
          <w:p w14:paraId="258F1DFB" w14:textId="356AB3E6" w:rsidR="00290700" w:rsidRPr="006F5136" w:rsidRDefault="00290700" w:rsidP="00290700">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7E7DEFFC" w14:textId="583790CE" w:rsidR="00290700" w:rsidRPr="006F5136" w:rsidRDefault="00290700" w:rsidP="00290700">
            <w:pPr>
              <w:spacing w:after="0" w:line="240" w:lineRule="auto"/>
              <w:rPr>
                <w:rFonts w:ascii="Times New Roman" w:hAnsi="Times New Roman" w:cs="Times New Roman"/>
                <w:sz w:val="18"/>
                <w:szCs w:val="18"/>
                <w:lang w:val="ro-RO"/>
              </w:rPr>
            </w:pPr>
            <w:r>
              <w:rPr>
                <w:rFonts w:ascii="Times New Roman" w:hAnsi="Times New Roman" w:cs="Times New Roman"/>
                <w:sz w:val="18"/>
                <w:szCs w:val="18"/>
                <w:lang w:val="ro-RO"/>
              </w:rPr>
              <w:t>Compatibil</w:t>
            </w:r>
          </w:p>
        </w:tc>
        <w:tc>
          <w:tcPr>
            <w:tcW w:w="912" w:type="pct"/>
          </w:tcPr>
          <w:p w14:paraId="406C9387" w14:textId="2C6EED30" w:rsidR="00290700" w:rsidRPr="006F5136" w:rsidRDefault="00290700" w:rsidP="00290700">
            <w:pPr>
              <w:spacing w:after="0" w:line="240" w:lineRule="auto"/>
              <w:rPr>
                <w:rFonts w:ascii="Times New Roman" w:hAnsi="Times New Roman" w:cs="Times New Roman"/>
                <w:sz w:val="18"/>
                <w:szCs w:val="18"/>
                <w:lang w:val="ro-RO"/>
              </w:rPr>
            </w:pPr>
            <w:r w:rsidRPr="00E46172">
              <w:rPr>
                <w:rFonts w:ascii="Times New Roman" w:hAnsi="Times New Roman" w:cs="Times New Roman"/>
                <w:sz w:val="18"/>
                <w:szCs w:val="18"/>
                <w:lang w:val="ro-RO"/>
              </w:rPr>
              <w:t>Regulamentul nr.111/2018</w:t>
            </w:r>
          </w:p>
        </w:tc>
      </w:tr>
      <w:tr w:rsidR="0020358C" w:rsidRPr="006F5136" w14:paraId="2B0D344E"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2ECEE56" w14:textId="77777777" w:rsidR="003A68AE" w:rsidRPr="006F5136" w:rsidRDefault="003A68AE" w:rsidP="005E4694">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(11)   ABE, în strânsă cooperare cu CERS, elaborează proiecte de standarde tehnice de reglementare pentru a specifica tipurile de factori care trebuie luați în considerare pentru evaluarea caracterului adecvat al ponderilor de risc menționate la alineatul (9).</w:t>
            </w:r>
          </w:p>
          <w:p w14:paraId="56800BE5" w14:textId="77777777" w:rsidR="003A68AE" w:rsidRPr="006F5136" w:rsidRDefault="003A68AE" w:rsidP="005E4694">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ABE prezintă Comisiei aceste proiecte de standarde tehnice de reglementare până la 10 ianuarie 2026.</w:t>
            </w:r>
          </w:p>
          <w:p w14:paraId="095521F2" w14:textId="77777777" w:rsidR="003A68AE" w:rsidRPr="006F5136" w:rsidRDefault="003A68AE" w:rsidP="005E4694">
            <w:pPr>
              <w:shd w:val="clear" w:color="auto" w:fill="FFFFFF"/>
              <w:spacing w:after="0" w:line="240" w:lineRule="auto"/>
              <w:rPr>
                <w:rFonts w:ascii="Times New Roman" w:hAnsi="Times New Roman" w:cs="Times New Roman"/>
                <w:iCs/>
                <w:sz w:val="18"/>
                <w:szCs w:val="18"/>
                <w:lang w:val="ro-RO" w:eastAsia="ru-RU"/>
              </w:rPr>
            </w:pPr>
          </w:p>
          <w:p w14:paraId="63F553E9" w14:textId="2203EB8D" w:rsidR="0020358C" w:rsidRPr="006F5136" w:rsidRDefault="003A68AE" w:rsidP="005E4694">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Comisia este împuternicită să completeze prezentul regulament prin adoptarea standardelor tehnice de reglementare menționate la primul paragraf din prezentul alineat în conformitate cu articolele 10-14 din Regulamentul (UE) nr. 1093/2010.</w:t>
            </w:r>
          </w:p>
        </w:tc>
        <w:tc>
          <w:tcPr>
            <w:tcW w:w="1661" w:type="pct"/>
            <w:shd w:val="clear" w:color="auto" w:fill="auto"/>
          </w:tcPr>
          <w:p w14:paraId="55A108C8" w14:textId="77777777" w:rsidR="0020358C" w:rsidRPr="006F5136" w:rsidRDefault="0020358C" w:rsidP="005E4694">
            <w:pPr>
              <w:spacing w:after="0" w:line="240" w:lineRule="auto"/>
              <w:rPr>
                <w:rFonts w:ascii="Times New Roman" w:hAnsi="Times New Roman" w:cs="Times New Roman"/>
                <w:sz w:val="18"/>
                <w:szCs w:val="18"/>
                <w:lang w:val="ro-RO"/>
              </w:rPr>
            </w:pPr>
          </w:p>
        </w:tc>
        <w:tc>
          <w:tcPr>
            <w:tcW w:w="503" w:type="pct"/>
          </w:tcPr>
          <w:p w14:paraId="1DDAB328" w14:textId="374AF24C" w:rsidR="0020358C" w:rsidRPr="006F5136" w:rsidRDefault="00171CE5"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P</w:t>
            </w:r>
            <w:r w:rsidR="00DB7340" w:rsidRPr="006F5136">
              <w:rPr>
                <w:rFonts w:ascii="Times New Roman" w:hAnsi="Times New Roman" w:cs="Times New Roman"/>
                <w:sz w:val="18"/>
                <w:szCs w:val="18"/>
                <w:lang w:val="ro-RO"/>
              </w:rPr>
              <w:t>rev</w:t>
            </w:r>
            <w:r w:rsidRPr="006F5136">
              <w:rPr>
                <w:rFonts w:ascii="Times New Roman" w:hAnsi="Times New Roman" w:cs="Times New Roman"/>
                <w:sz w:val="18"/>
                <w:szCs w:val="18"/>
                <w:lang w:val="ro-RO"/>
              </w:rPr>
              <w:t>ederi UE Neaplicabile</w:t>
            </w:r>
          </w:p>
        </w:tc>
        <w:tc>
          <w:tcPr>
            <w:tcW w:w="912" w:type="pct"/>
          </w:tcPr>
          <w:p w14:paraId="6A17B87B" w14:textId="77777777" w:rsidR="0020358C" w:rsidRPr="006F5136" w:rsidRDefault="0020358C" w:rsidP="005E4694">
            <w:pPr>
              <w:spacing w:after="0" w:line="240" w:lineRule="auto"/>
              <w:rPr>
                <w:rFonts w:ascii="Times New Roman" w:hAnsi="Times New Roman" w:cs="Times New Roman"/>
                <w:sz w:val="18"/>
                <w:szCs w:val="18"/>
                <w:lang w:val="ro-RO"/>
              </w:rPr>
            </w:pPr>
          </w:p>
        </w:tc>
      </w:tr>
      <w:tr w:rsidR="003A68AE" w:rsidRPr="006F5136" w14:paraId="3BF04F3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6B3B357" w14:textId="77777777" w:rsidR="003A68AE" w:rsidRPr="006F5136" w:rsidRDefault="003A68AE" w:rsidP="005E4694">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(12)   CERS poate formula, prin intermediul unor recomandări în conformitate cu articolul 16 din Regulamentul (UE) nr. 1092/2010 și în strânsă cooperare cu ABE, orientări pentru autoritățile desemnate în conformitate cu alineatul (8) de la prezentul articol cu privire la ambele elemente următoare:</w:t>
            </w:r>
          </w:p>
          <w:p w14:paraId="2786FCCD" w14:textId="66C69828" w:rsidR="003A68AE" w:rsidRPr="006F5136" w:rsidRDefault="003A68AE" w:rsidP="005E4694">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(a) factorii care ar putea „avea efecte negative asupra stabilității financiare actuale sau viitoare”, menționați la alineatul (9) al doilea paragraf;</w:t>
            </w:r>
          </w:p>
          <w:p w14:paraId="009D1600" w14:textId="77777777" w:rsidR="003A68AE" w:rsidRPr="006F5136" w:rsidRDefault="003A68AE" w:rsidP="005E4694">
            <w:pPr>
              <w:shd w:val="clear" w:color="auto" w:fill="FFFFFF"/>
              <w:spacing w:after="0" w:line="240" w:lineRule="auto"/>
              <w:rPr>
                <w:rFonts w:ascii="Times New Roman" w:hAnsi="Times New Roman" w:cs="Times New Roman"/>
                <w:iCs/>
                <w:sz w:val="18"/>
                <w:szCs w:val="18"/>
                <w:lang w:val="ro-RO" w:eastAsia="ru-RU"/>
              </w:rPr>
            </w:pPr>
          </w:p>
          <w:p w14:paraId="63598E5D" w14:textId="6BC81833" w:rsidR="003A68AE" w:rsidRPr="006F5136" w:rsidRDefault="003A68AE" w:rsidP="005E4694">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(b) valorile indicative de referință de care autoritatea desemnată în conformitate cu alineatul (8) urmează să țină seama atunci când stabilește ponderi de risc mai ridicate.</w:t>
            </w:r>
          </w:p>
        </w:tc>
        <w:tc>
          <w:tcPr>
            <w:tcW w:w="1661" w:type="pct"/>
            <w:shd w:val="clear" w:color="auto" w:fill="auto"/>
          </w:tcPr>
          <w:p w14:paraId="7DB76790" w14:textId="77777777" w:rsidR="003A68AE" w:rsidRPr="006F5136" w:rsidRDefault="003A68AE" w:rsidP="005E4694">
            <w:pPr>
              <w:spacing w:after="0" w:line="240" w:lineRule="auto"/>
              <w:rPr>
                <w:rFonts w:ascii="Times New Roman" w:hAnsi="Times New Roman" w:cs="Times New Roman"/>
                <w:sz w:val="18"/>
                <w:szCs w:val="18"/>
                <w:lang w:val="ro-RO"/>
              </w:rPr>
            </w:pPr>
          </w:p>
        </w:tc>
        <w:tc>
          <w:tcPr>
            <w:tcW w:w="503" w:type="pct"/>
          </w:tcPr>
          <w:p w14:paraId="000D0118" w14:textId="1E9EB252" w:rsidR="003A68AE" w:rsidRPr="006F5136" w:rsidRDefault="00DB7340"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Prevederi UE Neaplicabile</w:t>
            </w:r>
          </w:p>
        </w:tc>
        <w:tc>
          <w:tcPr>
            <w:tcW w:w="912" w:type="pct"/>
          </w:tcPr>
          <w:p w14:paraId="0DEF99EA" w14:textId="77777777" w:rsidR="003A68AE" w:rsidRPr="006F5136" w:rsidRDefault="003A68AE" w:rsidP="005E4694">
            <w:pPr>
              <w:spacing w:after="0" w:line="240" w:lineRule="auto"/>
              <w:rPr>
                <w:rFonts w:ascii="Times New Roman" w:hAnsi="Times New Roman" w:cs="Times New Roman"/>
                <w:sz w:val="18"/>
                <w:szCs w:val="18"/>
                <w:lang w:val="ro-RO"/>
              </w:rPr>
            </w:pPr>
          </w:p>
        </w:tc>
      </w:tr>
      <w:tr w:rsidR="006B3BC1" w:rsidRPr="006F5136" w14:paraId="47B90007"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C4B495F" w14:textId="736CCBC6" w:rsidR="006B3BC1" w:rsidRPr="006F5136" w:rsidRDefault="006B3BC1" w:rsidP="006B3BC1">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(13)   Instituțiile stabilite într-un stat membru aplică ponderile de risc și criteriile stabilite de autoritățile dintr-un alt stat membru în conformitate cu alineatul (9) pentru expunerile lor corespunzătoare garantate cu ipoteci asupra bunurilor imobile locative sau asupra bunurilor imobile comerciale situate în una sau mai multe părți ale teritoriului statului membru respectiv.</w:t>
            </w:r>
          </w:p>
        </w:tc>
        <w:tc>
          <w:tcPr>
            <w:tcW w:w="1661" w:type="pct"/>
            <w:shd w:val="clear" w:color="auto" w:fill="auto"/>
          </w:tcPr>
          <w:p w14:paraId="475BCD60" w14:textId="77777777" w:rsidR="006B3BC1" w:rsidRPr="006F5136" w:rsidRDefault="006B3BC1" w:rsidP="006B3BC1">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68</w:t>
            </w:r>
            <w:r w:rsidRPr="006F5136">
              <w:rPr>
                <w:rFonts w:ascii="Times New Roman" w:eastAsia="Times New Roman" w:hAnsi="Times New Roman" w:cs="Times New Roman"/>
                <w:b/>
                <w:bCs/>
                <w:sz w:val="18"/>
                <w:szCs w:val="18"/>
                <w:vertAlign w:val="superscript"/>
                <w:lang w:val="ro-RO" w:eastAsia="ro-MD"/>
              </w:rPr>
              <w:t>9</w:t>
            </w:r>
            <w:r w:rsidRPr="006F5136">
              <w:rPr>
                <w:rFonts w:ascii="Times New Roman" w:eastAsia="Times New Roman" w:hAnsi="Times New Roman" w:cs="Times New Roman"/>
                <w:sz w:val="18"/>
                <w:szCs w:val="18"/>
                <w:lang w:val="ro-RO" w:eastAsia="ro-MD"/>
              </w:rPr>
              <w:t>. Băncile aplică ponderile de risc și criteriile stabilite de autoritățile dintr-un stat membru al Uniunii Europene pentru expunerile lor corespunzătoare garantate cu ipoteci asupra bunurilor imobile locative sau asupra bunurilor imobile comerciale situate în una sau mai multe părți ale teritoriului statului membru al Uniunii Europene respectiv.</w:t>
            </w:r>
          </w:p>
          <w:p w14:paraId="3F4A821A" w14:textId="27E2A4EF"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286DE8F4" w14:textId="348F581C" w:rsidR="006B3BC1" w:rsidRPr="006F5136" w:rsidRDefault="006B3BC1" w:rsidP="006B3BC1">
            <w:pPr>
              <w:spacing w:after="0" w:line="240" w:lineRule="auto"/>
              <w:rPr>
                <w:rFonts w:ascii="Times New Roman" w:hAnsi="Times New Roman" w:cs="Times New Roman"/>
                <w:sz w:val="18"/>
                <w:szCs w:val="18"/>
                <w:lang w:val="ro-RO"/>
              </w:rPr>
            </w:pPr>
            <w:r w:rsidRPr="00190CA1">
              <w:rPr>
                <w:rFonts w:ascii="Times New Roman" w:hAnsi="Times New Roman" w:cs="Times New Roman"/>
                <w:sz w:val="18"/>
                <w:szCs w:val="18"/>
                <w:lang w:val="ro-RO"/>
              </w:rPr>
              <w:t>Prevederi UE neaplicabile</w:t>
            </w:r>
          </w:p>
        </w:tc>
        <w:tc>
          <w:tcPr>
            <w:tcW w:w="912" w:type="pct"/>
          </w:tcPr>
          <w:p w14:paraId="1B8E9363" w14:textId="7A34001D" w:rsidR="006B3BC1" w:rsidRPr="006F5136" w:rsidRDefault="006B3BC1" w:rsidP="006B3BC1">
            <w:pPr>
              <w:spacing w:after="0" w:line="240" w:lineRule="auto"/>
              <w:rPr>
                <w:rFonts w:ascii="Times New Roman" w:hAnsi="Times New Roman" w:cs="Times New Roman"/>
                <w:sz w:val="18"/>
                <w:szCs w:val="18"/>
                <w:lang w:val="ro-RO"/>
              </w:rPr>
            </w:pPr>
            <w:r w:rsidRPr="00190CA1">
              <w:rPr>
                <w:rFonts w:ascii="Times New Roman" w:hAnsi="Times New Roman" w:cs="Times New Roman"/>
                <w:sz w:val="18"/>
                <w:szCs w:val="18"/>
                <w:lang w:val="ro-RO"/>
              </w:rPr>
              <w:t>Prevederi UE neaplicabile</w:t>
            </w:r>
          </w:p>
        </w:tc>
      </w:tr>
      <w:tr w:rsidR="003A68AE" w:rsidRPr="006F5136" w14:paraId="2DADE68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1"/>
        </w:trPr>
        <w:tc>
          <w:tcPr>
            <w:tcW w:w="1924" w:type="pct"/>
          </w:tcPr>
          <w:p w14:paraId="7DA8C78E" w14:textId="77777777" w:rsidR="003A68AE" w:rsidRPr="006F5136" w:rsidRDefault="003A68AE" w:rsidP="005E4694">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(14)   ABE elaborează proiecte de standarde tehnice de reglementare în vederea specificării a ce anume constituie un mecanism juridic echivalent pentru asigurarea finalizării bunului imobil aflat în construcție într-un termen rezonabil, în conformitate cu alineatul (3) litera (a) punctul (iii) subpunctul 2.</w:t>
            </w:r>
          </w:p>
          <w:p w14:paraId="4EFC8E4B" w14:textId="77777777" w:rsidR="003A68AE" w:rsidRPr="006F5136" w:rsidRDefault="003A68AE" w:rsidP="005E4694">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ABE prezintă Comisiei aceste proiecte de standarde tehnice de reglementare până la 10 iulie 2025.</w:t>
            </w:r>
          </w:p>
          <w:p w14:paraId="49EBA8E4" w14:textId="77777777" w:rsidR="003A68AE" w:rsidRPr="006F5136" w:rsidRDefault="003A68AE" w:rsidP="005E4694">
            <w:pPr>
              <w:shd w:val="clear" w:color="auto" w:fill="FFFFFF"/>
              <w:spacing w:after="0" w:line="240" w:lineRule="auto"/>
              <w:rPr>
                <w:rFonts w:ascii="Times New Roman" w:hAnsi="Times New Roman" w:cs="Times New Roman"/>
                <w:iCs/>
                <w:sz w:val="18"/>
                <w:szCs w:val="18"/>
                <w:lang w:val="ro-RO" w:eastAsia="ru-RU"/>
              </w:rPr>
            </w:pPr>
          </w:p>
          <w:p w14:paraId="43524D91" w14:textId="70BAFDE7" w:rsidR="003A68AE" w:rsidRPr="006F5136" w:rsidRDefault="003A68AE" w:rsidP="005E4694">
            <w:pPr>
              <w:shd w:val="clear" w:color="auto" w:fill="FFFFFF"/>
              <w:spacing w:after="0" w:line="240" w:lineRule="auto"/>
              <w:rPr>
                <w:rFonts w:ascii="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Comisia este împuternicită să completeze prezentul regulament prin adoptarea standardelor tehnice de reglementare menționate la primul paragraf din prezentul alineat în conformitate cu articolele 10-14 din Regulamentul (UE) nr. 1093/2010.</w:t>
            </w:r>
          </w:p>
        </w:tc>
        <w:tc>
          <w:tcPr>
            <w:tcW w:w="1661" w:type="pct"/>
            <w:shd w:val="clear" w:color="auto" w:fill="auto"/>
          </w:tcPr>
          <w:p w14:paraId="47769C0D" w14:textId="77777777" w:rsidR="003A68AE" w:rsidRPr="006F5136" w:rsidRDefault="003A68AE" w:rsidP="005E4694">
            <w:pPr>
              <w:spacing w:after="0" w:line="240" w:lineRule="auto"/>
              <w:rPr>
                <w:rFonts w:ascii="Times New Roman" w:hAnsi="Times New Roman" w:cs="Times New Roman"/>
                <w:sz w:val="18"/>
                <w:szCs w:val="18"/>
                <w:lang w:val="ro-RO"/>
              </w:rPr>
            </w:pPr>
          </w:p>
        </w:tc>
        <w:tc>
          <w:tcPr>
            <w:tcW w:w="503" w:type="pct"/>
          </w:tcPr>
          <w:p w14:paraId="2C4D798A" w14:textId="4F0AC525" w:rsidR="003A68AE" w:rsidRPr="006F5136" w:rsidRDefault="00D52388"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Prevederi UE Neaplicabile</w:t>
            </w:r>
          </w:p>
        </w:tc>
        <w:tc>
          <w:tcPr>
            <w:tcW w:w="912" w:type="pct"/>
          </w:tcPr>
          <w:p w14:paraId="333C5C4E" w14:textId="77777777" w:rsidR="003A68AE" w:rsidRPr="006F5136" w:rsidRDefault="003A68AE" w:rsidP="005E4694">
            <w:pPr>
              <w:spacing w:after="0" w:line="240" w:lineRule="auto"/>
              <w:rPr>
                <w:rFonts w:ascii="Times New Roman" w:hAnsi="Times New Roman" w:cs="Times New Roman"/>
                <w:sz w:val="18"/>
                <w:szCs w:val="18"/>
                <w:lang w:val="ro-RO"/>
              </w:rPr>
            </w:pPr>
          </w:p>
        </w:tc>
      </w:tr>
      <w:tr w:rsidR="0027576A" w:rsidRPr="006F5136" w14:paraId="65F5FF5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2DE2F06" w14:textId="42B3A6E1" w:rsidR="000B547E" w:rsidRPr="006F5136" w:rsidRDefault="000B547E" w:rsidP="005E4694">
            <w:pPr>
              <w:pStyle w:val="CM4"/>
              <w:tabs>
                <w:tab w:val="left" w:pos="150"/>
              </w:tabs>
              <w:ind w:left="-43"/>
              <w:jc w:val="both"/>
              <w:rPr>
                <w:rFonts w:ascii="Times New Roman" w:hAnsi="Times New Roman"/>
                <w:i/>
                <w:iCs/>
                <w:sz w:val="18"/>
                <w:szCs w:val="18"/>
                <w:lang w:val="ro-RO" w:eastAsia="ru-RU"/>
              </w:rPr>
            </w:pPr>
            <w:r w:rsidRPr="006F5136">
              <w:rPr>
                <w:rFonts w:ascii="Times New Roman" w:hAnsi="Times New Roman"/>
                <w:i/>
                <w:iCs/>
                <w:sz w:val="18"/>
                <w:szCs w:val="18"/>
                <w:lang w:val="ro-RO" w:eastAsia="ru-RU"/>
              </w:rPr>
              <w:t>M17</w:t>
            </w:r>
          </w:p>
          <w:p w14:paraId="60893F8A" w14:textId="7795E67B"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125</w:t>
            </w:r>
            <w:r w:rsidRPr="006F5136">
              <w:rPr>
                <w:rFonts w:ascii="Times New Roman" w:hAnsi="Times New Roman"/>
                <w:iCs/>
                <w:sz w:val="18"/>
                <w:szCs w:val="18"/>
                <w:lang w:val="ro-RO" w:eastAsia="ru-RU"/>
              </w:rPr>
              <w:t xml:space="preserve"> </w:t>
            </w:r>
            <w:r w:rsidR="000B547E" w:rsidRPr="006F5136">
              <w:rPr>
                <w:rFonts w:ascii="Times New Roman" w:hAnsi="Times New Roman"/>
                <w:b/>
                <w:iCs/>
                <w:sz w:val="18"/>
                <w:szCs w:val="18"/>
                <w:lang w:val="ro-RO" w:eastAsia="ru-RU"/>
              </w:rPr>
              <w:t>Expuneri garantate cu ipoteci asupra bunurilor imobile locative</w:t>
            </w:r>
          </w:p>
          <w:p w14:paraId="5622D915" w14:textId="77777777" w:rsidR="007B4AA2" w:rsidRPr="006F5136" w:rsidRDefault="007B4AA2"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   Pentru o expunere garantată cu un bun imobil locativ astfel cum se menționează la articolul 124 alineatul (2) litera (a) punctul (i) sau (ii), partea din expunere de până la 55 % din valoarea bunului imobil primește o pondere de risc de 20 %.</w:t>
            </w:r>
          </w:p>
          <w:p w14:paraId="11EECE67" w14:textId="77777777" w:rsidR="007B4AA2" w:rsidRPr="006F5136" w:rsidRDefault="007B4AA2"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În cazul în care o instituție deține un drept de ipotecă de rang inferior și există drepturi de ipotecă de rang superior care nu sunt deținute de instituția respectivă, pentru a determina partea din expunerea instituției care este eligibilă pentru ponderea de risc de 20 %, cuantumul de 55 % din valoarea bunului imobil se reduce cu cuantumul drepturilor de ipotecă de rang superior care nu sunt deținute de instituție.</w:t>
            </w:r>
          </w:p>
          <w:p w14:paraId="1170FBBF" w14:textId="77777777" w:rsidR="007B4AA2" w:rsidRPr="006F5136" w:rsidRDefault="007B4AA2" w:rsidP="005E4694">
            <w:pPr>
              <w:pStyle w:val="CM4"/>
              <w:tabs>
                <w:tab w:val="left" w:pos="150"/>
              </w:tabs>
              <w:ind w:left="-43"/>
              <w:jc w:val="both"/>
              <w:rPr>
                <w:rFonts w:ascii="Times New Roman" w:hAnsi="Times New Roman"/>
                <w:iCs/>
                <w:sz w:val="18"/>
                <w:szCs w:val="18"/>
                <w:lang w:val="ro-RO" w:eastAsia="ru-RU"/>
              </w:rPr>
            </w:pPr>
          </w:p>
          <w:p w14:paraId="367675F3" w14:textId="77777777" w:rsidR="007B4AA2" w:rsidRPr="006F5136" w:rsidRDefault="007B4AA2"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În cazul în care drepturile de ipotecă care nu sunt deținute de instituție sunt de rang egal cu dreptul de ipotecă deținut de instituție, pentru a determina partea din expunerea instituției care este eligibilă pentru ponderea de risc de 20 %, cuantumul de 55 % din valoarea bunului imobil, din care se scade cuantumul oricăror drepturi de ipotecă de rang superior care nu sunt deținute de instituție, se reduce cu produsul dintre:</w:t>
            </w:r>
          </w:p>
          <w:p w14:paraId="7997C184" w14:textId="77777777" w:rsidR="007B4AA2" w:rsidRPr="006F5136" w:rsidRDefault="007B4AA2" w:rsidP="005E4694">
            <w:pPr>
              <w:pStyle w:val="CM4"/>
              <w:tabs>
                <w:tab w:val="left" w:pos="150"/>
              </w:tabs>
              <w:ind w:left="-43"/>
              <w:jc w:val="both"/>
              <w:rPr>
                <w:rFonts w:ascii="Times New Roman" w:hAnsi="Times New Roman"/>
                <w:iCs/>
                <w:sz w:val="18"/>
                <w:szCs w:val="18"/>
                <w:lang w:val="ro-RO" w:eastAsia="ru-RU"/>
              </w:rPr>
            </w:pPr>
          </w:p>
          <w:p w14:paraId="54B39CD3" w14:textId="4162F2DB" w:rsidR="007B4AA2" w:rsidRPr="006F5136" w:rsidRDefault="007B4AA2"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55 % din valoarea bunului imobil, din care se scade cuantumul drepturilor de ipotecă de rang superior, dacă există, deținute atât de instituție, cât și de alte instituții; și</w:t>
            </w:r>
          </w:p>
          <w:p w14:paraId="09943B33" w14:textId="77777777" w:rsidR="007B4AA2" w:rsidRPr="006F5136" w:rsidRDefault="007B4AA2" w:rsidP="005E4694">
            <w:pPr>
              <w:pStyle w:val="CM4"/>
              <w:tabs>
                <w:tab w:val="left" w:pos="150"/>
              </w:tabs>
              <w:ind w:left="-43"/>
              <w:jc w:val="both"/>
              <w:rPr>
                <w:rFonts w:ascii="Times New Roman" w:hAnsi="Times New Roman"/>
                <w:iCs/>
                <w:sz w:val="18"/>
                <w:szCs w:val="18"/>
                <w:lang w:val="ro-RO" w:eastAsia="ru-RU"/>
              </w:rPr>
            </w:pPr>
          </w:p>
          <w:p w14:paraId="6F6F8EAC" w14:textId="223409A6" w:rsidR="007B4AA2" w:rsidRPr="006F5136" w:rsidRDefault="007B4AA2"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cuantumul drepturilor de ipotecă care nu sunt deținute de instituție și care sunt de rang egal cu dreptul de ipotecă deținut de instituție împărțit la suma tuturor drepturilor de ipotecă de rang egal.</w:t>
            </w:r>
          </w:p>
          <w:p w14:paraId="25C14F80" w14:textId="77777777" w:rsidR="007B4AA2" w:rsidRPr="006F5136" w:rsidRDefault="007B4AA2" w:rsidP="005E4694">
            <w:pPr>
              <w:pStyle w:val="CM4"/>
              <w:tabs>
                <w:tab w:val="left" w:pos="150"/>
              </w:tabs>
              <w:ind w:left="-43"/>
              <w:jc w:val="both"/>
              <w:rPr>
                <w:rFonts w:ascii="Times New Roman" w:hAnsi="Times New Roman"/>
                <w:iCs/>
                <w:sz w:val="18"/>
                <w:szCs w:val="18"/>
                <w:lang w:val="ro-RO" w:eastAsia="ru-RU"/>
              </w:rPr>
            </w:pPr>
          </w:p>
          <w:p w14:paraId="0413B473" w14:textId="77777777" w:rsidR="007B4AA2" w:rsidRPr="006F5136" w:rsidRDefault="007B4AA2"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În cazul în care, în conformitate cu articolul 124 alineatul (9), autoritatea competentă sau desemnată a stabilit o pondere de risc mai ridicată sau un procentaj mai mic din valoarea bunului imobil decât cele menționate la prezentul alineat, instituțiile utilizează ponderea de risc sau procentajul stabilite în conformitate cu articolul 124 alineatul (9).</w:t>
            </w:r>
          </w:p>
          <w:p w14:paraId="02FE562E" w14:textId="77777777" w:rsidR="007B4AA2" w:rsidRPr="006F5136" w:rsidRDefault="007B4AA2" w:rsidP="005E4694">
            <w:pPr>
              <w:pStyle w:val="CM4"/>
              <w:tabs>
                <w:tab w:val="left" w:pos="150"/>
              </w:tabs>
              <w:ind w:left="-43"/>
              <w:jc w:val="both"/>
              <w:rPr>
                <w:rFonts w:ascii="Times New Roman" w:hAnsi="Times New Roman"/>
                <w:iCs/>
                <w:sz w:val="18"/>
                <w:szCs w:val="18"/>
                <w:lang w:val="ro-RO" w:eastAsia="ru-RU"/>
              </w:rPr>
            </w:pPr>
          </w:p>
          <w:p w14:paraId="2D27731F" w14:textId="723CD13D" w:rsidR="0027576A" w:rsidRPr="006F5136" w:rsidRDefault="007B4AA2"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Partea rămasă a expunerii menționată la primul paragraf, dacă există, este ponderată la risc ca o expunere la o contraparte care nu este garantată cu bunuri imobile locative.</w:t>
            </w:r>
          </w:p>
        </w:tc>
        <w:tc>
          <w:tcPr>
            <w:tcW w:w="1661" w:type="pct"/>
            <w:shd w:val="clear" w:color="auto" w:fill="auto"/>
          </w:tcPr>
          <w:p w14:paraId="6649519A" w14:textId="605A0033"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 xml:space="preserve">Secțiunea a 12-a. </w:t>
            </w:r>
            <w:r w:rsidR="00125F18" w:rsidRPr="006F5136">
              <w:rPr>
                <w:rFonts w:ascii="Times New Roman" w:hAnsi="Times New Roman"/>
                <w:sz w:val="18"/>
                <w:szCs w:val="18"/>
                <w:lang w:val="ro-RO" w:eastAsia="ru-RU"/>
              </w:rPr>
              <w:t>Expuneri garantate cu ipoteci asupra bunurilor imobile locative</w:t>
            </w:r>
          </w:p>
          <w:p w14:paraId="25CC7EE7"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p w14:paraId="7CCB92A7" w14:textId="77777777" w:rsidR="0027576A" w:rsidRPr="006F5136" w:rsidRDefault="00A550F8" w:rsidP="005E4694">
            <w:pPr>
              <w:pStyle w:val="CM4"/>
              <w:tabs>
                <w:tab w:val="left" w:pos="150"/>
              </w:tabs>
              <w:ind w:left="-36"/>
              <w:rPr>
                <w:rFonts w:ascii="Times New Roman" w:hAnsi="Times New Roman"/>
                <w:sz w:val="18"/>
                <w:szCs w:val="18"/>
                <w:lang w:val="ro-RO" w:eastAsia="ro-MD"/>
              </w:rPr>
            </w:pPr>
            <w:r w:rsidRPr="006F5136">
              <w:rPr>
                <w:rFonts w:ascii="Times New Roman" w:hAnsi="Times New Roman"/>
                <w:b/>
                <w:bCs/>
                <w:sz w:val="18"/>
                <w:szCs w:val="18"/>
                <w:lang w:val="ro-RO" w:eastAsia="ro-MD"/>
              </w:rPr>
              <w:t>69.</w:t>
            </w:r>
            <w:r w:rsidRPr="006F5136">
              <w:rPr>
                <w:rFonts w:ascii="Times New Roman" w:hAnsi="Times New Roman"/>
                <w:sz w:val="18"/>
                <w:szCs w:val="18"/>
              </w:rPr>
              <w:t xml:space="preserve"> </w:t>
            </w:r>
            <w:r w:rsidRPr="006F5136">
              <w:rPr>
                <w:rFonts w:ascii="Times New Roman" w:hAnsi="Times New Roman"/>
                <w:sz w:val="18"/>
                <w:szCs w:val="18"/>
                <w:lang w:val="ro-RO" w:eastAsia="ro-MD"/>
              </w:rPr>
              <w:t>Pentru o expunere garantată cu un bun imobil locativ astfel cum se menționează la punctul 66 subpunctul 1) lit. a) sau b), partea din expunere de până la 55 % din valoarea de piață a bunului imobil primește o pondere de risc de 20 %.</w:t>
            </w:r>
          </w:p>
          <w:p w14:paraId="46E28C3C" w14:textId="77777777" w:rsidR="00A550F8" w:rsidRPr="006F5136" w:rsidRDefault="00A550F8"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69</w:t>
            </w:r>
            <w:r w:rsidRPr="006F5136">
              <w:rPr>
                <w:rFonts w:ascii="Times New Roman" w:eastAsia="Times New Roman" w:hAnsi="Times New Roman" w:cs="Times New Roman"/>
                <w:b/>
                <w:bCs/>
                <w:sz w:val="18"/>
                <w:szCs w:val="18"/>
                <w:vertAlign w:val="superscript"/>
                <w:lang w:val="ro-RO" w:eastAsia="ro-MD"/>
              </w:rPr>
              <w:t>1</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În cazul în care banca deține un drept de ipotecă de rang inferior și există drepturi de ipotecă de rang superior care nu sunt deținute de bancă, pentru a determina partea din expunerea băncii care este eligibilă pentru ponderea de risc de 20 %, cuantumul de 55 % din valoarea de piață a bunului imobil se reduce cu cuantumul drepturilor de ipotecă de rang superior care nu sunt deținute de bancă.</w:t>
            </w:r>
          </w:p>
          <w:p w14:paraId="1D95BD20" w14:textId="77777777" w:rsidR="00A550F8" w:rsidRPr="006F5136" w:rsidRDefault="00A550F8"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69</w:t>
            </w:r>
            <w:r w:rsidRPr="006F5136">
              <w:rPr>
                <w:rFonts w:ascii="Times New Roman" w:eastAsia="Times New Roman" w:hAnsi="Times New Roman" w:cs="Times New Roman"/>
                <w:b/>
                <w:bCs/>
                <w:sz w:val="18"/>
                <w:szCs w:val="18"/>
                <w:vertAlign w:val="superscript"/>
                <w:lang w:val="ro-RO" w:eastAsia="ro-MD"/>
              </w:rPr>
              <w:t>2</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În cazul în care drepturile de ipotecă care nu sunt deținute de bancă sunt de rang egal cu dreptul de ipotecă deținut de bancă, pentru a determina partea din expunerea băncii care este eligibilă pentru ponderea de risc de 20 %, cuantumul de 55 % din valoarea de piață a bunului imobil, din care se scade cuantumul oricăror drepturi de ipotecă de rang superior care nu sunt deținute de bancă, se reduce cu produsul dintre:</w:t>
            </w:r>
          </w:p>
          <w:p w14:paraId="14852AE0" w14:textId="77777777" w:rsidR="00A550F8" w:rsidRPr="006F5136" w:rsidRDefault="00A550F8"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55 % din valoarea de piață a bunului imobil, din care se scade cuantumul drepturilor de ipotecă de rang superior, dacă există, deținute atât de banca respectivă, cât și de alte bănci; și</w:t>
            </w:r>
          </w:p>
          <w:p w14:paraId="22D0716F" w14:textId="77777777" w:rsidR="00A550F8" w:rsidRPr="006F5136" w:rsidRDefault="00A550F8"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cuantumul drepturilor de ipotecă care nu sunt deținute de bancă și care sunt de rang egal cu dreptul de ipotecă deținut de bancă împărțit la suma tuturor drepturilor de ipotecă de rang egal.</w:t>
            </w:r>
          </w:p>
          <w:p w14:paraId="43E3FC79" w14:textId="77777777" w:rsidR="00EF02FD" w:rsidRPr="006F5136" w:rsidRDefault="00EF02FD"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69</w:t>
            </w:r>
            <w:r w:rsidRPr="006F5136">
              <w:rPr>
                <w:rFonts w:ascii="Times New Roman" w:eastAsia="Times New Roman" w:hAnsi="Times New Roman" w:cs="Times New Roman"/>
                <w:b/>
                <w:bCs/>
                <w:sz w:val="18"/>
                <w:szCs w:val="18"/>
                <w:vertAlign w:val="superscript"/>
                <w:lang w:val="ro-RO" w:eastAsia="ro-MD"/>
              </w:rPr>
              <w:t>3</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În cazul în care, Banca Națională a Moldovei a stabilit o pondere de risc mai ridicată sau un procentaj mai mic din valoarea bunului imobil decât cele menționate la punctul 69, băncile utilizează ponderea de risc sau procentajul stabilite în conformitate cu punctele 68</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-68</w:t>
            </w:r>
            <w:r w:rsidRPr="006F5136">
              <w:rPr>
                <w:rFonts w:ascii="Times New Roman" w:eastAsia="Times New Roman" w:hAnsi="Times New Roman" w:cs="Times New Roman"/>
                <w:sz w:val="18"/>
                <w:szCs w:val="18"/>
                <w:vertAlign w:val="superscript"/>
                <w:lang w:val="ro-RO" w:eastAsia="ro-MD"/>
              </w:rPr>
              <w:t>7</w:t>
            </w:r>
            <w:r w:rsidRPr="006F5136">
              <w:rPr>
                <w:rFonts w:ascii="Times New Roman" w:eastAsia="Times New Roman" w:hAnsi="Times New Roman" w:cs="Times New Roman"/>
                <w:sz w:val="18"/>
                <w:szCs w:val="18"/>
                <w:lang w:val="ro-RO" w:eastAsia="ro-MD"/>
              </w:rPr>
              <w:t>. Partea rămasă a expunerii menționată punctul 69, dacă există, este ponderată la risc ca o expunere la o contraparte care nu este garantată cu bunuri imobile locative.</w:t>
            </w:r>
          </w:p>
          <w:p w14:paraId="2F720B43" w14:textId="1C598134" w:rsidR="00EF02FD" w:rsidRPr="006F5136" w:rsidRDefault="00EF02FD" w:rsidP="005E4694">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4526CBA7"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50536ACC" w14:textId="0ED0E2F8"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p w14:paraId="7C5F95FD" w14:textId="307F09C8" w:rsidR="0027576A" w:rsidRPr="006F5136" w:rsidRDefault="0027576A" w:rsidP="005E4694">
            <w:pPr>
              <w:spacing w:after="0" w:line="240" w:lineRule="auto"/>
              <w:jc w:val="both"/>
              <w:rPr>
                <w:rFonts w:ascii="Times New Roman" w:hAnsi="Times New Roman" w:cs="Times New Roman"/>
                <w:sz w:val="18"/>
                <w:szCs w:val="18"/>
                <w:lang w:val="ro-RO"/>
              </w:rPr>
            </w:pPr>
          </w:p>
        </w:tc>
      </w:tr>
      <w:tr w:rsidR="0027576A" w:rsidRPr="006F5136" w14:paraId="6390233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1924" w:type="pct"/>
          </w:tcPr>
          <w:p w14:paraId="6F6BA391" w14:textId="77777777" w:rsidR="007B4AA2" w:rsidRPr="006F5136" w:rsidRDefault="0027576A" w:rsidP="005E4694">
            <w:pPr>
              <w:shd w:val="clear" w:color="auto" w:fill="FFFFFF"/>
              <w:spacing w:after="0" w:line="240" w:lineRule="auto"/>
              <w:rPr>
                <w:rFonts w:ascii="Times New Roman" w:eastAsia="Times New Roman" w:hAnsi="Times New Roman" w:cs="Times New Roman"/>
                <w:sz w:val="18"/>
                <w:szCs w:val="18"/>
                <w:lang w:val="ro-RO" w:eastAsia="ru-RU"/>
              </w:rPr>
            </w:pPr>
            <w:r w:rsidRPr="006F5136">
              <w:rPr>
                <w:rFonts w:ascii="Times New Roman" w:eastAsia="Times New Roman" w:hAnsi="Times New Roman" w:cs="Times New Roman"/>
                <w:sz w:val="18"/>
                <w:szCs w:val="18"/>
                <w:lang w:val="ro-RO" w:eastAsia="ru-RU"/>
              </w:rPr>
              <w:t xml:space="preserve">(2) </w:t>
            </w:r>
            <w:r w:rsidR="007B4AA2" w:rsidRPr="006F5136">
              <w:rPr>
                <w:rFonts w:ascii="Times New Roman" w:eastAsia="Times New Roman" w:hAnsi="Times New Roman" w:cs="Times New Roman"/>
                <w:sz w:val="18"/>
                <w:szCs w:val="18"/>
                <w:lang w:val="ro-RO" w:eastAsia="ru-RU"/>
              </w:rPr>
              <w:t>O expunere de tipul celor menționate la articolul 124 alineatul (2) litera (a) punctul (iii) primește ponderea de risc stabilită în conformitate cu respectiva bandă expunere/valoare a ponderilor de risc din tabelul 1.</w:t>
            </w:r>
          </w:p>
          <w:p w14:paraId="0F6EEF7C" w14:textId="77777777" w:rsidR="007B4AA2" w:rsidRPr="006F5136" w:rsidRDefault="007B4AA2" w:rsidP="005E4694">
            <w:pPr>
              <w:shd w:val="clear" w:color="auto" w:fill="FFFFFF"/>
              <w:spacing w:after="0" w:line="240" w:lineRule="auto"/>
              <w:jc w:val="both"/>
              <w:rPr>
                <w:rFonts w:ascii="Times New Roman" w:eastAsia="Times New Roman" w:hAnsi="Times New Roman" w:cs="Times New Roman"/>
                <w:sz w:val="18"/>
                <w:szCs w:val="18"/>
                <w:lang w:val="ro-RO" w:eastAsia="ru-RU"/>
              </w:rPr>
            </w:pPr>
            <w:r w:rsidRPr="006F5136">
              <w:rPr>
                <w:rFonts w:ascii="Times New Roman" w:eastAsia="Times New Roman" w:hAnsi="Times New Roman" w:cs="Times New Roman"/>
                <w:sz w:val="18"/>
                <w:szCs w:val="18"/>
                <w:lang w:val="ro-RO" w:eastAsia="ru-RU"/>
              </w:rPr>
              <w:t>În sensul prezentului alineat, în cazul în care, în conformitate cu articolul 124 alineatul (9), autoritatea competentă sau desemnată a stabilit o pondere de risc mai ridicată sau un procentaj expunere/valoare mai mic decât cele menționate la prezentul alineat, instituțiile utilizează ponderea de risc sau procentajul stabilite în conformitate cu articolul 124 alineatul (9).</w:t>
            </w:r>
          </w:p>
          <w:p w14:paraId="6F9836E7" w14:textId="77777777" w:rsidR="007B4AA2" w:rsidRPr="006F5136" w:rsidRDefault="007B4AA2" w:rsidP="005E4694">
            <w:pPr>
              <w:shd w:val="clear" w:color="auto" w:fill="FFFFFF"/>
              <w:spacing w:after="0" w:line="240" w:lineRule="auto"/>
              <w:jc w:val="center"/>
              <w:rPr>
                <w:rFonts w:ascii="Times New Roman" w:eastAsia="Arial Unicode MS" w:hAnsi="Times New Roman" w:cs="Times New Roman"/>
                <w:color w:val="333333"/>
                <w:sz w:val="18"/>
                <w:szCs w:val="18"/>
                <w:lang w:val="ro-MD" w:eastAsia="ro-MD"/>
              </w:rPr>
            </w:pPr>
          </w:p>
          <w:p w14:paraId="3D7F2066" w14:textId="77777777" w:rsidR="007B4AA2" w:rsidRPr="006F5136" w:rsidRDefault="007B4AA2" w:rsidP="005E4694">
            <w:pPr>
              <w:shd w:val="clear" w:color="auto" w:fill="FFFFFF"/>
              <w:spacing w:after="0" w:line="240" w:lineRule="auto"/>
              <w:jc w:val="center"/>
              <w:rPr>
                <w:rFonts w:ascii="Times New Roman" w:eastAsia="Arial Unicode MS" w:hAnsi="Times New Roman" w:cs="Times New Roman"/>
                <w:b/>
                <w:bCs/>
                <w:color w:val="333333"/>
                <w:sz w:val="18"/>
                <w:szCs w:val="18"/>
                <w:lang w:val="ro-MD" w:eastAsia="ro-MD"/>
              </w:rPr>
            </w:pPr>
            <w:r w:rsidRPr="006F5136">
              <w:rPr>
                <w:rFonts w:ascii="Times New Roman" w:eastAsia="Arial Unicode MS" w:hAnsi="Times New Roman" w:cs="Times New Roman"/>
                <w:b/>
                <w:bCs/>
                <w:color w:val="333333"/>
                <w:sz w:val="18"/>
                <w:szCs w:val="18"/>
                <w:lang w:val="ro-MD" w:eastAsia="ro-MD"/>
              </w:rPr>
              <w:t>Tabelul 1</w:t>
            </w:r>
          </w:p>
          <w:tbl>
            <w:tblPr>
              <w:tblW w:w="5082"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62"/>
              <w:gridCol w:w="548"/>
              <w:gridCol w:w="799"/>
              <w:gridCol w:w="799"/>
              <w:gridCol w:w="799"/>
              <w:gridCol w:w="862"/>
              <w:gridCol w:w="613"/>
            </w:tblGrid>
            <w:tr w:rsidR="007B4AA2" w:rsidRPr="006F5136" w14:paraId="20A2B18A" w14:textId="77777777" w:rsidTr="007B4AA2">
              <w:trPr>
                <w:trHeight w:val="625"/>
                <w:jc w:val="center"/>
              </w:trPr>
              <w:tc>
                <w:tcPr>
                  <w:tcW w:w="662" w:type="dxa"/>
                  <w:tcBorders>
                    <w:top w:val="outset" w:sz="6" w:space="0" w:color="auto"/>
                    <w:left w:val="outset" w:sz="6" w:space="0" w:color="auto"/>
                    <w:bottom w:val="outset" w:sz="6" w:space="0" w:color="auto"/>
                    <w:right w:val="outset" w:sz="6" w:space="0" w:color="auto"/>
                  </w:tcBorders>
                  <w:shd w:val="clear" w:color="auto" w:fill="auto"/>
                  <w:hideMark/>
                </w:tcPr>
                <w:p w14:paraId="510AB2DC" w14:textId="77777777" w:rsidR="007B4AA2" w:rsidRPr="006F5136" w:rsidRDefault="007B4AA2" w:rsidP="005E4694">
                  <w:pPr>
                    <w:spacing w:after="0" w:line="240" w:lineRule="auto"/>
                    <w:jc w:val="both"/>
                    <w:rPr>
                      <w:rFonts w:ascii="Times New Roman" w:eastAsia="Times New Roman" w:hAnsi="Times New Roman" w:cs="Times New Roman"/>
                      <w:b/>
                      <w:bCs/>
                      <w:sz w:val="18"/>
                      <w:szCs w:val="18"/>
                      <w:lang w:val="ro-MD" w:eastAsia="ro-MD"/>
                    </w:rPr>
                  </w:pPr>
                  <w:r w:rsidRPr="006F5136">
                    <w:rPr>
                      <w:rFonts w:ascii="Times New Roman" w:eastAsia="Times New Roman" w:hAnsi="Times New Roman" w:cs="Times New Roman"/>
                      <w:b/>
                      <w:bCs/>
                      <w:sz w:val="18"/>
                      <w:szCs w:val="18"/>
                      <w:lang w:val="ro-MD" w:eastAsia="ro-MD"/>
                    </w:rPr>
                    <w:t>ETV</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14:paraId="227C788B" w14:textId="77777777" w:rsidR="007B4AA2" w:rsidRPr="006F5136" w:rsidRDefault="007B4AA2" w:rsidP="005E4694">
                  <w:pPr>
                    <w:spacing w:after="0" w:line="240" w:lineRule="auto"/>
                    <w:jc w:val="both"/>
                    <w:rPr>
                      <w:rFonts w:ascii="Times New Roman" w:eastAsia="Times New Roman" w:hAnsi="Times New Roman" w:cs="Times New Roman"/>
                      <w:b/>
                      <w:bCs/>
                      <w:sz w:val="18"/>
                      <w:szCs w:val="18"/>
                      <w:lang w:val="ro-MD" w:eastAsia="ro-MD"/>
                    </w:rPr>
                  </w:pPr>
                  <w:r w:rsidRPr="006F5136">
                    <w:rPr>
                      <w:rFonts w:ascii="Times New Roman" w:eastAsia="Times New Roman" w:hAnsi="Times New Roman" w:cs="Times New Roman"/>
                      <w:b/>
                      <w:bCs/>
                      <w:sz w:val="18"/>
                      <w:szCs w:val="18"/>
                      <w:lang w:val="ro-MD" w:eastAsia="ro-MD"/>
                    </w:rPr>
                    <w:t>ETV ≤ 50 %</w:t>
                  </w:r>
                </w:p>
              </w:tc>
              <w:tc>
                <w:tcPr>
                  <w:tcW w:w="799" w:type="dxa"/>
                  <w:tcBorders>
                    <w:top w:val="outset" w:sz="6" w:space="0" w:color="auto"/>
                    <w:left w:val="outset" w:sz="6" w:space="0" w:color="auto"/>
                    <w:bottom w:val="outset" w:sz="6" w:space="0" w:color="auto"/>
                    <w:right w:val="outset" w:sz="6" w:space="0" w:color="auto"/>
                  </w:tcBorders>
                  <w:shd w:val="clear" w:color="auto" w:fill="auto"/>
                  <w:hideMark/>
                </w:tcPr>
                <w:p w14:paraId="1C291F13" w14:textId="77777777" w:rsidR="007B4AA2" w:rsidRPr="006F5136" w:rsidRDefault="007B4AA2" w:rsidP="005E4694">
                  <w:pPr>
                    <w:spacing w:after="0" w:line="240" w:lineRule="auto"/>
                    <w:jc w:val="both"/>
                    <w:rPr>
                      <w:rFonts w:ascii="Times New Roman" w:eastAsia="Times New Roman" w:hAnsi="Times New Roman" w:cs="Times New Roman"/>
                      <w:b/>
                      <w:bCs/>
                      <w:sz w:val="18"/>
                      <w:szCs w:val="18"/>
                      <w:lang w:val="ro-MD" w:eastAsia="ro-MD"/>
                    </w:rPr>
                  </w:pPr>
                  <w:r w:rsidRPr="006F5136">
                    <w:rPr>
                      <w:rFonts w:ascii="Times New Roman" w:eastAsia="Times New Roman" w:hAnsi="Times New Roman" w:cs="Times New Roman"/>
                      <w:b/>
                      <w:bCs/>
                      <w:sz w:val="18"/>
                      <w:szCs w:val="18"/>
                      <w:lang w:val="ro-MD" w:eastAsia="ro-MD"/>
                    </w:rPr>
                    <w:t>50 % &lt; ETV ≤ 60 %</w:t>
                  </w:r>
                </w:p>
              </w:tc>
              <w:tc>
                <w:tcPr>
                  <w:tcW w:w="799" w:type="dxa"/>
                  <w:tcBorders>
                    <w:top w:val="outset" w:sz="6" w:space="0" w:color="auto"/>
                    <w:left w:val="outset" w:sz="6" w:space="0" w:color="auto"/>
                    <w:bottom w:val="outset" w:sz="6" w:space="0" w:color="auto"/>
                    <w:right w:val="outset" w:sz="6" w:space="0" w:color="auto"/>
                  </w:tcBorders>
                  <w:shd w:val="clear" w:color="auto" w:fill="auto"/>
                  <w:hideMark/>
                </w:tcPr>
                <w:p w14:paraId="7099E6AE" w14:textId="77777777" w:rsidR="007B4AA2" w:rsidRPr="006F5136" w:rsidRDefault="007B4AA2" w:rsidP="005E4694">
                  <w:pPr>
                    <w:spacing w:after="0" w:line="240" w:lineRule="auto"/>
                    <w:jc w:val="both"/>
                    <w:rPr>
                      <w:rFonts w:ascii="Times New Roman" w:eastAsia="Times New Roman" w:hAnsi="Times New Roman" w:cs="Times New Roman"/>
                      <w:b/>
                      <w:bCs/>
                      <w:sz w:val="18"/>
                      <w:szCs w:val="18"/>
                      <w:lang w:val="ro-MD" w:eastAsia="ro-MD"/>
                    </w:rPr>
                  </w:pPr>
                  <w:r w:rsidRPr="006F5136">
                    <w:rPr>
                      <w:rFonts w:ascii="Times New Roman" w:eastAsia="Times New Roman" w:hAnsi="Times New Roman" w:cs="Times New Roman"/>
                      <w:b/>
                      <w:bCs/>
                      <w:sz w:val="18"/>
                      <w:szCs w:val="18"/>
                      <w:lang w:val="ro-MD" w:eastAsia="ro-MD"/>
                    </w:rPr>
                    <w:t>60 % &lt; ETV ≤ 80 %</w:t>
                  </w:r>
                </w:p>
              </w:tc>
              <w:tc>
                <w:tcPr>
                  <w:tcW w:w="799" w:type="dxa"/>
                  <w:tcBorders>
                    <w:top w:val="outset" w:sz="6" w:space="0" w:color="auto"/>
                    <w:left w:val="outset" w:sz="6" w:space="0" w:color="auto"/>
                    <w:bottom w:val="outset" w:sz="6" w:space="0" w:color="auto"/>
                    <w:right w:val="outset" w:sz="6" w:space="0" w:color="auto"/>
                  </w:tcBorders>
                  <w:shd w:val="clear" w:color="auto" w:fill="auto"/>
                  <w:hideMark/>
                </w:tcPr>
                <w:p w14:paraId="5B3385B0" w14:textId="77777777" w:rsidR="007B4AA2" w:rsidRPr="006F5136" w:rsidRDefault="007B4AA2" w:rsidP="005E4694">
                  <w:pPr>
                    <w:spacing w:after="0" w:line="240" w:lineRule="auto"/>
                    <w:jc w:val="both"/>
                    <w:rPr>
                      <w:rFonts w:ascii="Times New Roman" w:eastAsia="Times New Roman" w:hAnsi="Times New Roman" w:cs="Times New Roman"/>
                      <w:b/>
                      <w:bCs/>
                      <w:sz w:val="18"/>
                      <w:szCs w:val="18"/>
                      <w:lang w:val="ro-MD" w:eastAsia="ro-MD"/>
                    </w:rPr>
                  </w:pPr>
                  <w:r w:rsidRPr="006F5136">
                    <w:rPr>
                      <w:rFonts w:ascii="Times New Roman" w:eastAsia="Times New Roman" w:hAnsi="Times New Roman" w:cs="Times New Roman"/>
                      <w:b/>
                      <w:bCs/>
                      <w:sz w:val="18"/>
                      <w:szCs w:val="18"/>
                      <w:lang w:val="ro-MD" w:eastAsia="ro-MD"/>
                    </w:rPr>
                    <w:t>80 % &lt; ETV ≤ 90 %</w:t>
                  </w:r>
                </w:p>
              </w:tc>
              <w:tc>
                <w:tcPr>
                  <w:tcW w:w="862" w:type="dxa"/>
                  <w:tcBorders>
                    <w:top w:val="outset" w:sz="6" w:space="0" w:color="auto"/>
                    <w:left w:val="outset" w:sz="6" w:space="0" w:color="auto"/>
                    <w:bottom w:val="outset" w:sz="6" w:space="0" w:color="auto"/>
                    <w:right w:val="outset" w:sz="6" w:space="0" w:color="auto"/>
                  </w:tcBorders>
                  <w:shd w:val="clear" w:color="auto" w:fill="auto"/>
                  <w:hideMark/>
                </w:tcPr>
                <w:p w14:paraId="629CA11A" w14:textId="77777777" w:rsidR="007B4AA2" w:rsidRPr="006F5136" w:rsidRDefault="007B4AA2" w:rsidP="005E4694">
                  <w:pPr>
                    <w:spacing w:after="0" w:line="240" w:lineRule="auto"/>
                    <w:jc w:val="both"/>
                    <w:rPr>
                      <w:rFonts w:ascii="Times New Roman" w:eastAsia="Times New Roman" w:hAnsi="Times New Roman" w:cs="Times New Roman"/>
                      <w:b/>
                      <w:bCs/>
                      <w:sz w:val="18"/>
                      <w:szCs w:val="18"/>
                      <w:lang w:val="ro-MD" w:eastAsia="ro-MD"/>
                    </w:rPr>
                  </w:pPr>
                  <w:r w:rsidRPr="006F5136">
                    <w:rPr>
                      <w:rFonts w:ascii="Times New Roman" w:eastAsia="Times New Roman" w:hAnsi="Times New Roman" w:cs="Times New Roman"/>
                      <w:b/>
                      <w:bCs/>
                      <w:sz w:val="18"/>
                      <w:szCs w:val="18"/>
                      <w:lang w:val="ro-MD" w:eastAsia="ro-MD"/>
                    </w:rPr>
                    <w:t>90 % &lt; ETV ≤ 100 %</w:t>
                  </w:r>
                </w:p>
              </w:tc>
              <w:tc>
                <w:tcPr>
                  <w:tcW w:w="613" w:type="dxa"/>
                  <w:tcBorders>
                    <w:top w:val="outset" w:sz="6" w:space="0" w:color="auto"/>
                    <w:left w:val="outset" w:sz="6" w:space="0" w:color="auto"/>
                    <w:bottom w:val="outset" w:sz="6" w:space="0" w:color="auto"/>
                    <w:right w:val="outset" w:sz="6" w:space="0" w:color="auto"/>
                  </w:tcBorders>
                  <w:shd w:val="clear" w:color="auto" w:fill="auto"/>
                  <w:hideMark/>
                </w:tcPr>
                <w:p w14:paraId="2DDD5F6D" w14:textId="77777777" w:rsidR="007B4AA2" w:rsidRPr="006F5136" w:rsidRDefault="007B4AA2" w:rsidP="005E4694">
                  <w:pPr>
                    <w:spacing w:after="0" w:line="240" w:lineRule="auto"/>
                    <w:jc w:val="both"/>
                    <w:rPr>
                      <w:rFonts w:ascii="Times New Roman" w:eastAsia="Times New Roman" w:hAnsi="Times New Roman" w:cs="Times New Roman"/>
                      <w:b/>
                      <w:bCs/>
                      <w:sz w:val="18"/>
                      <w:szCs w:val="18"/>
                      <w:lang w:val="ro-MD" w:eastAsia="ro-MD"/>
                    </w:rPr>
                  </w:pPr>
                  <w:r w:rsidRPr="006F5136">
                    <w:rPr>
                      <w:rFonts w:ascii="Times New Roman" w:eastAsia="Times New Roman" w:hAnsi="Times New Roman" w:cs="Times New Roman"/>
                      <w:b/>
                      <w:bCs/>
                      <w:sz w:val="18"/>
                      <w:szCs w:val="18"/>
                      <w:lang w:val="ro-MD" w:eastAsia="ro-MD"/>
                    </w:rPr>
                    <w:t>ETV &gt; 100 %</w:t>
                  </w:r>
                </w:p>
              </w:tc>
            </w:tr>
            <w:tr w:rsidR="007B4AA2" w:rsidRPr="006F5136" w14:paraId="0C0D8B13" w14:textId="77777777" w:rsidTr="007B4AA2">
              <w:trPr>
                <w:trHeight w:val="613"/>
                <w:jc w:val="center"/>
              </w:trPr>
              <w:tc>
                <w:tcPr>
                  <w:tcW w:w="662" w:type="dxa"/>
                  <w:tcBorders>
                    <w:top w:val="outset" w:sz="6" w:space="0" w:color="auto"/>
                    <w:left w:val="outset" w:sz="6" w:space="0" w:color="auto"/>
                    <w:bottom w:val="outset" w:sz="6" w:space="0" w:color="auto"/>
                    <w:right w:val="outset" w:sz="6" w:space="0" w:color="auto"/>
                  </w:tcBorders>
                  <w:shd w:val="clear" w:color="auto" w:fill="auto"/>
                  <w:hideMark/>
                </w:tcPr>
                <w:p w14:paraId="1C81C5EA" w14:textId="77777777" w:rsidR="007B4AA2" w:rsidRPr="006F5136" w:rsidRDefault="007B4AA2" w:rsidP="005E4694">
                  <w:pPr>
                    <w:spacing w:after="0" w:line="240" w:lineRule="auto"/>
                    <w:jc w:val="both"/>
                    <w:rPr>
                      <w:rFonts w:ascii="Times New Roman" w:eastAsia="Times New Roman" w:hAnsi="Times New Roman" w:cs="Times New Roman"/>
                      <w:sz w:val="18"/>
                      <w:szCs w:val="18"/>
                      <w:lang w:val="ro-MD" w:eastAsia="ro-MD"/>
                    </w:rPr>
                  </w:pPr>
                  <w:r w:rsidRPr="006F5136">
                    <w:rPr>
                      <w:rFonts w:ascii="Times New Roman" w:eastAsia="Times New Roman" w:hAnsi="Times New Roman" w:cs="Times New Roman"/>
                      <w:sz w:val="18"/>
                      <w:szCs w:val="18"/>
                      <w:lang w:val="ro-MD" w:eastAsia="ro-MD"/>
                    </w:rPr>
                    <w:t>Pondere de risc</w:t>
                  </w:r>
                </w:p>
              </w:tc>
              <w:tc>
                <w:tcPr>
                  <w:tcW w:w="548" w:type="dxa"/>
                  <w:tcBorders>
                    <w:top w:val="outset" w:sz="6" w:space="0" w:color="auto"/>
                    <w:left w:val="outset" w:sz="6" w:space="0" w:color="auto"/>
                    <w:bottom w:val="outset" w:sz="6" w:space="0" w:color="auto"/>
                    <w:right w:val="outset" w:sz="6" w:space="0" w:color="auto"/>
                  </w:tcBorders>
                  <w:shd w:val="clear" w:color="auto" w:fill="auto"/>
                  <w:hideMark/>
                </w:tcPr>
                <w:p w14:paraId="39926020" w14:textId="77777777" w:rsidR="007B4AA2" w:rsidRPr="006F5136" w:rsidRDefault="007B4AA2" w:rsidP="005E4694">
                  <w:pPr>
                    <w:spacing w:after="0" w:line="240" w:lineRule="auto"/>
                    <w:jc w:val="both"/>
                    <w:rPr>
                      <w:rFonts w:ascii="Times New Roman" w:eastAsia="Times New Roman" w:hAnsi="Times New Roman" w:cs="Times New Roman"/>
                      <w:sz w:val="18"/>
                      <w:szCs w:val="18"/>
                      <w:lang w:val="ro-MD" w:eastAsia="ro-MD"/>
                    </w:rPr>
                  </w:pPr>
                  <w:r w:rsidRPr="006F5136">
                    <w:rPr>
                      <w:rFonts w:ascii="Times New Roman" w:eastAsia="Times New Roman" w:hAnsi="Times New Roman" w:cs="Times New Roman"/>
                      <w:sz w:val="18"/>
                      <w:szCs w:val="18"/>
                      <w:lang w:val="ro-MD" w:eastAsia="ro-MD"/>
                    </w:rPr>
                    <w:t>30 %</w:t>
                  </w:r>
                </w:p>
              </w:tc>
              <w:tc>
                <w:tcPr>
                  <w:tcW w:w="799" w:type="dxa"/>
                  <w:tcBorders>
                    <w:top w:val="outset" w:sz="6" w:space="0" w:color="auto"/>
                    <w:left w:val="outset" w:sz="6" w:space="0" w:color="auto"/>
                    <w:bottom w:val="outset" w:sz="6" w:space="0" w:color="auto"/>
                    <w:right w:val="outset" w:sz="6" w:space="0" w:color="auto"/>
                  </w:tcBorders>
                  <w:shd w:val="clear" w:color="auto" w:fill="auto"/>
                  <w:hideMark/>
                </w:tcPr>
                <w:p w14:paraId="3F7E755B" w14:textId="77777777" w:rsidR="007B4AA2" w:rsidRPr="006F5136" w:rsidRDefault="007B4AA2" w:rsidP="005E4694">
                  <w:pPr>
                    <w:spacing w:after="0" w:line="240" w:lineRule="auto"/>
                    <w:jc w:val="both"/>
                    <w:rPr>
                      <w:rFonts w:ascii="Times New Roman" w:eastAsia="Times New Roman" w:hAnsi="Times New Roman" w:cs="Times New Roman"/>
                      <w:sz w:val="18"/>
                      <w:szCs w:val="18"/>
                      <w:lang w:val="ro-MD" w:eastAsia="ro-MD"/>
                    </w:rPr>
                  </w:pPr>
                  <w:r w:rsidRPr="006F5136">
                    <w:rPr>
                      <w:rFonts w:ascii="Times New Roman" w:eastAsia="Times New Roman" w:hAnsi="Times New Roman" w:cs="Times New Roman"/>
                      <w:sz w:val="18"/>
                      <w:szCs w:val="18"/>
                      <w:lang w:val="ro-MD" w:eastAsia="ro-MD"/>
                    </w:rPr>
                    <w:t>35 %</w:t>
                  </w:r>
                </w:p>
              </w:tc>
              <w:tc>
                <w:tcPr>
                  <w:tcW w:w="799" w:type="dxa"/>
                  <w:tcBorders>
                    <w:top w:val="outset" w:sz="6" w:space="0" w:color="auto"/>
                    <w:left w:val="outset" w:sz="6" w:space="0" w:color="auto"/>
                    <w:bottom w:val="outset" w:sz="6" w:space="0" w:color="auto"/>
                    <w:right w:val="outset" w:sz="6" w:space="0" w:color="auto"/>
                  </w:tcBorders>
                  <w:shd w:val="clear" w:color="auto" w:fill="auto"/>
                  <w:hideMark/>
                </w:tcPr>
                <w:p w14:paraId="7168F3B4" w14:textId="77777777" w:rsidR="007B4AA2" w:rsidRPr="006F5136" w:rsidRDefault="007B4AA2" w:rsidP="005E4694">
                  <w:pPr>
                    <w:spacing w:after="0" w:line="240" w:lineRule="auto"/>
                    <w:jc w:val="both"/>
                    <w:rPr>
                      <w:rFonts w:ascii="Times New Roman" w:eastAsia="Times New Roman" w:hAnsi="Times New Roman" w:cs="Times New Roman"/>
                      <w:sz w:val="18"/>
                      <w:szCs w:val="18"/>
                      <w:lang w:val="ro-MD" w:eastAsia="ro-MD"/>
                    </w:rPr>
                  </w:pPr>
                  <w:r w:rsidRPr="006F5136">
                    <w:rPr>
                      <w:rFonts w:ascii="Times New Roman" w:eastAsia="Times New Roman" w:hAnsi="Times New Roman" w:cs="Times New Roman"/>
                      <w:sz w:val="18"/>
                      <w:szCs w:val="18"/>
                      <w:lang w:val="ro-MD" w:eastAsia="ro-MD"/>
                    </w:rPr>
                    <w:t>45 %</w:t>
                  </w:r>
                </w:p>
              </w:tc>
              <w:tc>
                <w:tcPr>
                  <w:tcW w:w="799" w:type="dxa"/>
                  <w:tcBorders>
                    <w:top w:val="outset" w:sz="6" w:space="0" w:color="auto"/>
                    <w:left w:val="outset" w:sz="6" w:space="0" w:color="auto"/>
                    <w:bottom w:val="outset" w:sz="6" w:space="0" w:color="auto"/>
                    <w:right w:val="outset" w:sz="6" w:space="0" w:color="auto"/>
                  </w:tcBorders>
                  <w:shd w:val="clear" w:color="auto" w:fill="auto"/>
                  <w:hideMark/>
                </w:tcPr>
                <w:p w14:paraId="625A43D0" w14:textId="77777777" w:rsidR="007B4AA2" w:rsidRPr="006F5136" w:rsidRDefault="007B4AA2" w:rsidP="005E4694">
                  <w:pPr>
                    <w:spacing w:after="0" w:line="240" w:lineRule="auto"/>
                    <w:jc w:val="both"/>
                    <w:rPr>
                      <w:rFonts w:ascii="Times New Roman" w:eastAsia="Times New Roman" w:hAnsi="Times New Roman" w:cs="Times New Roman"/>
                      <w:sz w:val="18"/>
                      <w:szCs w:val="18"/>
                      <w:lang w:val="ro-MD" w:eastAsia="ro-MD"/>
                    </w:rPr>
                  </w:pPr>
                  <w:r w:rsidRPr="006F5136">
                    <w:rPr>
                      <w:rFonts w:ascii="Times New Roman" w:eastAsia="Times New Roman" w:hAnsi="Times New Roman" w:cs="Times New Roman"/>
                      <w:sz w:val="18"/>
                      <w:szCs w:val="18"/>
                      <w:lang w:val="ro-MD" w:eastAsia="ro-MD"/>
                    </w:rPr>
                    <w:t>60 %</w:t>
                  </w:r>
                </w:p>
              </w:tc>
              <w:tc>
                <w:tcPr>
                  <w:tcW w:w="862" w:type="dxa"/>
                  <w:tcBorders>
                    <w:top w:val="outset" w:sz="6" w:space="0" w:color="auto"/>
                    <w:left w:val="outset" w:sz="6" w:space="0" w:color="auto"/>
                    <w:bottom w:val="outset" w:sz="6" w:space="0" w:color="auto"/>
                    <w:right w:val="outset" w:sz="6" w:space="0" w:color="auto"/>
                  </w:tcBorders>
                  <w:shd w:val="clear" w:color="auto" w:fill="auto"/>
                  <w:hideMark/>
                </w:tcPr>
                <w:p w14:paraId="3BE8737B" w14:textId="77777777" w:rsidR="007B4AA2" w:rsidRPr="006F5136" w:rsidRDefault="007B4AA2" w:rsidP="005E4694">
                  <w:pPr>
                    <w:spacing w:after="0" w:line="240" w:lineRule="auto"/>
                    <w:jc w:val="both"/>
                    <w:rPr>
                      <w:rFonts w:ascii="Times New Roman" w:eastAsia="Times New Roman" w:hAnsi="Times New Roman" w:cs="Times New Roman"/>
                      <w:sz w:val="18"/>
                      <w:szCs w:val="18"/>
                      <w:lang w:val="ro-MD" w:eastAsia="ro-MD"/>
                    </w:rPr>
                  </w:pPr>
                  <w:r w:rsidRPr="006F5136">
                    <w:rPr>
                      <w:rFonts w:ascii="Times New Roman" w:eastAsia="Times New Roman" w:hAnsi="Times New Roman" w:cs="Times New Roman"/>
                      <w:sz w:val="18"/>
                      <w:szCs w:val="18"/>
                      <w:lang w:val="ro-MD" w:eastAsia="ro-MD"/>
                    </w:rPr>
                    <w:t>75 %</w:t>
                  </w:r>
                </w:p>
              </w:tc>
              <w:tc>
                <w:tcPr>
                  <w:tcW w:w="613" w:type="dxa"/>
                  <w:tcBorders>
                    <w:top w:val="outset" w:sz="6" w:space="0" w:color="auto"/>
                    <w:left w:val="outset" w:sz="6" w:space="0" w:color="auto"/>
                    <w:bottom w:val="outset" w:sz="6" w:space="0" w:color="auto"/>
                    <w:right w:val="outset" w:sz="6" w:space="0" w:color="auto"/>
                  </w:tcBorders>
                  <w:shd w:val="clear" w:color="auto" w:fill="auto"/>
                  <w:hideMark/>
                </w:tcPr>
                <w:p w14:paraId="5FA30541" w14:textId="77777777" w:rsidR="007B4AA2" w:rsidRPr="006F5136" w:rsidRDefault="007B4AA2" w:rsidP="005E4694">
                  <w:pPr>
                    <w:spacing w:after="0" w:line="240" w:lineRule="auto"/>
                    <w:jc w:val="both"/>
                    <w:rPr>
                      <w:rFonts w:ascii="Times New Roman" w:eastAsia="Times New Roman" w:hAnsi="Times New Roman" w:cs="Times New Roman"/>
                      <w:sz w:val="18"/>
                      <w:szCs w:val="18"/>
                      <w:lang w:val="ro-MD" w:eastAsia="ro-MD"/>
                    </w:rPr>
                  </w:pPr>
                  <w:r w:rsidRPr="006F5136">
                    <w:rPr>
                      <w:rFonts w:ascii="Times New Roman" w:eastAsia="Times New Roman" w:hAnsi="Times New Roman" w:cs="Times New Roman"/>
                      <w:sz w:val="18"/>
                      <w:szCs w:val="18"/>
                      <w:lang w:val="ro-MD" w:eastAsia="ro-MD"/>
                    </w:rPr>
                    <w:t>105 %</w:t>
                  </w:r>
                </w:p>
              </w:tc>
            </w:tr>
          </w:tbl>
          <w:p w14:paraId="7E9D000F" w14:textId="77777777" w:rsidR="007B4AA2" w:rsidRPr="006F5136" w:rsidRDefault="007B4AA2" w:rsidP="005E4694">
            <w:pPr>
              <w:shd w:val="clear" w:color="auto" w:fill="FFFFFF"/>
              <w:spacing w:after="0" w:line="240" w:lineRule="auto"/>
              <w:jc w:val="both"/>
              <w:rPr>
                <w:rFonts w:ascii="Times New Roman" w:eastAsia="Arial Unicode MS" w:hAnsi="Times New Roman" w:cs="Times New Roman"/>
                <w:color w:val="333333"/>
                <w:sz w:val="18"/>
                <w:szCs w:val="18"/>
                <w:lang w:val="ro-MD" w:eastAsia="ro-MD"/>
              </w:rPr>
            </w:pPr>
            <w:r w:rsidRPr="006F5136">
              <w:rPr>
                <w:rFonts w:ascii="Times New Roman" w:eastAsia="Arial Unicode MS" w:hAnsi="Times New Roman" w:cs="Times New Roman"/>
                <w:color w:val="333333"/>
                <w:sz w:val="18"/>
                <w:szCs w:val="18"/>
                <w:lang w:val="ro-MD" w:eastAsia="ro-MD"/>
              </w:rPr>
              <w:t>Prin derogare de la prezentul alineat primul paragraf, instituțiile pot aplica tratamentul menționat la alineatul (1) de la prezentul articol expunerilor garantate cu bunuri imobile locative situate pe teritoriul unui stat membru, în cazul în care autoritatea competentă a statului membru respectiv a publicat, în conformitate cu articolul 430a alineatul (3), ratele pierderilor pentru astfel de expuneri care, pe baza datelor agregate raportate de instituțiile din respectivul stat membru pentru piața imobiliară națională respectivă, nu depășesc niciuna dintre următoarele limite pentru pierderile agregate pentru astfel de expuneri în anul precedent:</w:t>
            </w:r>
          </w:p>
          <w:p w14:paraId="08D2367C" w14:textId="1B824F18" w:rsidR="007B4AA2" w:rsidRPr="006F5136" w:rsidRDefault="007B4AA2" w:rsidP="005E4694">
            <w:pPr>
              <w:pStyle w:val="CM4"/>
              <w:tabs>
                <w:tab w:val="left" w:pos="150"/>
              </w:tabs>
              <w:ind w:left="-43"/>
              <w:jc w:val="both"/>
              <w:rPr>
                <w:rFonts w:ascii="Times New Roman" w:hAnsi="Times New Roman"/>
                <w:iCs/>
                <w:sz w:val="18"/>
                <w:szCs w:val="18"/>
                <w:lang w:val="ro-MD" w:eastAsia="ru-RU"/>
              </w:rPr>
            </w:pPr>
            <w:r w:rsidRPr="006F5136">
              <w:rPr>
                <w:rFonts w:ascii="Times New Roman" w:hAnsi="Times New Roman"/>
                <w:iCs/>
                <w:sz w:val="18"/>
                <w:szCs w:val="18"/>
                <w:lang w:val="ro-MD" w:eastAsia="ru-RU"/>
              </w:rPr>
              <w:t>(a) cuantumul agregat raportat de instituții în temeiul articolului 430a alineatul (1) litera (a) împărțit la cuantumul agregat raportat de instituții în temeiul articolului 430a alineatul (1) litera (c) nu depășește 0,3  %;</w:t>
            </w:r>
          </w:p>
          <w:p w14:paraId="0380F36A" w14:textId="77777777" w:rsidR="007B4AA2" w:rsidRPr="006F5136" w:rsidRDefault="007B4AA2" w:rsidP="005E4694">
            <w:pPr>
              <w:pStyle w:val="CM4"/>
              <w:tabs>
                <w:tab w:val="left" w:pos="150"/>
              </w:tabs>
              <w:ind w:left="-43"/>
              <w:jc w:val="both"/>
              <w:rPr>
                <w:rFonts w:ascii="Times New Roman" w:hAnsi="Times New Roman"/>
                <w:iCs/>
                <w:sz w:val="18"/>
                <w:szCs w:val="18"/>
                <w:lang w:val="ro-MD" w:eastAsia="ru-RU"/>
              </w:rPr>
            </w:pPr>
          </w:p>
          <w:p w14:paraId="623579C9" w14:textId="71211F90" w:rsidR="007B4AA2" w:rsidRPr="006F5136" w:rsidRDefault="007B4AA2" w:rsidP="005E4694">
            <w:pPr>
              <w:pStyle w:val="CM4"/>
              <w:tabs>
                <w:tab w:val="left" w:pos="150"/>
              </w:tabs>
              <w:ind w:left="-43"/>
              <w:jc w:val="both"/>
              <w:rPr>
                <w:rFonts w:ascii="Times New Roman" w:hAnsi="Times New Roman"/>
                <w:iCs/>
                <w:sz w:val="18"/>
                <w:szCs w:val="18"/>
                <w:lang w:val="ro-MD" w:eastAsia="ru-RU"/>
              </w:rPr>
            </w:pPr>
            <w:r w:rsidRPr="006F5136">
              <w:rPr>
                <w:rFonts w:ascii="Times New Roman" w:hAnsi="Times New Roman"/>
                <w:iCs/>
                <w:sz w:val="18"/>
                <w:szCs w:val="18"/>
                <w:lang w:val="ro-MD" w:eastAsia="ru-RU"/>
              </w:rPr>
              <w:t>(b) cuantumul agregat raportat de instituții în temeiul articolului 430a alineatul (1) litera (b) împărțit la cuantumul agregat raportat de instituții în temeiul articolului 430a alineatul (1) litera (c) nu depășește 0,5  %.</w:t>
            </w:r>
          </w:p>
          <w:p w14:paraId="41ECAF0B" w14:textId="0C0B9554" w:rsidR="0027576A" w:rsidRPr="006F5136" w:rsidRDefault="0027576A" w:rsidP="005E4694">
            <w:pPr>
              <w:pStyle w:val="CM4"/>
              <w:tabs>
                <w:tab w:val="left" w:pos="150"/>
              </w:tabs>
              <w:ind w:left="-43"/>
              <w:jc w:val="both"/>
              <w:rPr>
                <w:rFonts w:ascii="Times New Roman" w:hAnsi="Times New Roman"/>
                <w:iCs/>
                <w:sz w:val="18"/>
                <w:szCs w:val="18"/>
                <w:lang w:val="ro-RO" w:eastAsia="ru-RU"/>
              </w:rPr>
            </w:pPr>
          </w:p>
        </w:tc>
        <w:tc>
          <w:tcPr>
            <w:tcW w:w="1661" w:type="pct"/>
            <w:shd w:val="clear" w:color="auto" w:fill="auto"/>
          </w:tcPr>
          <w:p w14:paraId="7DF1D5E0" w14:textId="001D1843" w:rsidR="00D35E21" w:rsidRPr="006F5136" w:rsidRDefault="00D35E21"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 xml:space="preserve">70. </w:t>
            </w:r>
            <w:r w:rsidRPr="006F5136">
              <w:rPr>
                <w:rFonts w:ascii="Times New Roman" w:eastAsia="Times New Roman" w:hAnsi="Times New Roman" w:cs="Times New Roman"/>
                <w:sz w:val="18"/>
                <w:szCs w:val="18"/>
                <w:lang w:val="ro-RO" w:eastAsia="ro-MD"/>
              </w:rPr>
              <w:t>O expunere de tipul celor menționate la punctul 66 subpunctul 1) lit. c) primește ponderea de risc stabilită în conformitate cu respectiva bandă ETV a ponderilor de risc din tabelul nr.6</w:t>
            </w:r>
            <w:r w:rsidRPr="006F5136">
              <w:rPr>
                <w:rFonts w:ascii="Times New Roman" w:eastAsia="Times New Roman" w:hAnsi="Times New Roman" w:cs="Times New Roman"/>
                <w:sz w:val="18"/>
                <w:szCs w:val="18"/>
                <w:vertAlign w:val="superscript"/>
                <w:lang w:val="ro-RO" w:eastAsia="ro-MD"/>
              </w:rPr>
              <w:t>2</w:t>
            </w:r>
            <w:r w:rsidRPr="006F5136">
              <w:rPr>
                <w:rFonts w:ascii="Times New Roman" w:eastAsia="Times New Roman" w:hAnsi="Times New Roman" w:cs="Times New Roman"/>
                <w:sz w:val="18"/>
                <w:szCs w:val="18"/>
                <w:lang w:val="ro-RO" w:eastAsia="ro-MD"/>
              </w:rPr>
              <w:t>.</w:t>
            </w:r>
          </w:p>
          <w:p w14:paraId="41A6EC95" w14:textId="552D10EB" w:rsidR="00D35E21" w:rsidRPr="006F5136" w:rsidRDefault="00D35E21"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70</w:t>
            </w:r>
            <w:r w:rsidRPr="006F5136">
              <w:rPr>
                <w:rFonts w:ascii="Times New Roman" w:eastAsia="Times New Roman" w:hAnsi="Times New Roman" w:cs="Times New Roman"/>
                <w:b/>
                <w:bCs/>
                <w:sz w:val="18"/>
                <w:szCs w:val="18"/>
                <w:vertAlign w:val="superscript"/>
                <w:lang w:val="ro-RO" w:eastAsia="ro-MD"/>
              </w:rPr>
              <w:t>1</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În sensul punctului 70, în cazul în care, Banca Națională a Moldovei a stabilit o pondere de risc mai ridicată sau un procentaj ETV mai mic decât cele stabilite conform punctului 70, băncile utilizează ponderea de risc sau procentajul stabilite în conformitate cu punctele 68</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-68</w:t>
            </w:r>
            <w:r w:rsidRPr="006F5136">
              <w:rPr>
                <w:rFonts w:ascii="Times New Roman" w:eastAsia="Times New Roman" w:hAnsi="Times New Roman" w:cs="Times New Roman"/>
                <w:sz w:val="18"/>
                <w:szCs w:val="18"/>
                <w:vertAlign w:val="superscript"/>
                <w:lang w:val="ro-RO" w:eastAsia="ro-MD"/>
              </w:rPr>
              <w:t>7</w:t>
            </w:r>
            <w:r w:rsidRPr="006F5136">
              <w:rPr>
                <w:rFonts w:ascii="Times New Roman" w:eastAsia="Times New Roman" w:hAnsi="Times New Roman" w:cs="Times New Roman"/>
                <w:sz w:val="18"/>
                <w:szCs w:val="18"/>
                <w:lang w:val="ro-RO" w:eastAsia="ro-MD"/>
              </w:rPr>
              <w:t>.</w:t>
            </w:r>
          </w:p>
          <w:p w14:paraId="0D6E0FB3" w14:textId="77777777" w:rsidR="00D35E21" w:rsidRPr="006F5136" w:rsidRDefault="00D35E21" w:rsidP="005E4694">
            <w:pPr>
              <w:shd w:val="clear" w:color="auto" w:fill="FFFFFF"/>
              <w:spacing w:after="0" w:line="240" w:lineRule="auto"/>
              <w:ind w:right="850"/>
              <w:jc w:val="right"/>
              <w:rPr>
                <w:rFonts w:ascii="Times New Roman" w:eastAsia="Times New Roman" w:hAnsi="Times New Roman" w:cs="Times New Roman"/>
                <w:b/>
                <w:bCs/>
                <w:i/>
                <w:iCs/>
                <w:sz w:val="18"/>
                <w:szCs w:val="18"/>
                <w:lang w:eastAsia="ro-MD"/>
              </w:rPr>
            </w:pPr>
            <w:r w:rsidRPr="006F5136">
              <w:rPr>
                <w:rFonts w:ascii="Times New Roman" w:eastAsia="Times New Roman" w:hAnsi="Times New Roman" w:cs="Times New Roman"/>
                <w:b/>
                <w:bCs/>
                <w:i/>
                <w:iCs/>
                <w:sz w:val="18"/>
                <w:szCs w:val="18"/>
                <w:lang w:eastAsia="ro-MD"/>
              </w:rPr>
              <w:t>Tabelul nr.6</w:t>
            </w:r>
            <w:r w:rsidRPr="006F5136">
              <w:rPr>
                <w:rFonts w:ascii="Times New Roman" w:eastAsia="Times New Roman" w:hAnsi="Times New Roman" w:cs="Times New Roman"/>
                <w:b/>
                <w:bCs/>
                <w:i/>
                <w:iCs/>
                <w:sz w:val="18"/>
                <w:szCs w:val="18"/>
                <w:vertAlign w:val="superscript"/>
                <w:lang w:eastAsia="ro-MD"/>
              </w:rPr>
              <w:t>2</w:t>
            </w:r>
          </w:p>
          <w:tbl>
            <w:tblPr>
              <w:tblW w:w="4651"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79"/>
              <w:gridCol w:w="492"/>
              <w:gridCol w:w="746"/>
              <w:gridCol w:w="746"/>
              <w:gridCol w:w="746"/>
              <w:gridCol w:w="798"/>
              <w:gridCol w:w="544"/>
            </w:tblGrid>
            <w:tr w:rsidR="00D35E21" w:rsidRPr="006F5136" w14:paraId="7D81B9D1" w14:textId="77777777" w:rsidTr="00D35E21">
              <w:trPr>
                <w:trHeight w:val="412"/>
              </w:trPr>
              <w:tc>
                <w:tcPr>
                  <w:tcW w:w="579" w:type="dxa"/>
                  <w:tcBorders>
                    <w:top w:val="outset" w:sz="6" w:space="0" w:color="auto"/>
                    <w:left w:val="outset" w:sz="6" w:space="0" w:color="auto"/>
                    <w:bottom w:val="outset" w:sz="6" w:space="0" w:color="auto"/>
                    <w:right w:val="outset" w:sz="6" w:space="0" w:color="auto"/>
                  </w:tcBorders>
                  <w:shd w:val="clear" w:color="auto" w:fill="auto"/>
                  <w:hideMark/>
                </w:tcPr>
                <w:p w14:paraId="525CF229" w14:textId="77777777" w:rsidR="00D35E21" w:rsidRPr="006F5136" w:rsidRDefault="00D35E21" w:rsidP="005E4694">
                  <w:pPr>
                    <w:spacing w:after="0" w:line="240" w:lineRule="auto"/>
                    <w:jc w:val="both"/>
                    <w:rPr>
                      <w:rFonts w:ascii="Times New Roman" w:eastAsia="Times New Roman" w:hAnsi="Times New Roman" w:cs="Times New Roman"/>
                      <w:b/>
                      <w:bCs/>
                      <w:sz w:val="18"/>
                      <w:szCs w:val="18"/>
                      <w:lang w:eastAsia="ro-MD"/>
                    </w:rPr>
                  </w:pPr>
                  <w:r w:rsidRPr="006F5136">
                    <w:rPr>
                      <w:rFonts w:ascii="Times New Roman" w:eastAsia="Times New Roman" w:hAnsi="Times New Roman" w:cs="Times New Roman"/>
                      <w:b/>
                      <w:bCs/>
                      <w:sz w:val="18"/>
                      <w:szCs w:val="18"/>
                      <w:lang w:eastAsia="ro-MD"/>
                    </w:rPr>
                    <w:t>ETV</w:t>
                  </w:r>
                </w:p>
              </w:tc>
              <w:tc>
                <w:tcPr>
                  <w:tcW w:w="492" w:type="dxa"/>
                  <w:tcBorders>
                    <w:top w:val="outset" w:sz="6" w:space="0" w:color="auto"/>
                    <w:left w:val="outset" w:sz="6" w:space="0" w:color="auto"/>
                    <w:bottom w:val="outset" w:sz="6" w:space="0" w:color="auto"/>
                    <w:right w:val="outset" w:sz="6" w:space="0" w:color="auto"/>
                  </w:tcBorders>
                  <w:shd w:val="clear" w:color="auto" w:fill="auto"/>
                  <w:hideMark/>
                </w:tcPr>
                <w:p w14:paraId="52C2E835" w14:textId="77777777" w:rsidR="00D35E21" w:rsidRPr="006F5136" w:rsidRDefault="00D35E21" w:rsidP="005E4694">
                  <w:pPr>
                    <w:spacing w:after="0" w:line="240" w:lineRule="auto"/>
                    <w:jc w:val="both"/>
                    <w:rPr>
                      <w:rFonts w:ascii="Times New Roman" w:eastAsia="Times New Roman" w:hAnsi="Times New Roman" w:cs="Times New Roman"/>
                      <w:b/>
                      <w:bCs/>
                      <w:sz w:val="18"/>
                      <w:szCs w:val="18"/>
                      <w:lang w:eastAsia="ro-MD"/>
                    </w:rPr>
                  </w:pPr>
                  <w:r w:rsidRPr="006F5136">
                    <w:rPr>
                      <w:rFonts w:ascii="Times New Roman" w:eastAsia="Times New Roman" w:hAnsi="Times New Roman" w:cs="Times New Roman"/>
                      <w:b/>
                      <w:bCs/>
                      <w:sz w:val="18"/>
                      <w:szCs w:val="18"/>
                      <w:lang w:eastAsia="ro-MD"/>
                    </w:rPr>
                    <w:t>ETV ≤ 50 %</w:t>
                  </w:r>
                </w:p>
              </w:tc>
              <w:tc>
                <w:tcPr>
                  <w:tcW w:w="746" w:type="dxa"/>
                  <w:tcBorders>
                    <w:top w:val="outset" w:sz="6" w:space="0" w:color="auto"/>
                    <w:left w:val="outset" w:sz="6" w:space="0" w:color="auto"/>
                    <w:bottom w:val="outset" w:sz="6" w:space="0" w:color="auto"/>
                    <w:right w:val="outset" w:sz="6" w:space="0" w:color="auto"/>
                  </w:tcBorders>
                  <w:shd w:val="clear" w:color="auto" w:fill="auto"/>
                  <w:hideMark/>
                </w:tcPr>
                <w:p w14:paraId="1A5326E0" w14:textId="77777777" w:rsidR="00D35E21" w:rsidRPr="006F5136" w:rsidRDefault="00D35E21" w:rsidP="005E4694">
                  <w:pPr>
                    <w:spacing w:after="0" w:line="240" w:lineRule="auto"/>
                    <w:jc w:val="both"/>
                    <w:rPr>
                      <w:rFonts w:ascii="Times New Roman" w:eastAsia="Times New Roman" w:hAnsi="Times New Roman" w:cs="Times New Roman"/>
                      <w:b/>
                      <w:bCs/>
                      <w:sz w:val="18"/>
                      <w:szCs w:val="18"/>
                      <w:lang w:eastAsia="ro-MD"/>
                    </w:rPr>
                  </w:pPr>
                  <w:r w:rsidRPr="006F5136">
                    <w:rPr>
                      <w:rFonts w:ascii="Times New Roman" w:eastAsia="Times New Roman" w:hAnsi="Times New Roman" w:cs="Times New Roman"/>
                      <w:b/>
                      <w:bCs/>
                      <w:sz w:val="18"/>
                      <w:szCs w:val="18"/>
                      <w:lang w:eastAsia="ro-MD"/>
                    </w:rPr>
                    <w:t>50 % &lt; ETV ≤ 60 %</w:t>
                  </w:r>
                </w:p>
              </w:tc>
              <w:tc>
                <w:tcPr>
                  <w:tcW w:w="746" w:type="dxa"/>
                  <w:tcBorders>
                    <w:top w:val="outset" w:sz="6" w:space="0" w:color="auto"/>
                    <w:left w:val="outset" w:sz="6" w:space="0" w:color="auto"/>
                    <w:bottom w:val="outset" w:sz="6" w:space="0" w:color="auto"/>
                    <w:right w:val="outset" w:sz="6" w:space="0" w:color="auto"/>
                  </w:tcBorders>
                  <w:shd w:val="clear" w:color="auto" w:fill="auto"/>
                  <w:hideMark/>
                </w:tcPr>
                <w:p w14:paraId="03072F41" w14:textId="77777777" w:rsidR="00D35E21" w:rsidRPr="006F5136" w:rsidRDefault="00D35E21" w:rsidP="005E4694">
                  <w:pPr>
                    <w:spacing w:after="0" w:line="240" w:lineRule="auto"/>
                    <w:jc w:val="both"/>
                    <w:rPr>
                      <w:rFonts w:ascii="Times New Roman" w:eastAsia="Times New Roman" w:hAnsi="Times New Roman" w:cs="Times New Roman"/>
                      <w:b/>
                      <w:bCs/>
                      <w:sz w:val="18"/>
                      <w:szCs w:val="18"/>
                      <w:lang w:eastAsia="ro-MD"/>
                    </w:rPr>
                  </w:pPr>
                  <w:r w:rsidRPr="006F5136">
                    <w:rPr>
                      <w:rFonts w:ascii="Times New Roman" w:eastAsia="Times New Roman" w:hAnsi="Times New Roman" w:cs="Times New Roman"/>
                      <w:b/>
                      <w:bCs/>
                      <w:sz w:val="18"/>
                      <w:szCs w:val="18"/>
                      <w:lang w:eastAsia="ro-MD"/>
                    </w:rPr>
                    <w:t>60 % &lt; ETV ≤ 80 %</w:t>
                  </w:r>
                </w:p>
              </w:tc>
              <w:tc>
                <w:tcPr>
                  <w:tcW w:w="746" w:type="dxa"/>
                  <w:tcBorders>
                    <w:top w:val="outset" w:sz="6" w:space="0" w:color="auto"/>
                    <w:left w:val="outset" w:sz="6" w:space="0" w:color="auto"/>
                    <w:bottom w:val="outset" w:sz="6" w:space="0" w:color="auto"/>
                    <w:right w:val="outset" w:sz="6" w:space="0" w:color="auto"/>
                  </w:tcBorders>
                  <w:shd w:val="clear" w:color="auto" w:fill="auto"/>
                  <w:hideMark/>
                </w:tcPr>
                <w:p w14:paraId="45AC75DA" w14:textId="77777777" w:rsidR="00D35E21" w:rsidRPr="006F5136" w:rsidRDefault="00D35E21" w:rsidP="005E4694">
                  <w:pPr>
                    <w:spacing w:after="0" w:line="240" w:lineRule="auto"/>
                    <w:jc w:val="both"/>
                    <w:rPr>
                      <w:rFonts w:ascii="Times New Roman" w:eastAsia="Times New Roman" w:hAnsi="Times New Roman" w:cs="Times New Roman"/>
                      <w:b/>
                      <w:bCs/>
                      <w:sz w:val="18"/>
                      <w:szCs w:val="18"/>
                      <w:lang w:eastAsia="ro-MD"/>
                    </w:rPr>
                  </w:pPr>
                  <w:r w:rsidRPr="006F5136">
                    <w:rPr>
                      <w:rFonts w:ascii="Times New Roman" w:eastAsia="Times New Roman" w:hAnsi="Times New Roman" w:cs="Times New Roman"/>
                      <w:b/>
                      <w:bCs/>
                      <w:sz w:val="18"/>
                      <w:szCs w:val="18"/>
                      <w:lang w:eastAsia="ro-MD"/>
                    </w:rPr>
                    <w:t>80 % &lt; ETV ≤ 90 %</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14:paraId="0432109B" w14:textId="77777777" w:rsidR="00D35E21" w:rsidRPr="006F5136" w:rsidRDefault="00D35E21" w:rsidP="005E4694">
                  <w:pPr>
                    <w:spacing w:after="0" w:line="240" w:lineRule="auto"/>
                    <w:jc w:val="both"/>
                    <w:rPr>
                      <w:rFonts w:ascii="Times New Roman" w:eastAsia="Times New Roman" w:hAnsi="Times New Roman" w:cs="Times New Roman"/>
                      <w:b/>
                      <w:bCs/>
                      <w:sz w:val="18"/>
                      <w:szCs w:val="18"/>
                      <w:lang w:eastAsia="ro-MD"/>
                    </w:rPr>
                  </w:pPr>
                  <w:r w:rsidRPr="006F5136">
                    <w:rPr>
                      <w:rFonts w:ascii="Times New Roman" w:eastAsia="Times New Roman" w:hAnsi="Times New Roman" w:cs="Times New Roman"/>
                      <w:b/>
                      <w:bCs/>
                      <w:sz w:val="18"/>
                      <w:szCs w:val="18"/>
                      <w:lang w:eastAsia="ro-MD"/>
                    </w:rPr>
                    <w:t>90 % &lt; ETV ≤ 100 %</w:t>
                  </w:r>
                </w:p>
              </w:tc>
              <w:tc>
                <w:tcPr>
                  <w:tcW w:w="544" w:type="dxa"/>
                  <w:tcBorders>
                    <w:top w:val="outset" w:sz="6" w:space="0" w:color="auto"/>
                    <w:left w:val="outset" w:sz="6" w:space="0" w:color="auto"/>
                    <w:bottom w:val="outset" w:sz="6" w:space="0" w:color="auto"/>
                    <w:right w:val="outset" w:sz="6" w:space="0" w:color="auto"/>
                  </w:tcBorders>
                  <w:shd w:val="clear" w:color="auto" w:fill="auto"/>
                  <w:hideMark/>
                </w:tcPr>
                <w:p w14:paraId="0FB3BDB6" w14:textId="77777777" w:rsidR="00D35E21" w:rsidRPr="006F5136" w:rsidRDefault="00D35E21" w:rsidP="005E4694">
                  <w:pPr>
                    <w:spacing w:after="0" w:line="240" w:lineRule="auto"/>
                    <w:jc w:val="both"/>
                    <w:rPr>
                      <w:rFonts w:ascii="Times New Roman" w:eastAsia="Times New Roman" w:hAnsi="Times New Roman" w:cs="Times New Roman"/>
                      <w:b/>
                      <w:bCs/>
                      <w:sz w:val="18"/>
                      <w:szCs w:val="18"/>
                      <w:lang w:eastAsia="ro-MD"/>
                    </w:rPr>
                  </w:pPr>
                  <w:r w:rsidRPr="006F5136">
                    <w:rPr>
                      <w:rFonts w:ascii="Times New Roman" w:eastAsia="Times New Roman" w:hAnsi="Times New Roman" w:cs="Times New Roman"/>
                      <w:b/>
                      <w:bCs/>
                      <w:sz w:val="18"/>
                      <w:szCs w:val="18"/>
                      <w:lang w:eastAsia="ro-MD"/>
                    </w:rPr>
                    <w:t>ETV &gt; 100 %</w:t>
                  </w:r>
                </w:p>
              </w:tc>
            </w:tr>
            <w:tr w:rsidR="00D35E21" w:rsidRPr="006F5136" w14:paraId="757ECE40" w14:textId="77777777" w:rsidTr="00D35E21">
              <w:trPr>
                <w:trHeight w:val="404"/>
              </w:trPr>
              <w:tc>
                <w:tcPr>
                  <w:tcW w:w="579" w:type="dxa"/>
                  <w:tcBorders>
                    <w:top w:val="outset" w:sz="6" w:space="0" w:color="auto"/>
                    <w:left w:val="outset" w:sz="6" w:space="0" w:color="auto"/>
                    <w:bottom w:val="outset" w:sz="6" w:space="0" w:color="auto"/>
                    <w:right w:val="outset" w:sz="6" w:space="0" w:color="auto"/>
                  </w:tcBorders>
                  <w:shd w:val="clear" w:color="auto" w:fill="auto"/>
                  <w:hideMark/>
                </w:tcPr>
                <w:p w14:paraId="74C28ACC" w14:textId="77777777" w:rsidR="00D35E21" w:rsidRPr="006F5136" w:rsidRDefault="00D35E21"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Pondere de risc</w:t>
                  </w:r>
                </w:p>
              </w:tc>
              <w:tc>
                <w:tcPr>
                  <w:tcW w:w="492" w:type="dxa"/>
                  <w:tcBorders>
                    <w:top w:val="outset" w:sz="6" w:space="0" w:color="auto"/>
                    <w:left w:val="outset" w:sz="6" w:space="0" w:color="auto"/>
                    <w:bottom w:val="outset" w:sz="6" w:space="0" w:color="auto"/>
                    <w:right w:val="outset" w:sz="6" w:space="0" w:color="auto"/>
                  </w:tcBorders>
                  <w:shd w:val="clear" w:color="auto" w:fill="auto"/>
                  <w:hideMark/>
                </w:tcPr>
                <w:p w14:paraId="6653A852" w14:textId="77777777" w:rsidR="00D35E21" w:rsidRPr="006F5136" w:rsidRDefault="00D35E21"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30 %</w:t>
                  </w:r>
                </w:p>
              </w:tc>
              <w:tc>
                <w:tcPr>
                  <w:tcW w:w="746" w:type="dxa"/>
                  <w:tcBorders>
                    <w:top w:val="outset" w:sz="6" w:space="0" w:color="auto"/>
                    <w:left w:val="outset" w:sz="6" w:space="0" w:color="auto"/>
                    <w:bottom w:val="outset" w:sz="6" w:space="0" w:color="auto"/>
                    <w:right w:val="outset" w:sz="6" w:space="0" w:color="auto"/>
                  </w:tcBorders>
                  <w:shd w:val="clear" w:color="auto" w:fill="auto"/>
                  <w:hideMark/>
                </w:tcPr>
                <w:p w14:paraId="326D4781" w14:textId="77777777" w:rsidR="00D35E21" w:rsidRPr="006F5136" w:rsidRDefault="00D35E21"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35 %</w:t>
                  </w:r>
                </w:p>
              </w:tc>
              <w:tc>
                <w:tcPr>
                  <w:tcW w:w="746" w:type="dxa"/>
                  <w:tcBorders>
                    <w:top w:val="outset" w:sz="6" w:space="0" w:color="auto"/>
                    <w:left w:val="outset" w:sz="6" w:space="0" w:color="auto"/>
                    <w:bottom w:val="outset" w:sz="6" w:space="0" w:color="auto"/>
                    <w:right w:val="outset" w:sz="6" w:space="0" w:color="auto"/>
                  </w:tcBorders>
                  <w:shd w:val="clear" w:color="auto" w:fill="auto"/>
                  <w:hideMark/>
                </w:tcPr>
                <w:p w14:paraId="255CE10E" w14:textId="77777777" w:rsidR="00D35E21" w:rsidRPr="006F5136" w:rsidRDefault="00D35E21"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45 %</w:t>
                  </w:r>
                </w:p>
              </w:tc>
              <w:tc>
                <w:tcPr>
                  <w:tcW w:w="746" w:type="dxa"/>
                  <w:tcBorders>
                    <w:top w:val="outset" w:sz="6" w:space="0" w:color="auto"/>
                    <w:left w:val="outset" w:sz="6" w:space="0" w:color="auto"/>
                    <w:bottom w:val="outset" w:sz="6" w:space="0" w:color="auto"/>
                    <w:right w:val="outset" w:sz="6" w:space="0" w:color="auto"/>
                  </w:tcBorders>
                  <w:shd w:val="clear" w:color="auto" w:fill="auto"/>
                  <w:hideMark/>
                </w:tcPr>
                <w:p w14:paraId="77328A9C" w14:textId="77777777" w:rsidR="00D35E21" w:rsidRPr="006F5136" w:rsidRDefault="00D35E21"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60 %</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14:paraId="68FC692C" w14:textId="77777777" w:rsidR="00D35E21" w:rsidRPr="006F5136" w:rsidRDefault="00D35E21"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75 %</w:t>
                  </w:r>
                </w:p>
              </w:tc>
              <w:tc>
                <w:tcPr>
                  <w:tcW w:w="544" w:type="dxa"/>
                  <w:tcBorders>
                    <w:top w:val="outset" w:sz="6" w:space="0" w:color="auto"/>
                    <w:left w:val="outset" w:sz="6" w:space="0" w:color="auto"/>
                    <w:bottom w:val="outset" w:sz="6" w:space="0" w:color="auto"/>
                    <w:right w:val="outset" w:sz="6" w:space="0" w:color="auto"/>
                  </w:tcBorders>
                  <w:shd w:val="clear" w:color="auto" w:fill="auto"/>
                  <w:hideMark/>
                </w:tcPr>
                <w:p w14:paraId="365BA968" w14:textId="77777777" w:rsidR="00D35E21" w:rsidRPr="006F5136" w:rsidRDefault="00D35E21"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105 %</w:t>
                  </w:r>
                </w:p>
              </w:tc>
            </w:tr>
          </w:tbl>
          <w:p w14:paraId="1CBB546E" w14:textId="77777777" w:rsidR="00D35E21" w:rsidRPr="006F5136" w:rsidRDefault="00D35E21" w:rsidP="005E4694">
            <w:pPr>
              <w:spacing w:after="0" w:line="240" w:lineRule="auto"/>
              <w:ind w:firstLine="567"/>
              <w:jc w:val="both"/>
              <w:rPr>
                <w:rFonts w:ascii="Times New Roman" w:eastAsia="Times New Roman" w:hAnsi="Times New Roman" w:cs="Times New Roman"/>
                <w:sz w:val="18"/>
                <w:szCs w:val="18"/>
                <w:lang w:val="ro-RO" w:eastAsia="ro-MD"/>
              </w:rPr>
            </w:pPr>
          </w:p>
          <w:p w14:paraId="5399C76B" w14:textId="77777777" w:rsidR="0027576A" w:rsidRPr="006F5136" w:rsidRDefault="0027576A" w:rsidP="005E4694">
            <w:pPr>
              <w:pStyle w:val="CM4"/>
              <w:tabs>
                <w:tab w:val="left" w:pos="150"/>
              </w:tabs>
              <w:ind w:left="-36"/>
              <w:jc w:val="both"/>
              <w:rPr>
                <w:rFonts w:ascii="Times New Roman" w:hAnsi="Times New Roman"/>
                <w:sz w:val="18"/>
                <w:szCs w:val="18"/>
                <w:lang w:val="ro-RO" w:eastAsia="ru-RU"/>
              </w:rPr>
            </w:pPr>
          </w:p>
          <w:p w14:paraId="1F052ADC" w14:textId="77777777" w:rsidR="00D35E21" w:rsidRPr="006F5136" w:rsidRDefault="00D35E21" w:rsidP="005E4694">
            <w:pPr>
              <w:spacing w:after="0" w:line="240" w:lineRule="auto"/>
              <w:jc w:val="both"/>
              <w:rPr>
                <w:rFonts w:ascii="Times New Roman" w:eastAsia="Times New Roman" w:hAnsi="Times New Roman" w:cs="Times New Roman"/>
                <w:b/>
                <w:bCs/>
                <w:sz w:val="18"/>
                <w:szCs w:val="18"/>
                <w:lang w:val="ro-RO" w:eastAsia="ro-MD"/>
              </w:rPr>
            </w:pPr>
          </w:p>
          <w:p w14:paraId="4D843A4C" w14:textId="23F59295" w:rsidR="00D35E21" w:rsidRPr="006F5136" w:rsidRDefault="00D35E21"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70</w:t>
            </w:r>
            <w:r w:rsidRPr="006F5136">
              <w:rPr>
                <w:rFonts w:ascii="Times New Roman" w:eastAsia="Times New Roman" w:hAnsi="Times New Roman" w:cs="Times New Roman"/>
                <w:b/>
                <w:bCs/>
                <w:sz w:val="18"/>
                <w:szCs w:val="18"/>
                <w:vertAlign w:val="superscript"/>
                <w:lang w:val="ro-RO" w:eastAsia="ro-MD"/>
              </w:rPr>
              <w:t>2</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Prin derogare de la punctul 70, băncile pot aplica tratamentul menționat la punctele 69-69</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 xml:space="preserve"> expunerilor garantate cu bunuri imobile locative situate pe teritoriul unui stat membru al Uniunii Europene, în cazul în care autoritatea competentă a statului membru al Uniunii Europene respectiv a publicat, ratele pierderilor pentru astfel de expuneri care, pe baza datelor agregate raportate de băncile din respectivul stat membru al Uniunii Europene pentru piața imobiliară națională respectivă, nu depășesc niciuna dintre următoarele limite pentru pierderile agregate pentru astfel de expuneri în anul precedent:</w:t>
            </w:r>
          </w:p>
          <w:p w14:paraId="64BD5B0F" w14:textId="77777777" w:rsidR="00D35E21" w:rsidRPr="006F5136" w:rsidRDefault="00D35E21"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cuantumul agregat raportat de bănci în temeiul punctului 1 subpunctului 1) din anexa nr.2</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 xml:space="preserve"> împărțit la cuantumul agregat raportat de bănci în temeiul punctului 1 subpunctului 3) din anexa nr.2</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 xml:space="preserve"> nu depășește 0,3  %;</w:t>
            </w:r>
          </w:p>
          <w:p w14:paraId="2D9C218A" w14:textId="77777777" w:rsidR="00D35E21" w:rsidRPr="006F5136" w:rsidRDefault="00D35E21"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cuantumul agregat raportat de bănci în temeiul punctului 1 subpunctului 2) din anexa nr.2</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 xml:space="preserve"> împărțit la cuantumul agregat raportat de bănci în temeiul punctului 1 subpunctului 3) din anexa nr.2</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 xml:space="preserve"> nu depășește 0,5  %.</w:t>
            </w:r>
          </w:p>
          <w:p w14:paraId="140398C0" w14:textId="59BF8844" w:rsidR="00D35E21" w:rsidRPr="006F5136" w:rsidRDefault="00D35E21" w:rsidP="005E4694">
            <w:pPr>
              <w:spacing w:after="0" w:line="240" w:lineRule="auto"/>
              <w:rPr>
                <w:rFonts w:ascii="Times New Roman" w:hAnsi="Times New Roman" w:cs="Times New Roman"/>
                <w:sz w:val="18"/>
                <w:szCs w:val="18"/>
                <w:lang w:val="ro-RO" w:eastAsia="ru-RU"/>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607EC407" w14:textId="463DEB44" w:rsidR="0027576A" w:rsidRPr="006F5136" w:rsidRDefault="0027576A" w:rsidP="001414D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5EAEE491" w14:textId="50777202" w:rsidR="0027576A" w:rsidRPr="006F5136" w:rsidRDefault="004C773E" w:rsidP="001414D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1414D9" w:rsidRPr="006F5136" w14:paraId="2404F8C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0A5DE6E" w14:textId="77777777" w:rsidR="001414D9" w:rsidRPr="006F5136" w:rsidRDefault="001414D9" w:rsidP="001414D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   Instituțiile pot aplica derogarea menționată la alineatul (2) al treilea paragraf din prezentul articol și în cazurile în care autoritatea competentă a unei țări terțe care aplică mecanisme de supraveghere și de reglementare cel puțin echivalente cu cele aplicate în Uniune, astfel cum s-a stabilit printr-o decizie a Comisiei adoptată în conformitate cu articolul 107 alineatul (4), publică ratele pierderilor corespunzătoare pentru expunerile garantate cu bunuri imobile locative situate pe teritoriul țării terțe respective.</w:t>
            </w:r>
          </w:p>
          <w:p w14:paraId="0EC566FA" w14:textId="53BFC3A7" w:rsidR="001414D9" w:rsidRPr="006F5136" w:rsidRDefault="001414D9" w:rsidP="001414D9">
            <w:pPr>
              <w:pStyle w:val="CM4"/>
              <w:tabs>
                <w:tab w:val="left" w:pos="150"/>
              </w:tabs>
              <w:ind w:left="-43"/>
              <w:jc w:val="both"/>
              <w:rPr>
                <w:rFonts w:ascii="Times New Roman" w:hAnsi="Times New Roman"/>
                <w:sz w:val="18"/>
                <w:szCs w:val="18"/>
                <w:lang w:val="ro-RO"/>
              </w:rPr>
            </w:pPr>
          </w:p>
        </w:tc>
        <w:tc>
          <w:tcPr>
            <w:tcW w:w="1661" w:type="pct"/>
            <w:shd w:val="clear" w:color="auto" w:fill="auto"/>
          </w:tcPr>
          <w:p w14:paraId="3940FC91" w14:textId="77777777" w:rsidR="001414D9" w:rsidRPr="006F5136" w:rsidRDefault="001414D9" w:rsidP="001414D9">
            <w:pPr>
              <w:pStyle w:val="CM4"/>
              <w:tabs>
                <w:tab w:val="left" w:pos="150"/>
              </w:tabs>
              <w:ind w:left="-36"/>
              <w:rPr>
                <w:rFonts w:ascii="Times New Roman" w:hAnsi="Times New Roman"/>
                <w:sz w:val="18"/>
                <w:szCs w:val="18"/>
                <w:lang w:val="ro-RO" w:eastAsia="ro-MD"/>
              </w:rPr>
            </w:pPr>
            <w:r w:rsidRPr="006F5136">
              <w:rPr>
                <w:rFonts w:ascii="Times New Roman" w:hAnsi="Times New Roman"/>
                <w:b/>
                <w:bCs/>
                <w:sz w:val="18"/>
                <w:szCs w:val="18"/>
                <w:lang w:val="ro-RO" w:eastAsia="ro-MD"/>
              </w:rPr>
              <w:t>70</w:t>
            </w:r>
            <w:r w:rsidRPr="006F5136">
              <w:rPr>
                <w:rFonts w:ascii="Times New Roman" w:hAnsi="Times New Roman"/>
                <w:b/>
                <w:bCs/>
                <w:sz w:val="18"/>
                <w:szCs w:val="18"/>
                <w:vertAlign w:val="superscript"/>
                <w:lang w:val="ro-RO" w:eastAsia="ro-MD"/>
              </w:rPr>
              <w:t>3</w:t>
            </w:r>
            <w:r w:rsidRPr="006F5136">
              <w:rPr>
                <w:rFonts w:ascii="Times New Roman" w:hAnsi="Times New Roman"/>
                <w:b/>
                <w:bCs/>
                <w:sz w:val="18"/>
                <w:szCs w:val="18"/>
                <w:lang w:val="ro-RO" w:eastAsia="ro-MD"/>
              </w:rPr>
              <w:t>.</w:t>
            </w:r>
            <w:r w:rsidRPr="006F5136">
              <w:rPr>
                <w:rFonts w:ascii="Times New Roman" w:hAnsi="Times New Roman"/>
                <w:sz w:val="18"/>
                <w:szCs w:val="18"/>
                <w:lang w:val="ro-RO" w:eastAsia="ro-MD"/>
              </w:rPr>
              <w:t xml:space="preserve"> Băncile pot aplica derogarea menționată la punctul 70</w:t>
            </w:r>
            <w:r w:rsidRPr="006F5136">
              <w:rPr>
                <w:rFonts w:ascii="Times New Roman" w:hAnsi="Times New Roman"/>
                <w:sz w:val="18"/>
                <w:szCs w:val="18"/>
                <w:vertAlign w:val="superscript"/>
                <w:lang w:val="ro-RO" w:eastAsia="ro-MD"/>
              </w:rPr>
              <w:t>2</w:t>
            </w:r>
            <w:r w:rsidRPr="006F5136">
              <w:rPr>
                <w:rFonts w:ascii="Times New Roman" w:hAnsi="Times New Roman"/>
                <w:sz w:val="18"/>
                <w:szCs w:val="18"/>
                <w:lang w:val="ro-RO" w:eastAsia="ro-MD"/>
              </w:rPr>
              <w:t xml:space="preserve"> și în cazurile în care autoritatea competentă a unei țări terțe care aplică mecanisme de supraveghere și de reglementare cel puțin echivalente cu cele aplicate în Republica Moldova, publică ratele pierderilor corespunzătoare pentru expunerile garantate cu bunuri imobile locative situate pe teritoriul țării terțe respective.</w:t>
            </w:r>
          </w:p>
          <w:p w14:paraId="616AA427" w14:textId="0D262563" w:rsidR="001414D9" w:rsidRPr="006F5136" w:rsidRDefault="001414D9" w:rsidP="001414D9">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532865C7" w14:textId="3AFF9463" w:rsidR="001414D9" w:rsidRPr="006F5136" w:rsidRDefault="001414D9" w:rsidP="001414D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4FD55590" w14:textId="7D070FD1" w:rsidR="001414D9" w:rsidRPr="006F5136" w:rsidRDefault="001414D9" w:rsidP="001414D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7A585A3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ECEF10B" w14:textId="6AEB8DE7" w:rsidR="0027576A" w:rsidRPr="006F5136" w:rsidRDefault="00347E29"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În cazul în care o autoritate competentă a unei țări terțe nu publică ratele pierderilor corespunzătoare expunerilor garantate cu bunuri imobile locative situate pe teritoriul țării terțe respective, ABE poate publica aceste informații pentru țara terță respectivă, cu condiția să fie disponibile date statistice valabile care sunt reprezentative din punct de vedere statistic pentru piața imobiliară locativă în cauză.</w:t>
            </w:r>
          </w:p>
        </w:tc>
        <w:tc>
          <w:tcPr>
            <w:tcW w:w="1661" w:type="pct"/>
            <w:shd w:val="clear" w:color="auto" w:fill="auto"/>
          </w:tcPr>
          <w:p w14:paraId="7A40C71D"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2223A277" w14:textId="4C4F3943" w:rsidR="0027576A" w:rsidRPr="006F5136" w:rsidRDefault="006875FF"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Prevederi UE</w:t>
            </w:r>
            <w:r w:rsidR="00E73A1A" w:rsidRPr="006F5136">
              <w:rPr>
                <w:rFonts w:ascii="Times New Roman" w:hAnsi="Times New Roman" w:cs="Times New Roman"/>
                <w:sz w:val="18"/>
                <w:szCs w:val="18"/>
                <w:lang w:val="ro-RO"/>
              </w:rPr>
              <w:t xml:space="preserve"> </w:t>
            </w:r>
            <w:r w:rsidRPr="006F5136">
              <w:rPr>
                <w:rFonts w:ascii="Times New Roman" w:hAnsi="Times New Roman" w:cs="Times New Roman"/>
                <w:sz w:val="18"/>
                <w:szCs w:val="18"/>
                <w:lang w:val="ro-RO"/>
              </w:rPr>
              <w:t>neaplicabile</w:t>
            </w:r>
          </w:p>
        </w:tc>
        <w:tc>
          <w:tcPr>
            <w:tcW w:w="912" w:type="pct"/>
          </w:tcPr>
          <w:p w14:paraId="4C1C7DAE" w14:textId="4C22EBBF" w:rsidR="0027576A" w:rsidRPr="006F5136" w:rsidRDefault="006875FF"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Vizează atribuțiile ABE.</w:t>
            </w:r>
          </w:p>
        </w:tc>
      </w:tr>
      <w:tr w:rsidR="001414D9" w:rsidRPr="006F5136" w14:paraId="2D08CD87"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74F43BB" w14:textId="211466A8" w:rsidR="001414D9" w:rsidRPr="006F5136" w:rsidRDefault="001414D9" w:rsidP="001414D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126</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Expuneri garantate cu ipoteci asupra bunurilor imobile comerciale</w:t>
            </w:r>
          </w:p>
          <w:p w14:paraId="1149A699" w14:textId="77777777" w:rsidR="001414D9" w:rsidRPr="006F5136" w:rsidRDefault="001414D9" w:rsidP="001414D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 Pentru o expunere garantată cu bunuri imobile comerciale astfel cum se menționează la articolul 124 alineatul (2) litera (b) punctul (i), partea din expunere de până la 55 % din valoarea bunului imobil primește o pondere de risc de 60 %.</w:t>
            </w:r>
          </w:p>
          <w:p w14:paraId="5188EC6F" w14:textId="77777777" w:rsidR="001414D9" w:rsidRPr="006F5136" w:rsidRDefault="001414D9" w:rsidP="001414D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În cazul în care o instituție deține un drept de ipotecă de rang inferior și există drepturi de ipotecă de rang superior care nu sunt deținute de instituția respectivă, pentru a determina partea din expunerea instituției care este eligibilă pentru ponderea de risc de 60 %, cuantumul de 55 % din valoarea bunului imobil se reduce cu cuantumul drepturilor de ipotecă de rang superior care nu sunt deținute de instituție.</w:t>
            </w:r>
          </w:p>
          <w:p w14:paraId="0CE348A7" w14:textId="77777777" w:rsidR="001414D9" w:rsidRPr="006F5136" w:rsidRDefault="001414D9" w:rsidP="001414D9">
            <w:pPr>
              <w:pStyle w:val="CM4"/>
              <w:tabs>
                <w:tab w:val="left" w:pos="150"/>
              </w:tabs>
              <w:ind w:left="-43"/>
              <w:jc w:val="both"/>
              <w:rPr>
                <w:rFonts w:ascii="Times New Roman" w:hAnsi="Times New Roman"/>
                <w:iCs/>
                <w:sz w:val="18"/>
                <w:szCs w:val="18"/>
                <w:lang w:val="ro-RO" w:eastAsia="ru-RU"/>
              </w:rPr>
            </w:pPr>
          </w:p>
          <w:p w14:paraId="0666D87B" w14:textId="77777777" w:rsidR="001414D9" w:rsidRPr="006F5136" w:rsidRDefault="001414D9" w:rsidP="001414D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În cazul în care drepturile de ipotecă care nu sunt deținute de instituție sunt de rang egal cu dreptul de ipotecă deținut de instituție, pentru a determina partea din expunerea instituției care este eligibilă pentru ponderea de risc de 60 %, cuantumul de 55 % din valoarea bunului imobil, din care se scade cuantumul oricăror drepturi de ipotecă de rang superior care nu sunt deținute de instituție, se reduce cu produsul dintre:</w:t>
            </w:r>
          </w:p>
          <w:p w14:paraId="328BA7CC" w14:textId="77777777" w:rsidR="001414D9" w:rsidRPr="006F5136" w:rsidRDefault="001414D9" w:rsidP="001414D9">
            <w:pPr>
              <w:pStyle w:val="CM4"/>
              <w:tabs>
                <w:tab w:val="left" w:pos="150"/>
              </w:tabs>
              <w:ind w:left="-43"/>
              <w:jc w:val="both"/>
              <w:rPr>
                <w:rFonts w:ascii="Times New Roman" w:hAnsi="Times New Roman"/>
                <w:iCs/>
                <w:sz w:val="18"/>
                <w:szCs w:val="18"/>
                <w:lang w:val="ro-RO" w:eastAsia="ru-RU"/>
              </w:rPr>
            </w:pPr>
          </w:p>
          <w:p w14:paraId="4DE7242A" w14:textId="7C7DE604" w:rsidR="001414D9" w:rsidRPr="006F5136" w:rsidRDefault="001414D9" w:rsidP="001414D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55 % din valoarea bunului imobil, din care se scade cuantumul drepturilor de ipotecă de rang superior, dacă există, deținute atât de instituție, cât și de alte instituții; și</w:t>
            </w:r>
          </w:p>
          <w:p w14:paraId="37634B4E" w14:textId="77777777" w:rsidR="001414D9" w:rsidRPr="006F5136" w:rsidRDefault="001414D9" w:rsidP="001414D9">
            <w:pPr>
              <w:pStyle w:val="CM4"/>
              <w:tabs>
                <w:tab w:val="left" w:pos="150"/>
              </w:tabs>
              <w:ind w:left="-43"/>
              <w:jc w:val="both"/>
              <w:rPr>
                <w:rFonts w:ascii="Times New Roman" w:hAnsi="Times New Roman"/>
                <w:iCs/>
                <w:sz w:val="18"/>
                <w:szCs w:val="18"/>
                <w:lang w:val="ro-RO" w:eastAsia="ru-RU"/>
              </w:rPr>
            </w:pPr>
          </w:p>
          <w:p w14:paraId="576159EF" w14:textId="5113B7C5" w:rsidR="001414D9" w:rsidRPr="006F5136" w:rsidRDefault="001414D9" w:rsidP="001414D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cuantumul drepturilor de ipotecă care nu sunt deținute de instituție și care sunt de rang egal cu dreptul de ipotecă deținut de instituție împărțit la suma tuturor drepturilor de ipotecă de rang egal.</w:t>
            </w:r>
          </w:p>
          <w:p w14:paraId="4CC4025C" w14:textId="77777777" w:rsidR="001414D9" w:rsidRPr="006F5136" w:rsidRDefault="001414D9" w:rsidP="001414D9">
            <w:pPr>
              <w:pStyle w:val="CM4"/>
              <w:tabs>
                <w:tab w:val="left" w:pos="150"/>
              </w:tabs>
              <w:ind w:left="-43"/>
              <w:jc w:val="both"/>
              <w:rPr>
                <w:rFonts w:ascii="Times New Roman" w:hAnsi="Times New Roman"/>
                <w:iCs/>
                <w:sz w:val="18"/>
                <w:szCs w:val="18"/>
                <w:lang w:val="ro-RO" w:eastAsia="ru-RU"/>
              </w:rPr>
            </w:pPr>
          </w:p>
          <w:p w14:paraId="169B69C7" w14:textId="77777777" w:rsidR="001414D9" w:rsidRPr="006F5136" w:rsidRDefault="001414D9" w:rsidP="001414D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În cazul în care, în conformitate cu articolul 124 alineatul (9), autoritatea competentă sau desemnată a stabilit o pondere de risc mai ridicată sau un procentaj mai mic din valoarea bunului imobil decât cele menționate la prezentul alineat, instituțiile utilizează ponderea de risc sau procentajul stabilite în conformitate cu articolul 124 alineatul (9).</w:t>
            </w:r>
          </w:p>
          <w:p w14:paraId="6335AF6A" w14:textId="77777777" w:rsidR="001414D9" w:rsidRPr="006F5136" w:rsidRDefault="001414D9" w:rsidP="001414D9">
            <w:pPr>
              <w:pStyle w:val="CM4"/>
              <w:tabs>
                <w:tab w:val="left" w:pos="150"/>
              </w:tabs>
              <w:ind w:left="-43"/>
              <w:jc w:val="both"/>
              <w:rPr>
                <w:rFonts w:ascii="Times New Roman" w:hAnsi="Times New Roman"/>
                <w:iCs/>
                <w:sz w:val="18"/>
                <w:szCs w:val="18"/>
                <w:lang w:val="ro-RO" w:eastAsia="ru-RU"/>
              </w:rPr>
            </w:pPr>
          </w:p>
          <w:p w14:paraId="09D61E24" w14:textId="1D975139" w:rsidR="001414D9" w:rsidRPr="006F5136" w:rsidRDefault="001414D9" w:rsidP="001414D9">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Partea rămasă a expunerii menționată la primul paragraf, dacă există, este ponderată la risc ca o expunere la o contraparte care nu este garantată cu bunuri imobile comerciale.</w:t>
            </w:r>
          </w:p>
        </w:tc>
        <w:tc>
          <w:tcPr>
            <w:tcW w:w="1661" w:type="pct"/>
            <w:shd w:val="clear" w:color="auto" w:fill="auto"/>
          </w:tcPr>
          <w:p w14:paraId="51CA2543" w14:textId="4047D4CB" w:rsidR="001414D9" w:rsidRPr="006F5136" w:rsidRDefault="001414D9" w:rsidP="001414D9">
            <w:pPr>
              <w:pStyle w:val="CM4"/>
              <w:tabs>
                <w:tab w:val="left" w:pos="150"/>
              </w:tabs>
              <w:ind w:left="-36"/>
              <w:jc w:val="both"/>
              <w:rPr>
                <w:rFonts w:ascii="Times New Roman" w:hAnsi="Times New Roman"/>
                <w:sz w:val="18"/>
                <w:szCs w:val="18"/>
                <w:lang w:val="ro-RO" w:eastAsia="ru-RU"/>
              </w:rPr>
            </w:pPr>
            <w:r w:rsidRPr="006F5136">
              <w:rPr>
                <w:rFonts w:ascii="Times New Roman" w:hAnsi="Times New Roman"/>
                <w:sz w:val="18"/>
                <w:szCs w:val="18"/>
                <w:lang w:val="ro-RO" w:eastAsia="ru-RU"/>
              </w:rPr>
              <w:t xml:space="preserve">Secțiunea a 13-a. </w:t>
            </w:r>
            <w:r w:rsidRPr="006F5136">
              <w:rPr>
                <w:rFonts w:ascii="Times New Roman" w:hAnsi="Times New Roman"/>
                <w:b/>
                <w:bCs/>
                <w:sz w:val="18"/>
                <w:szCs w:val="18"/>
                <w:lang w:val="ro-RO" w:eastAsia="ru-RU"/>
              </w:rPr>
              <w:t>Expuneri garantate cu ipoteci asupra bunurilor imobile comerciale</w:t>
            </w:r>
          </w:p>
          <w:p w14:paraId="6ACBB6F5" w14:textId="2C7CD6F5" w:rsidR="001414D9" w:rsidRPr="006F5136" w:rsidRDefault="001414D9" w:rsidP="001414D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hAnsi="Times New Roman" w:cs="Times New Roman"/>
                <w:sz w:val="18"/>
                <w:szCs w:val="18"/>
                <w:lang w:val="ro-RO" w:eastAsia="ru-RU"/>
              </w:rPr>
              <w:t xml:space="preserve"> </w:t>
            </w:r>
            <w:r w:rsidRPr="006F5136">
              <w:rPr>
                <w:rFonts w:ascii="Times New Roman" w:eastAsia="Times New Roman" w:hAnsi="Times New Roman" w:cs="Times New Roman"/>
                <w:b/>
                <w:bCs/>
                <w:sz w:val="18"/>
                <w:szCs w:val="18"/>
                <w:lang w:val="ro-RO" w:eastAsia="ro-MD"/>
              </w:rPr>
              <w:t xml:space="preserve">71. </w:t>
            </w:r>
            <w:r w:rsidRPr="006F5136">
              <w:rPr>
                <w:rFonts w:ascii="Times New Roman" w:eastAsia="Times New Roman" w:hAnsi="Times New Roman" w:cs="Times New Roman"/>
                <w:sz w:val="18"/>
                <w:szCs w:val="18"/>
                <w:lang w:val="ro-RO" w:eastAsia="ro-MD"/>
              </w:rPr>
              <w:t xml:space="preserve">Pentru o expunere garantată cu bunuri imobile comerciale astfel cum se menționează la punctul 66 subpunctul 2) litera a), partea din expunere de până la 55 % din valoarea </w:t>
            </w:r>
            <w:r w:rsidRPr="006F5136">
              <w:rPr>
                <w:rFonts w:ascii="Times New Roman" w:hAnsi="Times New Roman" w:cs="Times New Roman"/>
                <w:sz w:val="18"/>
                <w:szCs w:val="18"/>
              </w:rPr>
              <w:t xml:space="preserve"> </w:t>
            </w:r>
            <w:r w:rsidRPr="006F5136">
              <w:rPr>
                <w:rFonts w:ascii="Times New Roman" w:eastAsia="Times New Roman" w:hAnsi="Times New Roman" w:cs="Times New Roman"/>
                <w:sz w:val="18"/>
                <w:szCs w:val="18"/>
                <w:lang w:val="ro-RO" w:eastAsia="ro-MD"/>
              </w:rPr>
              <w:t>de piață a bunului imobil primește o pondere de risc de 60 %.</w:t>
            </w:r>
          </w:p>
          <w:p w14:paraId="2436C0E7" w14:textId="473FE17F" w:rsidR="001414D9" w:rsidRPr="006F5136" w:rsidRDefault="001414D9" w:rsidP="001414D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71</w:t>
            </w:r>
            <w:r w:rsidRPr="006F5136">
              <w:rPr>
                <w:rFonts w:ascii="Times New Roman" w:eastAsia="Times New Roman" w:hAnsi="Times New Roman" w:cs="Times New Roman"/>
                <w:b/>
                <w:bCs/>
                <w:sz w:val="18"/>
                <w:szCs w:val="18"/>
                <w:vertAlign w:val="superscript"/>
                <w:lang w:val="ro-RO" w:eastAsia="ro-MD"/>
              </w:rPr>
              <w:t>1</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În cazul în care banca deține un drept de ipotecă de rang inferior și există drepturi de ipotecă de rang superior care nu sunt deținute de banca respectivă, pentru a determina partea din expunerea băncii care este eligibilă pentru ponderea de risc de 60 %, cuantumul de 55 % din valoarea</w:t>
            </w:r>
            <w:r w:rsidRPr="006F5136">
              <w:rPr>
                <w:rFonts w:ascii="Times New Roman" w:hAnsi="Times New Roman" w:cs="Times New Roman"/>
                <w:sz w:val="18"/>
                <w:szCs w:val="18"/>
              </w:rPr>
              <w:t xml:space="preserve"> </w:t>
            </w:r>
            <w:r w:rsidRPr="006F5136">
              <w:rPr>
                <w:rFonts w:ascii="Times New Roman" w:eastAsia="Times New Roman" w:hAnsi="Times New Roman" w:cs="Times New Roman"/>
                <w:sz w:val="18"/>
                <w:szCs w:val="18"/>
                <w:lang w:val="ro-RO" w:eastAsia="ro-MD"/>
              </w:rPr>
              <w:t>de piață a bunului imobil se reduce cu cuantumul drepturilor de ipotecă de rang superior care nu sunt deținute de bancă.</w:t>
            </w:r>
          </w:p>
          <w:p w14:paraId="639326F9" w14:textId="77777777" w:rsidR="001414D9" w:rsidRPr="006F5136" w:rsidRDefault="001414D9" w:rsidP="001414D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71</w:t>
            </w:r>
            <w:r w:rsidRPr="006F5136">
              <w:rPr>
                <w:rFonts w:ascii="Times New Roman" w:eastAsia="Times New Roman" w:hAnsi="Times New Roman" w:cs="Times New Roman"/>
                <w:b/>
                <w:bCs/>
                <w:sz w:val="18"/>
                <w:szCs w:val="18"/>
                <w:vertAlign w:val="superscript"/>
                <w:lang w:val="ro-RO" w:eastAsia="ro-MD"/>
              </w:rPr>
              <w:t>2</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În cazul în care drepturile de ipotecă care nu sunt deținute de bancă sunt de rang egal cu dreptul de ipotecă deținut de bancă, pentru a determina partea din expunerea băncii care este eligibilă pentru ponderea de risc de 60 %, cuantumul de 55 % din valoarea de piață a bunului imobil, din care se scade cuantumul oricăror drepturi de ipotecă de rang superior care nu sunt deținute de bancă, se reduce cu produsul dintre:</w:t>
            </w:r>
          </w:p>
          <w:p w14:paraId="1F4AFC1F" w14:textId="77777777" w:rsidR="001414D9" w:rsidRPr="006F5136" w:rsidRDefault="001414D9" w:rsidP="001414D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55 % din valoarea de piață a bunului imobil, din care se scade cuantumul drepturilor de ipotecă de rang superior, dacă există, deținute atât de banca respectivă, cât și de alte bănci; și</w:t>
            </w:r>
          </w:p>
          <w:p w14:paraId="1AB6E6B0" w14:textId="59F0CBCC" w:rsidR="001414D9" w:rsidRPr="006F5136" w:rsidRDefault="001414D9" w:rsidP="001414D9">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cuantumul drepturilor de ipotecă care nu sunt deținute de bancă și care sunt de rang egal cu dreptul de ipotecă deținut de bancă împărțit la suma tuturor drepturilor de ipotecă de rang egal.</w:t>
            </w:r>
          </w:p>
          <w:p w14:paraId="2E810EDB" w14:textId="77777777" w:rsidR="001414D9" w:rsidRPr="006F5136" w:rsidRDefault="001414D9" w:rsidP="001414D9">
            <w:pPr>
              <w:pStyle w:val="CM4"/>
              <w:tabs>
                <w:tab w:val="left" w:pos="150"/>
              </w:tabs>
              <w:ind w:left="-36"/>
              <w:jc w:val="both"/>
              <w:rPr>
                <w:rFonts w:ascii="Times New Roman" w:hAnsi="Times New Roman"/>
                <w:sz w:val="18"/>
                <w:szCs w:val="18"/>
                <w:lang w:val="ro-RO" w:eastAsia="ro-MD"/>
              </w:rPr>
            </w:pPr>
            <w:r w:rsidRPr="006F5136">
              <w:rPr>
                <w:rFonts w:ascii="Times New Roman" w:hAnsi="Times New Roman"/>
                <w:b/>
                <w:bCs/>
                <w:sz w:val="18"/>
                <w:szCs w:val="18"/>
                <w:lang w:val="ro-RO" w:eastAsia="ro-MD"/>
              </w:rPr>
              <w:t>71</w:t>
            </w:r>
            <w:r w:rsidRPr="006F5136">
              <w:rPr>
                <w:rFonts w:ascii="Times New Roman" w:hAnsi="Times New Roman"/>
                <w:b/>
                <w:bCs/>
                <w:sz w:val="18"/>
                <w:szCs w:val="18"/>
                <w:vertAlign w:val="superscript"/>
                <w:lang w:val="ro-RO" w:eastAsia="ro-MD"/>
              </w:rPr>
              <w:t>3</w:t>
            </w:r>
            <w:r w:rsidRPr="006F5136">
              <w:rPr>
                <w:rFonts w:ascii="Times New Roman" w:hAnsi="Times New Roman"/>
                <w:b/>
                <w:bCs/>
                <w:sz w:val="18"/>
                <w:szCs w:val="18"/>
                <w:lang w:val="ro-RO" w:eastAsia="ro-MD"/>
              </w:rPr>
              <w:t xml:space="preserve">. </w:t>
            </w:r>
            <w:r w:rsidRPr="006F5136">
              <w:rPr>
                <w:rFonts w:ascii="Times New Roman" w:hAnsi="Times New Roman"/>
                <w:sz w:val="18"/>
                <w:szCs w:val="18"/>
                <w:lang w:val="ro-RO" w:eastAsia="ro-MD"/>
              </w:rPr>
              <w:t>În cazul în care, în conformitate cu punctele 68</w:t>
            </w:r>
            <w:r w:rsidRPr="006F5136">
              <w:rPr>
                <w:rFonts w:ascii="Times New Roman" w:hAnsi="Times New Roman"/>
                <w:sz w:val="18"/>
                <w:szCs w:val="18"/>
                <w:vertAlign w:val="superscript"/>
                <w:lang w:val="ro-RO" w:eastAsia="ro-MD"/>
              </w:rPr>
              <w:t>3</w:t>
            </w:r>
            <w:r w:rsidRPr="006F5136">
              <w:rPr>
                <w:rFonts w:ascii="Times New Roman" w:hAnsi="Times New Roman"/>
                <w:sz w:val="18"/>
                <w:szCs w:val="18"/>
                <w:lang w:val="ro-RO" w:eastAsia="ro-MD"/>
              </w:rPr>
              <w:t>-68</w:t>
            </w:r>
            <w:r w:rsidRPr="006F5136">
              <w:rPr>
                <w:rFonts w:ascii="Times New Roman" w:hAnsi="Times New Roman"/>
                <w:sz w:val="18"/>
                <w:szCs w:val="18"/>
                <w:vertAlign w:val="superscript"/>
                <w:lang w:val="ro-RO" w:eastAsia="ro-MD"/>
              </w:rPr>
              <w:t>6</w:t>
            </w:r>
            <w:r w:rsidRPr="006F5136">
              <w:rPr>
                <w:rFonts w:ascii="Times New Roman" w:hAnsi="Times New Roman"/>
                <w:sz w:val="18"/>
                <w:szCs w:val="18"/>
                <w:lang w:val="ro-RO" w:eastAsia="ro-MD"/>
              </w:rPr>
              <w:t>, Banca Națională a Moldovei a stabilit o pondere de risc mai ridicată sau un procentaj mai mic din valoarea bunului imobil decât cele menționate la prezentul alineat, băncile utilizează ponderea de risc sau procentajul stabilite în conformitate cu punctele 68</w:t>
            </w:r>
            <w:r w:rsidRPr="006F5136">
              <w:rPr>
                <w:rFonts w:ascii="Times New Roman" w:hAnsi="Times New Roman"/>
                <w:sz w:val="18"/>
                <w:szCs w:val="18"/>
                <w:vertAlign w:val="superscript"/>
                <w:lang w:val="ro-RO" w:eastAsia="ro-MD"/>
              </w:rPr>
              <w:t>3</w:t>
            </w:r>
            <w:r w:rsidRPr="006F5136">
              <w:rPr>
                <w:rFonts w:ascii="Times New Roman" w:hAnsi="Times New Roman"/>
                <w:sz w:val="18"/>
                <w:szCs w:val="18"/>
                <w:lang w:val="ro-RO" w:eastAsia="ro-MD"/>
              </w:rPr>
              <w:t>-68</w:t>
            </w:r>
            <w:r w:rsidRPr="006F5136">
              <w:rPr>
                <w:rFonts w:ascii="Times New Roman" w:hAnsi="Times New Roman"/>
                <w:sz w:val="18"/>
                <w:szCs w:val="18"/>
                <w:vertAlign w:val="superscript"/>
                <w:lang w:val="ro-RO" w:eastAsia="ro-MD"/>
              </w:rPr>
              <w:t>6</w:t>
            </w:r>
            <w:r w:rsidRPr="006F5136">
              <w:rPr>
                <w:rFonts w:ascii="Times New Roman" w:hAnsi="Times New Roman"/>
                <w:sz w:val="18"/>
                <w:szCs w:val="18"/>
                <w:lang w:val="ro-RO" w:eastAsia="ro-MD"/>
              </w:rPr>
              <w:t>. Partea rămasă a expunerii menționată la primul paragraf, dacă există, este ponderată la risc ca o expunere la o contraparte care nu este garantată cu bunuri imobile comerciale.</w:t>
            </w:r>
          </w:p>
          <w:p w14:paraId="0A8CC5B1" w14:textId="2823C346" w:rsidR="001414D9" w:rsidRPr="006F5136" w:rsidRDefault="001414D9" w:rsidP="001414D9">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7A0EFA86" w14:textId="2EFF7ED1" w:rsidR="001414D9" w:rsidRPr="006F5136" w:rsidRDefault="001414D9" w:rsidP="001414D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49E3D966" w14:textId="0CC57117" w:rsidR="001414D9" w:rsidRPr="006F5136" w:rsidRDefault="001414D9" w:rsidP="001414D9">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3D1C893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35"/>
        </w:trPr>
        <w:tc>
          <w:tcPr>
            <w:tcW w:w="1924" w:type="pct"/>
          </w:tcPr>
          <w:p w14:paraId="14EF6257" w14:textId="77777777" w:rsidR="00347E29" w:rsidRPr="006F5136" w:rsidRDefault="0027576A" w:rsidP="005E4694">
            <w:pPr>
              <w:shd w:val="clear" w:color="auto" w:fill="FFFFFF"/>
              <w:spacing w:after="0" w:line="240" w:lineRule="auto"/>
              <w:rPr>
                <w:rFonts w:ascii="Times New Roman" w:eastAsia="Arial Unicode MS" w:hAnsi="Times New Roman" w:cs="Times New Roman"/>
                <w:color w:val="333333"/>
                <w:sz w:val="18"/>
                <w:szCs w:val="18"/>
                <w:lang w:val="ro-MD" w:eastAsia="ro-MD"/>
              </w:rPr>
            </w:pPr>
            <w:r w:rsidRPr="006F5136">
              <w:rPr>
                <w:rFonts w:ascii="Times New Roman" w:hAnsi="Times New Roman" w:cs="Times New Roman"/>
                <w:iCs/>
                <w:sz w:val="18"/>
                <w:szCs w:val="18"/>
                <w:lang w:val="ro-RO" w:eastAsia="ru-RU"/>
              </w:rPr>
              <w:t xml:space="preserve">(2) </w:t>
            </w:r>
            <w:r w:rsidR="00347E29" w:rsidRPr="006F5136">
              <w:rPr>
                <w:rFonts w:ascii="Times New Roman" w:eastAsia="Arial Unicode MS" w:hAnsi="Times New Roman" w:cs="Times New Roman"/>
                <w:color w:val="333333"/>
                <w:sz w:val="18"/>
                <w:szCs w:val="18"/>
                <w:lang w:val="ro-MD" w:eastAsia="ro-MD"/>
              </w:rPr>
              <w:t>O expunere de tipul celor menționate la articolul 124 alineatul (2) litera (b) punctul (ii) primește ponderea de risc stabilită în conformitate cu respectiva bandă expunere/valoare a ponderilor de risc din tabelul 1.</w:t>
            </w:r>
          </w:p>
          <w:p w14:paraId="3E9C60D3" w14:textId="77777777" w:rsidR="00347E29" w:rsidRPr="006F5136" w:rsidRDefault="00347E29" w:rsidP="005E4694">
            <w:pPr>
              <w:shd w:val="clear" w:color="auto" w:fill="FFFFFF"/>
              <w:spacing w:after="0" w:line="240" w:lineRule="auto"/>
              <w:jc w:val="both"/>
              <w:rPr>
                <w:rFonts w:ascii="Times New Roman" w:eastAsia="Arial Unicode MS" w:hAnsi="Times New Roman" w:cs="Times New Roman"/>
                <w:color w:val="333333"/>
                <w:sz w:val="18"/>
                <w:szCs w:val="18"/>
                <w:lang w:val="ro-MD" w:eastAsia="ro-MD"/>
              </w:rPr>
            </w:pPr>
            <w:r w:rsidRPr="006F5136">
              <w:rPr>
                <w:rFonts w:ascii="Times New Roman" w:eastAsia="Arial Unicode MS" w:hAnsi="Times New Roman" w:cs="Times New Roman"/>
                <w:color w:val="333333"/>
                <w:sz w:val="18"/>
                <w:szCs w:val="18"/>
                <w:lang w:val="ro-MD" w:eastAsia="ro-MD"/>
              </w:rPr>
              <w:t>În sensul prezentului alineat, în cazul în care, în conformitate cu articolul 124 alineatul (9), autoritatea competentă sau desemnată a stabilit o pondere de risc mai ridicată sau un procentaj expunere/valoare mai mic decât cele menționate la prezentul alineat, instituțiile utilizează ponderea de risc sau procentajul stabilite în conformitate cu articolul 124 alineatul (9).</w:t>
            </w:r>
          </w:p>
          <w:p w14:paraId="4C4C3326" w14:textId="77777777" w:rsidR="00347E29" w:rsidRPr="006F5136" w:rsidRDefault="00347E29" w:rsidP="005E4694">
            <w:pPr>
              <w:shd w:val="clear" w:color="auto" w:fill="FFFFFF"/>
              <w:spacing w:after="0" w:line="240" w:lineRule="auto"/>
              <w:jc w:val="center"/>
              <w:rPr>
                <w:rFonts w:ascii="Times New Roman" w:eastAsia="Arial Unicode MS" w:hAnsi="Times New Roman" w:cs="Times New Roman"/>
                <w:color w:val="333333"/>
                <w:sz w:val="18"/>
                <w:szCs w:val="18"/>
                <w:lang w:val="ro-MD" w:eastAsia="ro-MD"/>
              </w:rPr>
            </w:pPr>
          </w:p>
          <w:p w14:paraId="2253115F" w14:textId="77777777" w:rsidR="00347E29" w:rsidRPr="006F5136" w:rsidRDefault="00347E29" w:rsidP="005E4694">
            <w:pPr>
              <w:shd w:val="clear" w:color="auto" w:fill="FFFFFF"/>
              <w:spacing w:after="0" w:line="240" w:lineRule="auto"/>
              <w:jc w:val="center"/>
              <w:rPr>
                <w:rFonts w:ascii="Times New Roman" w:eastAsia="Arial Unicode MS" w:hAnsi="Times New Roman" w:cs="Times New Roman"/>
                <w:b/>
                <w:bCs/>
                <w:color w:val="333333"/>
                <w:sz w:val="18"/>
                <w:szCs w:val="18"/>
                <w:lang w:val="ro-MD" w:eastAsia="ro-MD"/>
              </w:rPr>
            </w:pPr>
            <w:r w:rsidRPr="006F5136">
              <w:rPr>
                <w:rFonts w:ascii="Times New Roman" w:eastAsia="Arial Unicode MS" w:hAnsi="Times New Roman" w:cs="Times New Roman"/>
                <w:b/>
                <w:bCs/>
                <w:color w:val="333333"/>
                <w:sz w:val="18"/>
                <w:szCs w:val="18"/>
                <w:lang w:val="ro-MD" w:eastAsia="ro-MD"/>
              </w:rPr>
              <w:t>Tabelul 1</w:t>
            </w:r>
          </w:p>
          <w:tbl>
            <w:tblPr>
              <w:tblW w:w="4779"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54"/>
              <w:gridCol w:w="1008"/>
              <w:gridCol w:w="1605"/>
              <w:gridCol w:w="1012"/>
            </w:tblGrid>
            <w:tr w:rsidR="00347E29" w:rsidRPr="006F5136" w14:paraId="6853D238" w14:textId="77777777" w:rsidTr="00347E29">
              <w:trPr>
                <w:trHeight w:val="429"/>
                <w:jc w:val="center"/>
              </w:trPr>
              <w:tc>
                <w:tcPr>
                  <w:tcW w:w="1154" w:type="dxa"/>
                  <w:tcBorders>
                    <w:top w:val="outset" w:sz="6" w:space="0" w:color="auto"/>
                    <w:left w:val="outset" w:sz="6" w:space="0" w:color="auto"/>
                    <w:bottom w:val="outset" w:sz="6" w:space="0" w:color="auto"/>
                    <w:right w:val="outset" w:sz="6" w:space="0" w:color="auto"/>
                  </w:tcBorders>
                  <w:shd w:val="clear" w:color="auto" w:fill="auto"/>
                  <w:hideMark/>
                </w:tcPr>
                <w:p w14:paraId="67CE37CF" w14:textId="77777777" w:rsidR="00347E29" w:rsidRPr="006F5136" w:rsidRDefault="00347E29" w:rsidP="005E4694">
                  <w:pPr>
                    <w:spacing w:after="0" w:line="240" w:lineRule="auto"/>
                    <w:rPr>
                      <w:rFonts w:ascii="Times New Roman" w:eastAsia="Times New Roman" w:hAnsi="Times New Roman" w:cs="Times New Roman"/>
                      <w:b/>
                      <w:bCs/>
                      <w:sz w:val="18"/>
                      <w:szCs w:val="18"/>
                      <w:lang w:val="ro-MD" w:eastAsia="ro-MD"/>
                    </w:rPr>
                  </w:pPr>
                  <w:r w:rsidRPr="006F5136">
                    <w:rPr>
                      <w:rFonts w:ascii="Times New Roman" w:eastAsia="Times New Roman" w:hAnsi="Times New Roman" w:cs="Times New Roman"/>
                      <w:b/>
                      <w:bCs/>
                      <w:sz w:val="18"/>
                      <w:szCs w:val="18"/>
                      <w:lang w:val="ro-MD" w:eastAsia="ro-MD"/>
                    </w:rPr>
                    <w:t> </w:t>
                  </w:r>
                </w:p>
              </w:tc>
              <w:tc>
                <w:tcPr>
                  <w:tcW w:w="1008" w:type="dxa"/>
                  <w:tcBorders>
                    <w:top w:val="outset" w:sz="6" w:space="0" w:color="auto"/>
                    <w:left w:val="outset" w:sz="6" w:space="0" w:color="auto"/>
                    <w:bottom w:val="outset" w:sz="6" w:space="0" w:color="auto"/>
                    <w:right w:val="outset" w:sz="6" w:space="0" w:color="auto"/>
                  </w:tcBorders>
                  <w:shd w:val="clear" w:color="auto" w:fill="auto"/>
                  <w:hideMark/>
                </w:tcPr>
                <w:p w14:paraId="6D3FF948" w14:textId="77777777" w:rsidR="00347E29" w:rsidRPr="006F5136" w:rsidRDefault="00347E29" w:rsidP="005E4694">
                  <w:pPr>
                    <w:spacing w:after="0" w:line="240" w:lineRule="auto"/>
                    <w:jc w:val="both"/>
                    <w:rPr>
                      <w:rFonts w:ascii="Times New Roman" w:eastAsia="Times New Roman" w:hAnsi="Times New Roman" w:cs="Times New Roman"/>
                      <w:b/>
                      <w:bCs/>
                      <w:sz w:val="18"/>
                      <w:szCs w:val="18"/>
                      <w:lang w:val="ro-MD" w:eastAsia="ro-MD"/>
                    </w:rPr>
                  </w:pPr>
                  <w:r w:rsidRPr="006F5136">
                    <w:rPr>
                      <w:rFonts w:ascii="Times New Roman" w:eastAsia="Times New Roman" w:hAnsi="Times New Roman" w:cs="Times New Roman"/>
                      <w:b/>
                      <w:bCs/>
                      <w:sz w:val="18"/>
                      <w:szCs w:val="18"/>
                      <w:lang w:val="ro-MD" w:eastAsia="ro-MD"/>
                    </w:rPr>
                    <w:t>ETV ≤ 60 %</w:t>
                  </w:r>
                </w:p>
              </w:tc>
              <w:tc>
                <w:tcPr>
                  <w:tcW w:w="1605" w:type="dxa"/>
                  <w:tcBorders>
                    <w:top w:val="outset" w:sz="6" w:space="0" w:color="auto"/>
                    <w:left w:val="outset" w:sz="6" w:space="0" w:color="auto"/>
                    <w:bottom w:val="outset" w:sz="6" w:space="0" w:color="auto"/>
                    <w:right w:val="outset" w:sz="6" w:space="0" w:color="auto"/>
                  </w:tcBorders>
                  <w:shd w:val="clear" w:color="auto" w:fill="auto"/>
                  <w:hideMark/>
                </w:tcPr>
                <w:p w14:paraId="4A4B2D60" w14:textId="77777777" w:rsidR="00347E29" w:rsidRPr="006F5136" w:rsidRDefault="00347E29" w:rsidP="005E4694">
                  <w:pPr>
                    <w:spacing w:after="0" w:line="240" w:lineRule="auto"/>
                    <w:jc w:val="both"/>
                    <w:rPr>
                      <w:rFonts w:ascii="Times New Roman" w:eastAsia="Times New Roman" w:hAnsi="Times New Roman" w:cs="Times New Roman"/>
                      <w:b/>
                      <w:bCs/>
                      <w:sz w:val="18"/>
                      <w:szCs w:val="18"/>
                      <w:lang w:val="ro-MD" w:eastAsia="ro-MD"/>
                    </w:rPr>
                  </w:pPr>
                  <w:r w:rsidRPr="006F5136">
                    <w:rPr>
                      <w:rFonts w:ascii="Times New Roman" w:eastAsia="Times New Roman" w:hAnsi="Times New Roman" w:cs="Times New Roman"/>
                      <w:b/>
                      <w:bCs/>
                      <w:sz w:val="18"/>
                      <w:szCs w:val="18"/>
                      <w:lang w:val="ro-MD" w:eastAsia="ro-MD"/>
                    </w:rPr>
                    <w:t>60 % &lt; ETV ≤ 80 %</w:t>
                  </w:r>
                </w:p>
              </w:tc>
              <w:tc>
                <w:tcPr>
                  <w:tcW w:w="1012" w:type="dxa"/>
                  <w:tcBorders>
                    <w:top w:val="outset" w:sz="6" w:space="0" w:color="auto"/>
                    <w:left w:val="outset" w:sz="6" w:space="0" w:color="auto"/>
                    <w:bottom w:val="outset" w:sz="6" w:space="0" w:color="auto"/>
                    <w:right w:val="outset" w:sz="6" w:space="0" w:color="auto"/>
                  </w:tcBorders>
                  <w:shd w:val="clear" w:color="auto" w:fill="auto"/>
                  <w:hideMark/>
                </w:tcPr>
                <w:p w14:paraId="41189D35" w14:textId="77777777" w:rsidR="00347E29" w:rsidRPr="006F5136" w:rsidRDefault="00347E29" w:rsidP="005E4694">
                  <w:pPr>
                    <w:spacing w:after="0" w:line="240" w:lineRule="auto"/>
                    <w:jc w:val="both"/>
                    <w:rPr>
                      <w:rFonts w:ascii="Times New Roman" w:eastAsia="Times New Roman" w:hAnsi="Times New Roman" w:cs="Times New Roman"/>
                      <w:b/>
                      <w:bCs/>
                      <w:sz w:val="18"/>
                      <w:szCs w:val="18"/>
                      <w:lang w:val="ro-MD" w:eastAsia="ro-MD"/>
                    </w:rPr>
                  </w:pPr>
                  <w:r w:rsidRPr="006F5136">
                    <w:rPr>
                      <w:rFonts w:ascii="Times New Roman" w:eastAsia="Times New Roman" w:hAnsi="Times New Roman" w:cs="Times New Roman"/>
                      <w:b/>
                      <w:bCs/>
                      <w:sz w:val="18"/>
                      <w:szCs w:val="18"/>
                      <w:lang w:val="ro-MD" w:eastAsia="ro-MD"/>
                    </w:rPr>
                    <w:t>ETV &gt; 80 %</w:t>
                  </w:r>
                </w:p>
              </w:tc>
            </w:tr>
            <w:tr w:rsidR="00347E29" w:rsidRPr="006F5136" w14:paraId="310C66B7" w14:textId="77777777" w:rsidTr="00347E29">
              <w:trPr>
                <w:trHeight w:val="429"/>
                <w:jc w:val="center"/>
              </w:trPr>
              <w:tc>
                <w:tcPr>
                  <w:tcW w:w="1154" w:type="dxa"/>
                  <w:tcBorders>
                    <w:top w:val="outset" w:sz="6" w:space="0" w:color="auto"/>
                    <w:left w:val="outset" w:sz="6" w:space="0" w:color="auto"/>
                    <w:bottom w:val="outset" w:sz="6" w:space="0" w:color="auto"/>
                    <w:right w:val="outset" w:sz="6" w:space="0" w:color="auto"/>
                  </w:tcBorders>
                  <w:shd w:val="clear" w:color="auto" w:fill="auto"/>
                  <w:hideMark/>
                </w:tcPr>
                <w:p w14:paraId="72B4919F" w14:textId="77777777" w:rsidR="00347E29" w:rsidRPr="006F5136" w:rsidRDefault="00347E29" w:rsidP="005E4694">
                  <w:pPr>
                    <w:spacing w:after="0" w:line="240" w:lineRule="auto"/>
                    <w:jc w:val="both"/>
                    <w:rPr>
                      <w:rFonts w:ascii="Times New Roman" w:eastAsia="Times New Roman" w:hAnsi="Times New Roman" w:cs="Times New Roman"/>
                      <w:sz w:val="18"/>
                      <w:szCs w:val="18"/>
                      <w:lang w:val="ro-MD" w:eastAsia="ro-MD"/>
                    </w:rPr>
                  </w:pPr>
                  <w:r w:rsidRPr="006F5136">
                    <w:rPr>
                      <w:rFonts w:ascii="Times New Roman" w:eastAsia="Times New Roman" w:hAnsi="Times New Roman" w:cs="Times New Roman"/>
                      <w:sz w:val="18"/>
                      <w:szCs w:val="18"/>
                      <w:lang w:val="ro-MD" w:eastAsia="ro-MD"/>
                    </w:rPr>
                    <w:t>Pondere de risc</w:t>
                  </w:r>
                </w:p>
              </w:tc>
              <w:tc>
                <w:tcPr>
                  <w:tcW w:w="1008" w:type="dxa"/>
                  <w:tcBorders>
                    <w:top w:val="outset" w:sz="6" w:space="0" w:color="auto"/>
                    <w:left w:val="outset" w:sz="6" w:space="0" w:color="auto"/>
                    <w:bottom w:val="outset" w:sz="6" w:space="0" w:color="auto"/>
                    <w:right w:val="outset" w:sz="6" w:space="0" w:color="auto"/>
                  </w:tcBorders>
                  <w:shd w:val="clear" w:color="auto" w:fill="auto"/>
                  <w:hideMark/>
                </w:tcPr>
                <w:p w14:paraId="14437474" w14:textId="77777777" w:rsidR="00347E29" w:rsidRPr="006F5136" w:rsidRDefault="00347E29" w:rsidP="005E4694">
                  <w:pPr>
                    <w:spacing w:after="0" w:line="240" w:lineRule="auto"/>
                    <w:jc w:val="both"/>
                    <w:rPr>
                      <w:rFonts w:ascii="Times New Roman" w:eastAsia="Times New Roman" w:hAnsi="Times New Roman" w:cs="Times New Roman"/>
                      <w:sz w:val="18"/>
                      <w:szCs w:val="18"/>
                      <w:lang w:val="ro-MD" w:eastAsia="ro-MD"/>
                    </w:rPr>
                  </w:pPr>
                  <w:r w:rsidRPr="006F5136">
                    <w:rPr>
                      <w:rFonts w:ascii="Times New Roman" w:eastAsia="Times New Roman" w:hAnsi="Times New Roman" w:cs="Times New Roman"/>
                      <w:sz w:val="18"/>
                      <w:szCs w:val="18"/>
                      <w:lang w:val="ro-MD" w:eastAsia="ro-MD"/>
                    </w:rPr>
                    <w:t>70 %</w:t>
                  </w:r>
                </w:p>
              </w:tc>
              <w:tc>
                <w:tcPr>
                  <w:tcW w:w="1605" w:type="dxa"/>
                  <w:tcBorders>
                    <w:top w:val="outset" w:sz="6" w:space="0" w:color="auto"/>
                    <w:left w:val="outset" w:sz="6" w:space="0" w:color="auto"/>
                    <w:bottom w:val="outset" w:sz="6" w:space="0" w:color="auto"/>
                    <w:right w:val="outset" w:sz="6" w:space="0" w:color="auto"/>
                  </w:tcBorders>
                  <w:shd w:val="clear" w:color="auto" w:fill="auto"/>
                  <w:hideMark/>
                </w:tcPr>
                <w:p w14:paraId="7AD74AFF" w14:textId="77777777" w:rsidR="00347E29" w:rsidRPr="006F5136" w:rsidRDefault="00347E29" w:rsidP="005E4694">
                  <w:pPr>
                    <w:spacing w:after="0" w:line="240" w:lineRule="auto"/>
                    <w:jc w:val="both"/>
                    <w:rPr>
                      <w:rFonts w:ascii="Times New Roman" w:eastAsia="Times New Roman" w:hAnsi="Times New Roman" w:cs="Times New Roman"/>
                      <w:sz w:val="18"/>
                      <w:szCs w:val="18"/>
                      <w:lang w:val="ro-MD" w:eastAsia="ro-MD"/>
                    </w:rPr>
                  </w:pPr>
                  <w:r w:rsidRPr="006F5136">
                    <w:rPr>
                      <w:rFonts w:ascii="Times New Roman" w:eastAsia="Times New Roman" w:hAnsi="Times New Roman" w:cs="Times New Roman"/>
                      <w:sz w:val="18"/>
                      <w:szCs w:val="18"/>
                      <w:lang w:val="ro-MD" w:eastAsia="ro-MD"/>
                    </w:rPr>
                    <w:t>90 %</w:t>
                  </w:r>
                </w:p>
              </w:tc>
              <w:tc>
                <w:tcPr>
                  <w:tcW w:w="1012" w:type="dxa"/>
                  <w:tcBorders>
                    <w:top w:val="outset" w:sz="6" w:space="0" w:color="auto"/>
                    <w:left w:val="outset" w:sz="6" w:space="0" w:color="auto"/>
                    <w:bottom w:val="outset" w:sz="6" w:space="0" w:color="auto"/>
                    <w:right w:val="outset" w:sz="6" w:space="0" w:color="auto"/>
                  </w:tcBorders>
                  <w:shd w:val="clear" w:color="auto" w:fill="auto"/>
                  <w:hideMark/>
                </w:tcPr>
                <w:p w14:paraId="30651611" w14:textId="77777777" w:rsidR="00347E29" w:rsidRPr="006F5136" w:rsidRDefault="00347E29" w:rsidP="005E4694">
                  <w:pPr>
                    <w:spacing w:after="0" w:line="240" w:lineRule="auto"/>
                    <w:jc w:val="both"/>
                    <w:rPr>
                      <w:rFonts w:ascii="Times New Roman" w:eastAsia="Times New Roman" w:hAnsi="Times New Roman" w:cs="Times New Roman"/>
                      <w:sz w:val="18"/>
                      <w:szCs w:val="18"/>
                      <w:lang w:val="ro-MD" w:eastAsia="ro-MD"/>
                    </w:rPr>
                  </w:pPr>
                  <w:r w:rsidRPr="006F5136">
                    <w:rPr>
                      <w:rFonts w:ascii="Times New Roman" w:eastAsia="Times New Roman" w:hAnsi="Times New Roman" w:cs="Times New Roman"/>
                      <w:sz w:val="18"/>
                      <w:szCs w:val="18"/>
                      <w:lang w:val="ro-MD" w:eastAsia="ro-MD"/>
                    </w:rPr>
                    <w:t>110 %</w:t>
                  </w:r>
                </w:p>
              </w:tc>
            </w:tr>
          </w:tbl>
          <w:p w14:paraId="43CD3A78" w14:textId="77777777" w:rsidR="00347E29" w:rsidRPr="006F5136" w:rsidRDefault="00347E29" w:rsidP="005E4694">
            <w:pPr>
              <w:shd w:val="clear" w:color="auto" w:fill="FFFFFF"/>
              <w:spacing w:after="0" w:line="240" w:lineRule="auto"/>
              <w:jc w:val="both"/>
              <w:rPr>
                <w:rFonts w:ascii="Times New Roman" w:eastAsia="Arial Unicode MS" w:hAnsi="Times New Roman" w:cs="Times New Roman"/>
                <w:color w:val="333333"/>
                <w:sz w:val="18"/>
                <w:szCs w:val="18"/>
                <w:lang w:val="ro-MD" w:eastAsia="ro-MD"/>
              </w:rPr>
            </w:pPr>
            <w:r w:rsidRPr="006F5136">
              <w:rPr>
                <w:rFonts w:ascii="Times New Roman" w:eastAsia="Arial Unicode MS" w:hAnsi="Times New Roman" w:cs="Times New Roman"/>
                <w:color w:val="333333"/>
                <w:sz w:val="18"/>
                <w:szCs w:val="18"/>
                <w:lang w:val="ro-MD" w:eastAsia="ro-MD"/>
              </w:rPr>
              <w:t>Prin derogare de la prezentul alineat primul paragraf, instituțiile pot aplica tratamentul menționat la alineatul (1) de la prezentul articol expunerilor garantate cu bunuri imobile comerciale situate pe teritoriul unui stat membru, în cazul în care autoritatea competentă a statului membru respectiv a publicat, în conformitate cu articolul 430a alineatul (3), ratele pierderilor pentru astfel de expuneri care, pe baza datelor agregate raportate de instituțiile din respectivul stat membru pentru piața imobiliară națională respectivă, nu depășesc niciuna dintre următoarele limite pentru pierderile agregate pentru astfel de expuneri în anul precedent:</w:t>
            </w:r>
          </w:p>
          <w:p w14:paraId="3C3D2EF6" w14:textId="17E2E398" w:rsidR="00BD2B81" w:rsidRPr="006F5136" w:rsidRDefault="00BD2B81" w:rsidP="005E4694">
            <w:pPr>
              <w:pStyle w:val="CM4"/>
              <w:tabs>
                <w:tab w:val="left" w:pos="150"/>
              </w:tabs>
              <w:ind w:left="-43"/>
              <w:jc w:val="both"/>
              <w:rPr>
                <w:rFonts w:ascii="Times New Roman" w:hAnsi="Times New Roman"/>
                <w:iCs/>
                <w:sz w:val="18"/>
                <w:szCs w:val="18"/>
                <w:lang w:val="ro-MD" w:eastAsia="ru-RU"/>
              </w:rPr>
            </w:pPr>
            <w:r w:rsidRPr="006F5136">
              <w:rPr>
                <w:rFonts w:ascii="Times New Roman" w:hAnsi="Times New Roman"/>
                <w:iCs/>
                <w:sz w:val="18"/>
                <w:szCs w:val="18"/>
                <w:lang w:val="ro-MD" w:eastAsia="ru-RU"/>
              </w:rPr>
              <w:t>(a) cuantumul agregat raportat de instituții în temeiul articolului 430a alineatul (1) litera (d) împărțit la cuantumul agregat raportat de instituții în temeiul articolului 430a alineatul (1) litera (f) nu depășește 0,3  %.</w:t>
            </w:r>
          </w:p>
          <w:p w14:paraId="123F668A" w14:textId="77777777" w:rsidR="00BD2B81" w:rsidRPr="006F5136" w:rsidRDefault="00BD2B81" w:rsidP="005E4694">
            <w:pPr>
              <w:pStyle w:val="CM4"/>
              <w:tabs>
                <w:tab w:val="left" w:pos="150"/>
              </w:tabs>
              <w:ind w:left="-43"/>
              <w:jc w:val="both"/>
              <w:rPr>
                <w:rFonts w:ascii="Times New Roman" w:hAnsi="Times New Roman"/>
                <w:iCs/>
                <w:sz w:val="18"/>
                <w:szCs w:val="18"/>
                <w:lang w:val="ro-MD" w:eastAsia="ru-RU"/>
              </w:rPr>
            </w:pPr>
          </w:p>
          <w:p w14:paraId="75C2008F" w14:textId="7641EA20" w:rsidR="00347E29" w:rsidRPr="006F5136" w:rsidRDefault="00BD2B81" w:rsidP="005E4694">
            <w:pPr>
              <w:pStyle w:val="CM4"/>
              <w:tabs>
                <w:tab w:val="left" w:pos="150"/>
              </w:tabs>
              <w:ind w:left="-43"/>
              <w:jc w:val="both"/>
              <w:rPr>
                <w:rFonts w:ascii="Times New Roman" w:hAnsi="Times New Roman"/>
                <w:iCs/>
                <w:sz w:val="18"/>
                <w:szCs w:val="18"/>
                <w:lang w:val="ro-MD" w:eastAsia="ru-RU"/>
              </w:rPr>
            </w:pPr>
            <w:r w:rsidRPr="006F5136">
              <w:rPr>
                <w:rFonts w:ascii="Times New Roman" w:hAnsi="Times New Roman"/>
                <w:iCs/>
                <w:sz w:val="18"/>
                <w:szCs w:val="18"/>
                <w:lang w:val="ro-MD" w:eastAsia="ru-RU"/>
              </w:rPr>
              <w:t>(b) cuantumul agregat raportat de instituții în temeiul articolului 430a alineatul (1) litera (e) împărțit la cuantumul agregat raportat de instituții în temeiul articolului 430a alineatul (1) litera (f) nu depășește 0,5  %.</w:t>
            </w:r>
          </w:p>
          <w:p w14:paraId="55D2AC7A" w14:textId="04EE2569" w:rsidR="0027576A" w:rsidRPr="006F5136" w:rsidRDefault="0027576A" w:rsidP="005E4694">
            <w:pPr>
              <w:pStyle w:val="CM4"/>
              <w:tabs>
                <w:tab w:val="left" w:pos="150"/>
              </w:tabs>
              <w:ind w:left="-43"/>
              <w:jc w:val="both"/>
              <w:rPr>
                <w:rFonts w:ascii="Times New Roman" w:hAnsi="Times New Roman"/>
                <w:iCs/>
                <w:sz w:val="18"/>
                <w:szCs w:val="18"/>
                <w:lang w:val="ro-RO" w:eastAsia="ru-RU"/>
              </w:rPr>
            </w:pPr>
          </w:p>
        </w:tc>
        <w:tc>
          <w:tcPr>
            <w:tcW w:w="1661" w:type="pct"/>
            <w:shd w:val="clear" w:color="auto" w:fill="auto"/>
          </w:tcPr>
          <w:p w14:paraId="436428E9" w14:textId="2D55C3D6" w:rsidR="00E73A1A" w:rsidRPr="006F5136" w:rsidRDefault="00E73A1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72.</w:t>
            </w:r>
            <w:r w:rsidRPr="006F5136">
              <w:rPr>
                <w:rFonts w:ascii="Times New Roman" w:hAnsi="Times New Roman" w:cs="Times New Roman"/>
                <w:sz w:val="18"/>
                <w:szCs w:val="18"/>
              </w:rPr>
              <w:t xml:space="preserve"> </w:t>
            </w:r>
            <w:r w:rsidRPr="006F5136">
              <w:rPr>
                <w:rFonts w:ascii="Times New Roman" w:eastAsia="Times New Roman" w:hAnsi="Times New Roman" w:cs="Times New Roman"/>
                <w:sz w:val="18"/>
                <w:szCs w:val="18"/>
                <w:lang w:val="ro-RO" w:eastAsia="ro-MD"/>
              </w:rPr>
              <w:t>O expunere de tipul celor menționate la punctul 66 subpunctul 2) litera b) primește ponderea de risc stabilită în conformitate cu respectiva bandă ETV a ponderilor de risc din tabelul nr.6</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w:t>
            </w:r>
          </w:p>
          <w:p w14:paraId="7482589E" w14:textId="1E0143D9" w:rsidR="00E73A1A" w:rsidRPr="006F5136" w:rsidRDefault="00E73A1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72</w:t>
            </w:r>
            <w:r w:rsidRPr="006F5136">
              <w:rPr>
                <w:rFonts w:ascii="Times New Roman" w:eastAsia="Times New Roman" w:hAnsi="Times New Roman" w:cs="Times New Roman"/>
                <w:b/>
                <w:bCs/>
                <w:sz w:val="18"/>
                <w:szCs w:val="18"/>
                <w:vertAlign w:val="superscript"/>
                <w:lang w:val="ro-RO" w:eastAsia="ro-MD"/>
              </w:rPr>
              <w:t>1</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În sensul punctului 72, în cazul în care, în conformitate cu punctele 68</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-68</w:t>
            </w:r>
            <w:r w:rsidRPr="006F5136">
              <w:rPr>
                <w:rFonts w:ascii="Times New Roman" w:eastAsia="Times New Roman" w:hAnsi="Times New Roman" w:cs="Times New Roman"/>
                <w:sz w:val="18"/>
                <w:szCs w:val="18"/>
                <w:vertAlign w:val="superscript"/>
                <w:lang w:val="ro-RO" w:eastAsia="ro-MD"/>
              </w:rPr>
              <w:t>7</w:t>
            </w:r>
            <w:r w:rsidRPr="006F5136">
              <w:rPr>
                <w:rFonts w:ascii="Times New Roman" w:eastAsia="Times New Roman" w:hAnsi="Times New Roman" w:cs="Times New Roman"/>
                <w:sz w:val="18"/>
                <w:szCs w:val="18"/>
                <w:lang w:val="ro-RO" w:eastAsia="ro-MD"/>
              </w:rPr>
              <w:t>, Banca Națională a Moldovei a stabilit o pondere de risc mai ridicată sau un procentaj ETV mai mic decât cele menționate la punctul 72, băncile utilizează ponderea de risc sau procentajul stabilite în conformitate cu punctele 68</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-68</w:t>
            </w:r>
            <w:r w:rsidRPr="006F5136">
              <w:rPr>
                <w:rFonts w:ascii="Times New Roman" w:eastAsia="Times New Roman" w:hAnsi="Times New Roman" w:cs="Times New Roman"/>
                <w:sz w:val="18"/>
                <w:szCs w:val="18"/>
                <w:vertAlign w:val="superscript"/>
                <w:lang w:val="ro-RO" w:eastAsia="ro-MD"/>
              </w:rPr>
              <w:t>7</w:t>
            </w:r>
            <w:r w:rsidRPr="006F5136">
              <w:rPr>
                <w:rFonts w:ascii="Times New Roman" w:eastAsia="Times New Roman" w:hAnsi="Times New Roman" w:cs="Times New Roman"/>
                <w:sz w:val="18"/>
                <w:szCs w:val="18"/>
                <w:lang w:val="ro-RO" w:eastAsia="ro-MD"/>
              </w:rPr>
              <w:t>.</w:t>
            </w:r>
          </w:p>
          <w:p w14:paraId="478EADC5" w14:textId="77777777" w:rsidR="00E73A1A" w:rsidRPr="006F5136" w:rsidRDefault="00E73A1A" w:rsidP="005E4694">
            <w:pPr>
              <w:shd w:val="clear" w:color="auto" w:fill="FFFFFF"/>
              <w:spacing w:after="0" w:line="240" w:lineRule="auto"/>
              <w:jc w:val="right"/>
              <w:rPr>
                <w:rFonts w:ascii="Times New Roman" w:eastAsia="Times New Roman" w:hAnsi="Times New Roman" w:cs="Times New Roman"/>
                <w:b/>
                <w:bCs/>
                <w:color w:val="000000" w:themeColor="text1"/>
                <w:sz w:val="18"/>
                <w:szCs w:val="18"/>
                <w:lang w:eastAsia="ro-MD"/>
              </w:rPr>
            </w:pPr>
            <w:r w:rsidRPr="006F5136">
              <w:rPr>
                <w:rFonts w:ascii="Times New Roman" w:eastAsia="Times New Roman" w:hAnsi="Times New Roman" w:cs="Times New Roman"/>
                <w:b/>
                <w:bCs/>
                <w:i/>
                <w:iCs/>
                <w:sz w:val="18"/>
                <w:szCs w:val="18"/>
                <w:lang w:eastAsia="ro-MD"/>
              </w:rPr>
              <w:t>Tabelul nr.6</w:t>
            </w:r>
            <w:r w:rsidRPr="006F5136">
              <w:rPr>
                <w:rFonts w:ascii="Times New Roman" w:eastAsia="Times New Roman" w:hAnsi="Times New Roman" w:cs="Times New Roman"/>
                <w:b/>
                <w:bCs/>
                <w:i/>
                <w:iCs/>
                <w:sz w:val="18"/>
                <w:szCs w:val="18"/>
                <w:vertAlign w:val="superscript"/>
                <w:lang w:eastAsia="ro-MD"/>
              </w:rPr>
              <w:t>3</w:t>
            </w:r>
          </w:p>
          <w:tbl>
            <w:tblPr>
              <w:tblW w:w="4492"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85"/>
              <w:gridCol w:w="948"/>
              <w:gridCol w:w="1507"/>
              <w:gridCol w:w="952"/>
            </w:tblGrid>
            <w:tr w:rsidR="00E73A1A" w:rsidRPr="006F5136" w14:paraId="5A3ED960" w14:textId="77777777" w:rsidTr="00E73A1A">
              <w:trPr>
                <w:trHeight w:val="279"/>
                <w:jc w:val="center"/>
              </w:trPr>
              <w:tc>
                <w:tcPr>
                  <w:tcW w:w="1085" w:type="dxa"/>
                  <w:tcBorders>
                    <w:top w:val="outset" w:sz="6" w:space="0" w:color="auto"/>
                    <w:left w:val="outset" w:sz="6" w:space="0" w:color="auto"/>
                    <w:bottom w:val="outset" w:sz="6" w:space="0" w:color="auto"/>
                    <w:right w:val="outset" w:sz="6" w:space="0" w:color="auto"/>
                  </w:tcBorders>
                  <w:shd w:val="clear" w:color="auto" w:fill="auto"/>
                  <w:hideMark/>
                </w:tcPr>
                <w:p w14:paraId="47AD2885" w14:textId="77777777" w:rsidR="00E73A1A" w:rsidRPr="006F5136" w:rsidRDefault="00E73A1A" w:rsidP="005E4694">
                  <w:pPr>
                    <w:spacing w:after="0" w:line="240" w:lineRule="auto"/>
                    <w:rPr>
                      <w:rFonts w:ascii="Times New Roman" w:eastAsia="Times New Roman" w:hAnsi="Times New Roman" w:cs="Times New Roman"/>
                      <w:b/>
                      <w:bCs/>
                      <w:sz w:val="18"/>
                      <w:szCs w:val="18"/>
                      <w:lang w:eastAsia="ro-MD"/>
                    </w:rPr>
                  </w:pPr>
                  <w:r w:rsidRPr="006F5136">
                    <w:rPr>
                      <w:rFonts w:ascii="Times New Roman" w:eastAsia="Times New Roman" w:hAnsi="Times New Roman" w:cs="Times New Roman"/>
                      <w:b/>
                      <w:bCs/>
                      <w:sz w:val="18"/>
                      <w:szCs w:val="18"/>
                      <w:lang w:eastAsia="ro-MD"/>
                    </w:rPr>
                    <w:t> ETV</w:t>
                  </w:r>
                </w:p>
              </w:tc>
              <w:tc>
                <w:tcPr>
                  <w:tcW w:w="948" w:type="dxa"/>
                  <w:tcBorders>
                    <w:top w:val="outset" w:sz="6" w:space="0" w:color="auto"/>
                    <w:left w:val="outset" w:sz="6" w:space="0" w:color="auto"/>
                    <w:bottom w:val="outset" w:sz="6" w:space="0" w:color="auto"/>
                    <w:right w:val="outset" w:sz="6" w:space="0" w:color="auto"/>
                  </w:tcBorders>
                  <w:shd w:val="clear" w:color="auto" w:fill="auto"/>
                  <w:hideMark/>
                </w:tcPr>
                <w:p w14:paraId="58F85ADE" w14:textId="77777777" w:rsidR="00E73A1A" w:rsidRPr="006F5136" w:rsidRDefault="00E73A1A" w:rsidP="005E4694">
                  <w:pPr>
                    <w:spacing w:after="0" w:line="240" w:lineRule="auto"/>
                    <w:jc w:val="both"/>
                    <w:rPr>
                      <w:rFonts w:ascii="Times New Roman" w:eastAsia="Times New Roman" w:hAnsi="Times New Roman" w:cs="Times New Roman"/>
                      <w:b/>
                      <w:bCs/>
                      <w:sz w:val="18"/>
                      <w:szCs w:val="18"/>
                      <w:lang w:eastAsia="ro-MD"/>
                    </w:rPr>
                  </w:pPr>
                  <w:r w:rsidRPr="006F5136">
                    <w:rPr>
                      <w:rFonts w:ascii="Times New Roman" w:eastAsia="Times New Roman" w:hAnsi="Times New Roman" w:cs="Times New Roman"/>
                      <w:b/>
                      <w:bCs/>
                      <w:sz w:val="18"/>
                      <w:szCs w:val="18"/>
                      <w:lang w:eastAsia="ro-MD"/>
                    </w:rPr>
                    <w:t>ETV ≤ 60 %</w:t>
                  </w:r>
                </w:p>
              </w:tc>
              <w:tc>
                <w:tcPr>
                  <w:tcW w:w="1507" w:type="dxa"/>
                  <w:tcBorders>
                    <w:top w:val="outset" w:sz="6" w:space="0" w:color="auto"/>
                    <w:left w:val="outset" w:sz="6" w:space="0" w:color="auto"/>
                    <w:bottom w:val="outset" w:sz="6" w:space="0" w:color="auto"/>
                    <w:right w:val="outset" w:sz="6" w:space="0" w:color="auto"/>
                  </w:tcBorders>
                  <w:shd w:val="clear" w:color="auto" w:fill="auto"/>
                  <w:hideMark/>
                </w:tcPr>
                <w:p w14:paraId="4AC2EDB6" w14:textId="77777777" w:rsidR="00E73A1A" w:rsidRPr="006F5136" w:rsidRDefault="00E73A1A" w:rsidP="005E4694">
                  <w:pPr>
                    <w:spacing w:after="0" w:line="240" w:lineRule="auto"/>
                    <w:jc w:val="both"/>
                    <w:rPr>
                      <w:rFonts w:ascii="Times New Roman" w:eastAsia="Times New Roman" w:hAnsi="Times New Roman" w:cs="Times New Roman"/>
                      <w:b/>
                      <w:bCs/>
                      <w:sz w:val="18"/>
                      <w:szCs w:val="18"/>
                      <w:lang w:eastAsia="ro-MD"/>
                    </w:rPr>
                  </w:pPr>
                  <w:r w:rsidRPr="006F5136">
                    <w:rPr>
                      <w:rFonts w:ascii="Times New Roman" w:eastAsia="Times New Roman" w:hAnsi="Times New Roman" w:cs="Times New Roman"/>
                      <w:b/>
                      <w:bCs/>
                      <w:sz w:val="18"/>
                      <w:szCs w:val="18"/>
                      <w:lang w:eastAsia="ro-MD"/>
                    </w:rPr>
                    <w:t>60 % &lt; ETV ≤ 80 %</w:t>
                  </w:r>
                </w:p>
              </w:tc>
              <w:tc>
                <w:tcPr>
                  <w:tcW w:w="952" w:type="dxa"/>
                  <w:tcBorders>
                    <w:top w:val="outset" w:sz="6" w:space="0" w:color="auto"/>
                    <w:left w:val="outset" w:sz="6" w:space="0" w:color="auto"/>
                    <w:bottom w:val="outset" w:sz="6" w:space="0" w:color="auto"/>
                    <w:right w:val="outset" w:sz="6" w:space="0" w:color="auto"/>
                  </w:tcBorders>
                  <w:shd w:val="clear" w:color="auto" w:fill="auto"/>
                  <w:hideMark/>
                </w:tcPr>
                <w:p w14:paraId="33262AA5" w14:textId="77777777" w:rsidR="00E73A1A" w:rsidRPr="006F5136" w:rsidRDefault="00E73A1A" w:rsidP="005E4694">
                  <w:pPr>
                    <w:spacing w:after="0" w:line="240" w:lineRule="auto"/>
                    <w:jc w:val="both"/>
                    <w:rPr>
                      <w:rFonts w:ascii="Times New Roman" w:eastAsia="Times New Roman" w:hAnsi="Times New Roman" w:cs="Times New Roman"/>
                      <w:b/>
                      <w:bCs/>
                      <w:sz w:val="18"/>
                      <w:szCs w:val="18"/>
                      <w:lang w:eastAsia="ro-MD"/>
                    </w:rPr>
                  </w:pPr>
                  <w:r w:rsidRPr="006F5136">
                    <w:rPr>
                      <w:rFonts w:ascii="Times New Roman" w:eastAsia="Times New Roman" w:hAnsi="Times New Roman" w:cs="Times New Roman"/>
                      <w:b/>
                      <w:bCs/>
                      <w:sz w:val="18"/>
                      <w:szCs w:val="18"/>
                      <w:lang w:eastAsia="ro-MD"/>
                    </w:rPr>
                    <w:t>ETV &gt; 80 %</w:t>
                  </w:r>
                </w:p>
              </w:tc>
            </w:tr>
            <w:tr w:rsidR="00E73A1A" w:rsidRPr="006F5136" w14:paraId="37A34AAC" w14:textId="77777777" w:rsidTr="00E73A1A">
              <w:trPr>
                <w:trHeight w:val="279"/>
                <w:jc w:val="center"/>
              </w:trPr>
              <w:tc>
                <w:tcPr>
                  <w:tcW w:w="1085" w:type="dxa"/>
                  <w:tcBorders>
                    <w:top w:val="outset" w:sz="6" w:space="0" w:color="auto"/>
                    <w:left w:val="outset" w:sz="6" w:space="0" w:color="auto"/>
                    <w:bottom w:val="outset" w:sz="6" w:space="0" w:color="auto"/>
                    <w:right w:val="outset" w:sz="6" w:space="0" w:color="auto"/>
                  </w:tcBorders>
                  <w:shd w:val="clear" w:color="auto" w:fill="auto"/>
                  <w:hideMark/>
                </w:tcPr>
                <w:p w14:paraId="3826251F" w14:textId="77777777" w:rsidR="00E73A1A" w:rsidRPr="006F5136" w:rsidRDefault="00E73A1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Pondere de risc</w:t>
                  </w:r>
                </w:p>
              </w:tc>
              <w:tc>
                <w:tcPr>
                  <w:tcW w:w="948" w:type="dxa"/>
                  <w:tcBorders>
                    <w:top w:val="outset" w:sz="6" w:space="0" w:color="auto"/>
                    <w:left w:val="outset" w:sz="6" w:space="0" w:color="auto"/>
                    <w:bottom w:val="outset" w:sz="6" w:space="0" w:color="auto"/>
                    <w:right w:val="outset" w:sz="6" w:space="0" w:color="auto"/>
                  </w:tcBorders>
                  <w:shd w:val="clear" w:color="auto" w:fill="auto"/>
                  <w:hideMark/>
                </w:tcPr>
                <w:p w14:paraId="2A6AE9A9" w14:textId="77777777" w:rsidR="00E73A1A" w:rsidRPr="006F5136" w:rsidRDefault="00E73A1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70 %</w:t>
                  </w:r>
                </w:p>
              </w:tc>
              <w:tc>
                <w:tcPr>
                  <w:tcW w:w="1507" w:type="dxa"/>
                  <w:tcBorders>
                    <w:top w:val="outset" w:sz="6" w:space="0" w:color="auto"/>
                    <w:left w:val="outset" w:sz="6" w:space="0" w:color="auto"/>
                    <w:bottom w:val="outset" w:sz="6" w:space="0" w:color="auto"/>
                    <w:right w:val="outset" w:sz="6" w:space="0" w:color="auto"/>
                  </w:tcBorders>
                  <w:shd w:val="clear" w:color="auto" w:fill="auto"/>
                  <w:hideMark/>
                </w:tcPr>
                <w:p w14:paraId="6292B23D" w14:textId="77777777" w:rsidR="00E73A1A" w:rsidRPr="006F5136" w:rsidRDefault="00E73A1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90 %</w:t>
                  </w:r>
                </w:p>
              </w:tc>
              <w:tc>
                <w:tcPr>
                  <w:tcW w:w="952" w:type="dxa"/>
                  <w:tcBorders>
                    <w:top w:val="outset" w:sz="6" w:space="0" w:color="auto"/>
                    <w:left w:val="outset" w:sz="6" w:space="0" w:color="auto"/>
                    <w:bottom w:val="outset" w:sz="6" w:space="0" w:color="auto"/>
                    <w:right w:val="outset" w:sz="6" w:space="0" w:color="auto"/>
                  </w:tcBorders>
                  <w:shd w:val="clear" w:color="auto" w:fill="auto"/>
                  <w:hideMark/>
                </w:tcPr>
                <w:p w14:paraId="30CCB0B1" w14:textId="77777777" w:rsidR="00E73A1A" w:rsidRPr="006F5136" w:rsidRDefault="00E73A1A" w:rsidP="005E4694">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110 %</w:t>
                  </w:r>
                </w:p>
              </w:tc>
            </w:tr>
          </w:tbl>
          <w:p w14:paraId="0E747032" w14:textId="77777777" w:rsidR="00E73A1A" w:rsidRPr="006F5136" w:rsidRDefault="00E73A1A" w:rsidP="005E4694">
            <w:pPr>
              <w:spacing w:after="0" w:line="240" w:lineRule="auto"/>
              <w:ind w:firstLine="567"/>
              <w:jc w:val="both"/>
              <w:rPr>
                <w:rFonts w:ascii="Times New Roman" w:eastAsia="Times New Roman" w:hAnsi="Times New Roman" w:cs="Times New Roman"/>
                <w:sz w:val="18"/>
                <w:szCs w:val="18"/>
                <w:lang w:val="ro-RO" w:eastAsia="ro-MD"/>
              </w:rPr>
            </w:pPr>
          </w:p>
          <w:p w14:paraId="2400DB20" w14:textId="77777777" w:rsidR="00E73A1A" w:rsidRPr="006F5136" w:rsidRDefault="00E73A1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72</w:t>
            </w:r>
            <w:r w:rsidRPr="006F5136">
              <w:rPr>
                <w:rFonts w:ascii="Times New Roman" w:eastAsia="Times New Roman" w:hAnsi="Times New Roman" w:cs="Times New Roman"/>
                <w:b/>
                <w:bCs/>
                <w:sz w:val="18"/>
                <w:szCs w:val="18"/>
                <w:vertAlign w:val="superscript"/>
                <w:lang w:val="ro-RO" w:eastAsia="ro-MD"/>
              </w:rPr>
              <w:t>2</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Prin derogare de la punctul 72, băncile pot aplica tratamentul menționat la punctele 72 și 72</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 xml:space="preserve"> expunerilor garantate cu bunuri imobile comerciale situate pe teritoriul unui stat membru al Uniunii Europene, în cazul în care autoritatea competentă a statului membru al Uniunii Europene respectiv a publicat ratele pierderilor pentru astfel de expuneri care, pe baza datelor agregate raportate de băncile din respectivul stat membru al Uniunii Europene pentru piața imobiliară națională respectivă, nu depășesc niciuna dintre următoarele limite pentru pierderile agregate pentru astfel de expuneri în anul precedent:</w:t>
            </w:r>
          </w:p>
          <w:p w14:paraId="4FE30D80" w14:textId="77777777" w:rsidR="00E73A1A" w:rsidRPr="006F5136" w:rsidRDefault="00E73A1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cuantumul agregat raportat de bănci în temeiul punctului 1 subpunctului 4) din anexa nr.2</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 xml:space="preserve"> împărțit la cuantumul agregat raportat de bănci în temeiul punctului 1 subpunctului 6) din anexa nr.2</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 xml:space="preserve"> nu depășește 0,3  %.</w:t>
            </w:r>
          </w:p>
          <w:p w14:paraId="4C88361D" w14:textId="77777777" w:rsidR="0027576A" w:rsidRPr="006F5136" w:rsidRDefault="00E73A1A" w:rsidP="005E4694">
            <w:pPr>
              <w:pStyle w:val="CM4"/>
              <w:tabs>
                <w:tab w:val="left" w:pos="150"/>
              </w:tabs>
              <w:ind w:left="-36"/>
              <w:rPr>
                <w:rFonts w:ascii="Times New Roman" w:hAnsi="Times New Roman"/>
                <w:sz w:val="18"/>
                <w:szCs w:val="18"/>
                <w:lang w:val="ro-RO" w:eastAsia="ro-MD"/>
              </w:rPr>
            </w:pPr>
            <w:r w:rsidRPr="006F5136">
              <w:rPr>
                <w:rFonts w:ascii="Times New Roman" w:hAnsi="Times New Roman"/>
                <w:sz w:val="18"/>
                <w:szCs w:val="18"/>
                <w:lang w:val="ro-RO" w:eastAsia="ro-MD"/>
              </w:rPr>
              <w:t>2) cuantumul agregat raportat de bănci în temeiul punctului 1 subpunctului 5) din anexa nr.2</w:t>
            </w:r>
            <w:r w:rsidRPr="006F5136">
              <w:rPr>
                <w:rFonts w:ascii="Times New Roman" w:hAnsi="Times New Roman"/>
                <w:sz w:val="18"/>
                <w:szCs w:val="18"/>
                <w:vertAlign w:val="superscript"/>
                <w:lang w:val="ro-RO" w:eastAsia="ro-MD"/>
              </w:rPr>
              <w:t>1</w:t>
            </w:r>
            <w:r w:rsidRPr="006F5136">
              <w:rPr>
                <w:rFonts w:ascii="Times New Roman" w:hAnsi="Times New Roman"/>
                <w:sz w:val="18"/>
                <w:szCs w:val="18"/>
                <w:lang w:val="ro-RO" w:eastAsia="ro-MD"/>
              </w:rPr>
              <w:t xml:space="preserve"> împărțit la cuantumul agregat raportat de bănci în temeiul punctului 1 subpunctului 6) din anexa nr.2</w:t>
            </w:r>
            <w:r w:rsidRPr="006F5136">
              <w:rPr>
                <w:rFonts w:ascii="Times New Roman" w:hAnsi="Times New Roman"/>
                <w:sz w:val="18"/>
                <w:szCs w:val="18"/>
                <w:vertAlign w:val="superscript"/>
                <w:lang w:val="ro-RO" w:eastAsia="ro-MD"/>
              </w:rPr>
              <w:t>1</w:t>
            </w:r>
            <w:r w:rsidRPr="006F5136">
              <w:rPr>
                <w:rFonts w:ascii="Times New Roman" w:hAnsi="Times New Roman"/>
                <w:sz w:val="18"/>
                <w:szCs w:val="18"/>
                <w:lang w:val="ro-RO" w:eastAsia="ro-MD"/>
              </w:rPr>
              <w:t xml:space="preserve"> nu depășește 0,5  %.</w:t>
            </w:r>
          </w:p>
          <w:p w14:paraId="744BF03C" w14:textId="2090D313" w:rsidR="00E73A1A" w:rsidRPr="006F5136" w:rsidRDefault="00E73A1A" w:rsidP="005E4694">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78D04E3D" w14:textId="1FA118A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p w14:paraId="7385E53C" w14:textId="77777777" w:rsidR="0027576A" w:rsidRPr="006F5136" w:rsidRDefault="0027576A" w:rsidP="005E4694">
            <w:pPr>
              <w:spacing w:after="0" w:line="240" w:lineRule="auto"/>
              <w:rPr>
                <w:rFonts w:ascii="Times New Roman" w:hAnsi="Times New Roman" w:cs="Times New Roman"/>
                <w:sz w:val="18"/>
                <w:szCs w:val="18"/>
                <w:lang w:val="ro-RO"/>
              </w:rPr>
            </w:pPr>
          </w:p>
          <w:p w14:paraId="72B82E19" w14:textId="77777777" w:rsidR="0027576A" w:rsidRPr="006F5136" w:rsidRDefault="0027576A" w:rsidP="005E4694">
            <w:pPr>
              <w:spacing w:after="0" w:line="240" w:lineRule="auto"/>
              <w:rPr>
                <w:rFonts w:ascii="Times New Roman" w:hAnsi="Times New Roman" w:cs="Times New Roman"/>
                <w:sz w:val="18"/>
                <w:szCs w:val="18"/>
                <w:lang w:val="ro-RO"/>
              </w:rPr>
            </w:pPr>
          </w:p>
          <w:p w14:paraId="1ECD664D" w14:textId="77777777" w:rsidR="0027576A" w:rsidRPr="006F5136" w:rsidRDefault="0027576A" w:rsidP="005E4694">
            <w:pPr>
              <w:spacing w:after="0" w:line="240" w:lineRule="auto"/>
              <w:rPr>
                <w:rFonts w:ascii="Times New Roman" w:hAnsi="Times New Roman" w:cs="Times New Roman"/>
                <w:sz w:val="18"/>
                <w:szCs w:val="18"/>
                <w:lang w:val="ro-RO"/>
              </w:rPr>
            </w:pPr>
          </w:p>
          <w:p w14:paraId="48DA5D22" w14:textId="77777777" w:rsidR="0027576A" w:rsidRPr="006F5136" w:rsidRDefault="0027576A" w:rsidP="005E4694">
            <w:pPr>
              <w:spacing w:after="0" w:line="240" w:lineRule="auto"/>
              <w:rPr>
                <w:rFonts w:ascii="Times New Roman" w:hAnsi="Times New Roman" w:cs="Times New Roman"/>
                <w:sz w:val="18"/>
                <w:szCs w:val="18"/>
                <w:lang w:val="ro-RO"/>
              </w:rPr>
            </w:pPr>
          </w:p>
          <w:p w14:paraId="7C33ADED" w14:textId="77777777" w:rsidR="0027576A" w:rsidRPr="006F5136" w:rsidRDefault="0027576A" w:rsidP="005E4694">
            <w:pPr>
              <w:spacing w:after="0" w:line="240" w:lineRule="auto"/>
              <w:rPr>
                <w:rFonts w:ascii="Times New Roman" w:hAnsi="Times New Roman" w:cs="Times New Roman"/>
                <w:sz w:val="18"/>
                <w:szCs w:val="18"/>
                <w:lang w:val="ro-RO"/>
              </w:rPr>
            </w:pPr>
          </w:p>
          <w:p w14:paraId="65A44F5D" w14:textId="77777777" w:rsidR="0027576A" w:rsidRPr="006F5136" w:rsidRDefault="0027576A" w:rsidP="005E4694">
            <w:pPr>
              <w:spacing w:after="0" w:line="240" w:lineRule="auto"/>
              <w:rPr>
                <w:rFonts w:ascii="Times New Roman" w:hAnsi="Times New Roman" w:cs="Times New Roman"/>
                <w:sz w:val="18"/>
                <w:szCs w:val="18"/>
                <w:lang w:val="ro-RO"/>
              </w:rPr>
            </w:pPr>
          </w:p>
          <w:p w14:paraId="6B857CC6" w14:textId="77777777" w:rsidR="0027576A" w:rsidRPr="006F5136" w:rsidRDefault="0027576A" w:rsidP="005E4694">
            <w:pPr>
              <w:spacing w:after="0" w:line="240" w:lineRule="auto"/>
              <w:rPr>
                <w:rFonts w:ascii="Times New Roman" w:hAnsi="Times New Roman" w:cs="Times New Roman"/>
                <w:sz w:val="18"/>
                <w:szCs w:val="18"/>
                <w:lang w:val="ro-RO"/>
              </w:rPr>
            </w:pPr>
          </w:p>
          <w:p w14:paraId="49BD3F37" w14:textId="6EFE3FE3" w:rsidR="0027576A" w:rsidRPr="006F5136" w:rsidRDefault="0027576A" w:rsidP="005E4694">
            <w:pPr>
              <w:spacing w:after="0" w:line="240" w:lineRule="auto"/>
              <w:rPr>
                <w:rFonts w:ascii="Times New Roman" w:hAnsi="Times New Roman" w:cs="Times New Roman"/>
                <w:sz w:val="18"/>
                <w:szCs w:val="18"/>
                <w:lang w:val="ro-RO"/>
              </w:rPr>
            </w:pPr>
          </w:p>
        </w:tc>
        <w:tc>
          <w:tcPr>
            <w:tcW w:w="912" w:type="pct"/>
          </w:tcPr>
          <w:p w14:paraId="666FEB3C" w14:textId="4D7EF3F3"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p w14:paraId="4E529025" w14:textId="51A794D9" w:rsidR="0027576A" w:rsidRPr="006F5136" w:rsidRDefault="0027576A" w:rsidP="005E4694">
            <w:pPr>
              <w:spacing w:after="0" w:line="240" w:lineRule="auto"/>
              <w:jc w:val="both"/>
              <w:rPr>
                <w:rFonts w:ascii="Times New Roman" w:hAnsi="Times New Roman" w:cs="Times New Roman"/>
                <w:sz w:val="18"/>
                <w:szCs w:val="18"/>
                <w:lang w:val="ro-RO"/>
              </w:rPr>
            </w:pPr>
          </w:p>
        </w:tc>
      </w:tr>
      <w:tr w:rsidR="0027576A" w:rsidRPr="006F5136" w14:paraId="4BBD256E"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9CEA49B" w14:textId="43C9E74F" w:rsidR="00BD2B81"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w:t>
            </w:r>
            <w:r w:rsidR="00BD2B81" w:rsidRPr="006F5136">
              <w:rPr>
                <w:rFonts w:ascii="Times New Roman" w:hAnsi="Times New Roman"/>
                <w:iCs/>
                <w:sz w:val="18"/>
                <w:szCs w:val="18"/>
                <w:lang w:val="ro-RO" w:eastAsia="ru-RU"/>
              </w:rPr>
              <w:t xml:space="preserve"> Instituțiile pot aplica derogarea menționată la alineatul (2) al treilea paragraf de la prezentul articol și în cazurile în care autoritatea competentă a unei țări terțe care aplică mecanisme de supraveghere și de reglementare cel puțin echivalente cu cele aplicate în Uniune, astfel cum s-a stabilit printr-o decizie a Comisiei adoptată în conformitate cu articolul 107 alineatul (4), publică ratele pierderilor corespunzătoare pentru expunerile garantate cu bunuri imobile comerciale situate pe teritoriul țării terțe respective.</w:t>
            </w:r>
          </w:p>
          <w:p w14:paraId="165A4CAE" w14:textId="078DB4E4" w:rsidR="0027576A" w:rsidRPr="006F5136" w:rsidRDefault="00BD2B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În cazul în care o autoritate competentă a unei țări terțe nu publică ratele pierderilor corespunzătoare pentru expunerile garantate cu bunuri imobile comerciale situate pe teritoriul țării terțe respective, ABE poate publica aceste informații pentru o țară terță, cu condiția să fie disponibile date statistice valabile care sunt adică reprezentative din punct de vedere statistic pentru piața imobiliară comercială în cauză.</w:t>
            </w:r>
          </w:p>
        </w:tc>
        <w:tc>
          <w:tcPr>
            <w:tcW w:w="1661" w:type="pct"/>
            <w:shd w:val="clear" w:color="auto" w:fill="auto"/>
          </w:tcPr>
          <w:p w14:paraId="78C0A332" w14:textId="77777777" w:rsidR="0027576A" w:rsidRPr="006F5136" w:rsidRDefault="0025028B" w:rsidP="005E4694">
            <w:pPr>
              <w:pStyle w:val="CM4"/>
              <w:tabs>
                <w:tab w:val="left" w:pos="150"/>
              </w:tabs>
              <w:ind w:left="-36"/>
              <w:jc w:val="both"/>
              <w:rPr>
                <w:rFonts w:ascii="Times New Roman" w:hAnsi="Times New Roman"/>
                <w:sz w:val="18"/>
                <w:szCs w:val="18"/>
                <w:lang w:eastAsia="ro-MD"/>
              </w:rPr>
            </w:pPr>
            <w:r w:rsidRPr="006F5136">
              <w:rPr>
                <w:rFonts w:ascii="Times New Roman" w:hAnsi="Times New Roman"/>
                <w:b/>
                <w:bCs/>
                <w:sz w:val="18"/>
                <w:szCs w:val="18"/>
                <w:lang w:eastAsia="ro-MD"/>
              </w:rPr>
              <w:t>72</w:t>
            </w:r>
            <w:r w:rsidRPr="006F5136">
              <w:rPr>
                <w:rFonts w:ascii="Times New Roman" w:hAnsi="Times New Roman"/>
                <w:b/>
                <w:bCs/>
                <w:sz w:val="18"/>
                <w:szCs w:val="18"/>
                <w:vertAlign w:val="superscript"/>
                <w:lang w:eastAsia="ro-MD"/>
              </w:rPr>
              <w:t>3</w:t>
            </w:r>
            <w:r w:rsidRPr="006F5136">
              <w:rPr>
                <w:rFonts w:ascii="Times New Roman" w:hAnsi="Times New Roman"/>
                <w:b/>
                <w:bCs/>
                <w:sz w:val="18"/>
                <w:szCs w:val="18"/>
                <w:lang w:eastAsia="ro-MD"/>
              </w:rPr>
              <w:t>.</w:t>
            </w:r>
            <w:r w:rsidRPr="006F5136">
              <w:rPr>
                <w:rFonts w:ascii="Times New Roman" w:hAnsi="Times New Roman"/>
                <w:sz w:val="18"/>
                <w:szCs w:val="18"/>
                <w:lang w:eastAsia="ro-MD"/>
              </w:rPr>
              <w:t xml:space="preserve"> </w:t>
            </w:r>
            <w:r w:rsidRPr="006F5136">
              <w:rPr>
                <w:rFonts w:ascii="Times New Roman" w:hAnsi="Times New Roman"/>
                <w:sz w:val="18"/>
                <w:szCs w:val="18"/>
                <w:lang w:val="ro-RO" w:eastAsia="ro-MD"/>
              </w:rPr>
              <w:t>Băncile</w:t>
            </w:r>
            <w:r w:rsidRPr="006F5136">
              <w:rPr>
                <w:rFonts w:ascii="Times New Roman" w:hAnsi="Times New Roman"/>
                <w:sz w:val="18"/>
                <w:szCs w:val="18"/>
                <w:lang w:eastAsia="ro-MD"/>
              </w:rPr>
              <w:t xml:space="preserve"> pot aplica derogarea menționată la punctul 72</w:t>
            </w:r>
            <w:r w:rsidRPr="006F5136">
              <w:rPr>
                <w:rFonts w:ascii="Times New Roman" w:hAnsi="Times New Roman"/>
                <w:sz w:val="18"/>
                <w:szCs w:val="18"/>
                <w:vertAlign w:val="superscript"/>
                <w:lang w:eastAsia="ro-MD"/>
              </w:rPr>
              <w:t xml:space="preserve">2 </w:t>
            </w:r>
            <w:r w:rsidRPr="006F5136">
              <w:rPr>
                <w:rFonts w:ascii="Times New Roman" w:hAnsi="Times New Roman"/>
                <w:sz w:val="18"/>
                <w:szCs w:val="18"/>
                <w:lang w:eastAsia="ro-MD"/>
              </w:rPr>
              <w:t>și în cazurile în care autoritatea competentă a unei țări terțe care aplică mecanisme de supraveghere și de reglementare cel puțin echivalente cu cele aplicate în Republica Moldova, publică ratele pierderilor corespunzătoare pentru expunerile garantate cu bunuri imobile comerciale situate pe teritoriul țării terțe respective.</w:t>
            </w:r>
          </w:p>
          <w:p w14:paraId="28D8BB1D" w14:textId="1141A017" w:rsidR="005B40F3" w:rsidRPr="006F5136" w:rsidRDefault="005B40F3" w:rsidP="005E4694">
            <w:pPr>
              <w:spacing w:after="0" w:line="240" w:lineRule="auto"/>
              <w:rPr>
                <w:rFonts w:ascii="Times New Roman" w:hAnsi="Times New Roman" w:cs="Times New Roman"/>
                <w:sz w:val="18"/>
                <w:szCs w:val="18"/>
                <w:lang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1D8F1610" w14:textId="7916C075" w:rsidR="0027576A" w:rsidRPr="006F5136" w:rsidRDefault="0025028B"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54E2514" w14:textId="4E6312B8" w:rsidR="0027576A"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212BD81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FB5EC77" w14:textId="77777777" w:rsidR="00BD2B81"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(4) </w:t>
            </w:r>
            <w:r w:rsidR="00BD2B81" w:rsidRPr="006F5136">
              <w:rPr>
                <w:rFonts w:ascii="Times New Roman" w:hAnsi="Times New Roman"/>
                <w:iCs/>
                <w:sz w:val="18"/>
                <w:szCs w:val="18"/>
                <w:lang w:val="ro-RO" w:eastAsia="ru-RU"/>
              </w:rPr>
              <w:t>ABE evaluează oportunitatea ajustării tratamentului expunerilor garantate cu ipoteci asupra bunurilor imobile comerciale, inclusiv al expunerilor IPRE și non-IPRE, ținând seama de caracterul adecvat al ponderilor de risc și de diferențele relative în ceea ce privește riscul expunerilor garantate cu bunuri imobile locative, de diferențele în ceea ce privește sensibilitatea la risc a expunerilor IPRE garantate cu bunuri imobile locative menționate la articolul 125 alineatul (2) tabelul 1 și a expunerilor IPRE garantate cu bunuri imobile comerciale menționate în tabelul 1 de la prezentul articol, precum și de recomandările CERS privind vulnerabilitățile din sectorul imobiliar comercial din Uniune. ABE prezintă Comisiei un raport privind constatările sale până la 31 decembrie 2027.</w:t>
            </w:r>
          </w:p>
          <w:p w14:paraId="3F07DB18" w14:textId="613D7C27" w:rsidR="0027576A" w:rsidRPr="006F5136" w:rsidRDefault="00BD2B8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Pe baza raportului menționat la primul paragraf și ținând seama în mod corespunzător de standardele conexe convenite la nivel internațional elaborate de BCBS, Comisia prezintă Parlamentului European și Consiliului, dacă este cazul, o propunere legislativă până la 31 decembrie 2028.</w:t>
            </w:r>
          </w:p>
        </w:tc>
        <w:tc>
          <w:tcPr>
            <w:tcW w:w="1661" w:type="pct"/>
            <w:shd w:val="clear" w:color="auto" w:fill="auto"/>
          </w:tcPr>
          <w:p w14:paraId="11B347AC"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25D15B71" w14:textId="03216F71"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Norme UE neaplicabile</w:t>
            </w:r>
          </w:p>
        </w:tc>
        <w:tc>
          <w:tcPr>
            <w:tcW w:w="912" w:type="pct"/>
          </w:tcPr>
          <w:p w14:paraId="6BADBC3D" w14:textId="7B332EDD" w:rsidR="0027576A" w:rsidRPr="006F5136" w:rsidRDefault="0027576A" w:rsidP="005E4694">
            <w:pPr>
              <w:spacing w:after="0" w:line="240" w:lineRule="auto"/>
              <w:jc w:val="both"/>
              <w:rPr>
                <w:rFonts w:ascii="Times New Roman" w:hAnsi="Times New Roman" w:cs="Times New Roman"/>
                <w:sz w:val="18"/>
                <w:szCs w:val="18"/>
                <w:lang w:val="ro-RO"/>
              </w:rPr>
            </w:pPr>
          </w:p>
        </w:tc>
      </w:tr>
      <w:tr w:rsidR="006B3BC1" w:rsidRPr="006F5136" w14:paraId="6CA557F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4012A6B" w14:textId="77777777"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M17</w:t>
            </w:r>
          </w:p>
          <w:p w14:paraId="575B08DC" w14:textId="305C86F7"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sz w:val="18"/>
                <w:szCs w:val="18"/>
                <w:lang w:val="ro-RO" w:eastAsia="ru-RU"/>
              </w:rPr>
              <w:t>Articolul 126a</w:t>
            </w:r>
            <w:r w:rsidRPr="006F5136">
              <w:rPr>
                <w:rFonts w:ascii="Times New Roman" w:hAnsi="Times New Roman"/>
                <w:iCs/>
                <w:sz w:val="18"/>
                <w:szCs w:val="18"/>
                <w:lang w:val="ro-RO" w:eastAsia="ru-RU"/>
              </w:rPr>
              <w:t xml:space="preserve"> </w:t>
            </w:r>
            <w:r w:rsidRPr="006F5136">
              <w:rPr>
                <w:rFonts w:ascii="Times New Roman" w:hAnsi="Times New Roman"/>
                <w:b/>
                <w:bCs/>
                <w:iCs/>
                <w:sz w:val="18"/>
                <w:szCs w:val="18"/>
                <w:lang w:val="ro-RO" w:eastAsia="ru-RU"/>
              </w:rPr>
              <w:t>Expuneri aferente achizițiilor de terenuri, dezvoltării și construcțiilor</w:t>
            </w:r>
          </w:p>
          <w:p w14:paraId="5A6FD495" w14:textId="77777777" w:rsidR="006B3BC1" w:rsidRPr="006F5136" w:rsidRDefault="006B3BC1" w:rsidP="006B3BC1">
            <w:pPr>
              <w:pStyle w:val="CM4"/>
              <w:tabs>
                <w:tab w:val="left" w:pos="150"/>
              </w:tabs>
              <w:ind w:left="-43"/>
              <w:jc w:val="both"/>
              <w:rPr>
                <w:rFonts w:ascii="Times New Roman" w:hAnsi="Times New Roman"/>
                <w:iCs/>
                <w:sz w:val="18"/>
                <w:szCs w:val="18"/>
                <w:lang w:val="ro-RO" w:eastAsia="ru-RU"/>
              </w:rPr>
            </w:pPr>
          </w:p>
          <w:p w14:paraId="377BD070" w14:textId="0F3B5137"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   O expunere ADC primește o pondere de risc de 150 %.</w:t>
            </w:r>
          </w:p>
        </w:tc>
        <w:tc>
          <w:tcPr>
            <w:tcW w:w="1661" w:type="pct"/>
            <w:shd w:val="clear" w:color="auto" w:fill="auto"/>
          </w:tcPr>
          <w:p w14:paraId="3B2D1448" w14:textId="77777777" w:rsidR="006B3BC1" w:rsidRPr="006F5136" w:rsidRDefault="006B3BC1" w:rsidP="006B3BC1">
            <w:pPr>
              <w:spacing w:after="0" w:line="240" w:lineRule="auto"/>
              <w:jc w:val="center"/>
              <w:rPr>
                <w:rFonts w:ascii="Times New Roman" w:eastAsia="Times New Roman" w:hAnsi="Times New Roman" w:cs="Times New Roman"/>
                <w:b/>
                <w:bCs/>
                <w:i/>
                <w:iCs/>
                <w:sz w:val="18"/>
                <w:szCs w:val="18"/>
                <w:lang w:val="ro-RO" w:eastAsia="ro-MD"/>
              </w:rPr>
            </w:pPr>
            <w:r w:rsidRPr="006F5136">
              <w:rPr>
                <w:rFonts w:ascii="Times New Roman" w:eastAsia="Times New Roman" w:hAnsi="Times New Roman" w:cs="Times New Roman"/>
                <w:b/>
                <w:bCs/>
                <w:i/>
                <w:iCs/>
                <w:sz w:val="18"/>
                <w:szCs w:val="18"/>
                <w:lang w:val="ro-RO" w:eastAsia="ro-MD"/>
              </w:rPr>
              <w:t>Secțiunea a 13</w:t>
            </w:r>
            <w:r w:rsidRPr="006F5136">
              <w:rPr>
                <w:rFonts w:ascii="Times New Roman" w:eastAsia="Times New Roman" w:hAnsi="Times New Roman" w:cs="Times New Roman"/>
                <w:b/>
                <w:bCs/>
                <w:i/>
                <w:iCs/>
                <w:sz w:val="18"/>
                <w:szCs w:val="18"/>
                <w:vertAlign w:val="superscript"/>
                <w:lang w:val="ro-RO" w:eastAsia="ro-MD"/>
              </w:rPr>
              <w:t>1</w:t>
            </w:r>
            <w:r w:rsidRPr="006F5136">
              <w:rPr>
                <w:rFonts w:ascii="Times New Roman" w:eastAsia="Times New Roman" w:hAnsi="Times New Roman" w:cs="Times New Roman"/>
                <w:b/>
                <w:bCs/>
                <w:i/>
                <w:iCs/>
                <w:sz w:val="18"/>
                <w:szCs w:val="18"/>
                <w:lang w:val="ro-RO" w:eastAsia="ro-MD"/>
              </w:rPr>
              <w:t>-a</w:t>
            </w:r>
          </w:p>
          <w:p w14:paraId="4B6FE36D" w14:textId="77777777" w:rsidR="006B3BC1" w:rsidRPr="006F5136" w:rsidRDefault="006B3BC1" w:rsidP="006B3BC1">
            <w:pPr>
              <w:spacing w:after="0" w:line="240" w:lineRule="auto"/>
              <w:jc w:val="center"/>
              <w:rPr>
                <w:rFonts w:ascii="Times New Roman" w:eastAsia="Times New Roman" w:hAnsi="Times New Roman" w:cs="Times New Roman"/>
                <w:b/>
                <w:bCs/>
                <w:i/>
                <w:iCs/>
                <w:sz w:val="18"/>
                <w:szCs w:val="18"/>
                <w:lang w:val="ro-RO" w:eastAsia="ro-MD"/>
              </w:rPr>
            </w:pPr>
            <w:r w:rsidRPr="006F5136">
              <w:rPr>
                <w:rFonts w:ascii="Times New Roman" w:eastAsia="Times New Roman" w:hAnsi="Times New Roman" w:cs="Times New Roman"/>
                <w:b/>
                <w:bCs/>
                <w:i/>
                <w:iCs/>
                <w:sz w:val="18"/>
                <w:szCs w:val="18"/>
                <w:lang w:val="ro-RO" w:eastAsia="ro-MD"/>
              </w:rPr>
              <w:t>Expuneri aferente achizițiilor de terenuri, dezvoltării și construcțiilor</w:t>
            </w:r>
          </w:p>
          <w:p w14:paraId="1E749B33" w14:textId="77777777" w:rsidR="006B3BC1" w:rsidRPr="006F5136" w:rsidRDefault="006B3BC1" w:rsidP="006B3BC1">
            <w:pPr>
              <w:spacing w:after="0" w:line="240" w:lineRule="auto"/>
              <w:ind w:firstLine="567"/>
              <w:jc w:val="both"/>
              <w:rPr>
                <w:rFonts w:ascii="Times New Roman" w:eastAsia="Times New Roman" w:hAnsi="Times New Roman" w:cs="Times New Roman"/>
                <w:sz w:val="18"/>
                <w:szCs w:val="18"/>
                <w:lang w:eastAsia="ro-MD"/>
              </w:rPr>
            </w:pPr>
          </w:p>
          <w:p w14:paraId="3659C09A" w14:textId="77777777" w:rsidR="006B3BC1" w:rsidRPr="006F5136" w:rsidRDefault="006B3BC1" w:rsidP="006B3BC1">
            <w:pPr>
              <w:pStyle w:val="CM4"/>
              <w:tabs>
                <w:tab w:val="left" w:pos="150"/>
              </w:tabs>
              <w:ind w:left="-36"/>
              <w:rPr>
                <w:rFonts w:ascii="Times New Roman" w:hAnsi="Times New Roman"/>
                <w:sz w:val="18"/>
                <w:szCs w:val="18"/>
                <w:lang w:eastAsia="ro-MD"/>
              </w:rPr>
            </w:pPr>
            <w:r w:rsidRPr="006F5136">
              <w:rPr>
                <w:rFonts w:ascii="Times New Roman" w:hAnsi="Times New Roman"/>
                <w:b/>
                <w:bCs/>
                <w:sz w:val="18"/>
                <w:szCs w:val="18"/>
                <w:lang w:eastAsia="ro-MD"/>
              </w:rPr>
              <w:t>72</w:t>
            </w:r>
            <w:r w:rsidRPr="006F5136">
              <w:rPr>
                <w:rFonts w:ascii="Times New Roman" w:hAnsi="Times New Roman"/>
                <w:b/>
                <w:bCs/>
                <w:sz w:val="18"/>
                <w:szCs w:val="18"/>
                <w:vertAlign w:val="superscript"/>
                <w:lang w:eastAsia="ro-MD"/>
              </w:rPr>
              <w:t>4</w:t>
            </w:r>
            <w:r w:rsidRPr="006F5136">
              <w:rPr>
                <w:rFonts w:ascii="Times New Roman" w:hAnsi="Times New Roman"/>
                <w:b/>
                <w:bCs/>
                <w:sz w:val="18"/>
                <w:szCs w:val="18"/>
                <w:lang w:eastAsia="ro-MD"/>
              </w:rPr>
              <w:t>.</w:t>
            </w:r>
            <w:r w:rsidRPr="006F5136">
              <w:rPr>
                <w:rFonts w:ascii="Times New Roman" w:hAnsi="Times New Roman"/>
                <w:sz w:val="18"/>
                <w:szCs w:val="18"/>
                <w:lang w:eastAsia="ro-MD"/>
              </w:rPr>
              <w:t xml:space="preserve"> O expunere ADC primește o pondere de risc de 150 %.</w:t>
            </w:r>
          </w:p>
          <w:p w14:paraId="23F83B4C" w14:textId="2C3EA6BE" w:rsidR="006B3BC1" w:rsidRPr="006F5136" w:rsidRDefault="006B3BC1" w:rsidP="006B3BC1">
            <w:pPr>
              <w:spacing w:after="0" w:line="240" w:lineRule="auto"/>
              <w:rPr>
                <w:rFonts w:ascii="Times New Roman" w:hAnsi="Times New Roman" w:cs="Times New Roman"/>
                <w:sz w:val="18"/>
                <w:szCs w:val="18"/>
                <w:lang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05078796" w14:textId="47EF044D"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0CE94915" w14:textId="3784E048"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5AC41BD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868E383" w14:textId="77777777"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   Expunerile ADC aferente bunurilor imobile locative pot primi o pondere de risc de 100 %, cu condiția ca instituția să aplice standarde riguroase în materie de inițiere și monitorizare care îndeplinesc cerințele prevăzute la articolele 74 și 79 din Directiva 2013/36/UE și dacă este îndeplinită cel puțin una dintre următoarele condiții:</w:t>
            </w:r>
          </w:p>
          <w:p w14:paraId="2569CF15" w14:textId="3CEA1B8F"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contractele de prevânzare sau de preînchiriere obligatorii din punct de vedere juridic, pentru care cumpărătorul sau chiriașul a făcut un depozit în numerar substanțial care urmează să fie reținut în cazul rezilierii contractului sau pentru care finanțarea este asigurată într-un mod echivalent, ori contractele de vânzare sau de închiriere obligatorii din punct de vedere juridic, inclusiv în cazurile în care plata se efectuează în tranșe pe măsură ce lucrările de construcție avansează, reprezintă o parte semnificativă din totalul contractelor;</w:t>
            </w:r>
          </w:p>
          <w:p w14:paraId="673A27FA" w14:textId="77777777" w:rsidR="006B3BC1" w:rsidRPr="006F5136" w:rsidRDefault="006B3BC1" w:rsidP="006B3BC1">
            <w:pPr>
              <w:pStyle w:val="CM4"/>
              <w:tabs>
                <w:tab w:val="left" w:pos="150"/>
              </w:tabs>
              <w:ind w:left="-43"/>
              <w:jc w:val="both"/>
              <w:rPr>
                <w:rFonts w:ascii="Times New Roman" w:hAnsi="Times New Roman"/>
                <w:iCs/>
                <w:sz w:val="18"/>
                <w:szCs w:val="18"/>
                <w:lang w:val="ro-RO" w:eastAsia="ru-RU"/>
              </w:rPr>
            </w:pPr>
          </w:p>
          <w:p w14:paraId="1CA4F75F" w14:textId="7C300301"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debitorul are un capital propriu substanțial expus la risc, reprezentat de un cuantum adecvat al capitalurilor proprii cu care contribuie debitorul în raport cu valoarea bunului imobil locativ la momentul finalizării acestuia.</w:t>
            </w:r>
          </w:p>
        </w:tc>
        <w:tc>
          <w:tcPr>
            <w:tcW w:w="1661" w:type="pct"/>
            <w:shd w:val="clear" w:color="auto" w:fill="auto"/>
          </w:tcPr>
          <w:p w14:paraId="5B5D2CA4"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b/>
                <w:bCs/>
                <w:sz w:val="18"/>
                <w:szCs w:val="18"/>
                <w:lang w:eastAsia="ro-MD"/>
              </w:rPr>
              <w:t>72</w:t>
            </w:r>
            <w:r w:rsidRPr="006F5136">
              <w:rPr>
                <w:rFonts w:ascii="Times New Roman" w:eastAsia="Times New Roman" w:hAnsi="Times New Roman" w:cs="Times New Roman"/>
                <w:b/>
                <w:bCs/>
                <w:sz w:val="18"/>
                <w:szCs w:val="18"/>
                <w:vertAlign w:val="superscript"/>
                <w:lang w:eastAsia="ro-MD"/>
              </w:rPr>
              <w:t>5</w:t>
            </w:r>
            <w:r w:rsidRPr="006F5136">
              <w:rPr>
                <w:rFonts w:ascii="Times New Roman" w:eastAsia="Times New Roman" w:hAnsi="Times New Roman" w:cs="Times New Roman"/>
                <w:b/>
                <w:bCs/>
                <w:sz w:val="18"/>
                <w:szCs w:val="18"/>
                <w:lang w:eastAsia="ro-MD"/>
              </w:rPr>
              <w:t>.</w:t>
            </w:r>
            <w:r w:rsidRPr="006F5136">
              <w:rPr>
                <w:rFonts w:ascii="Times New Roman" w:eastAsia="Times New Roman" w:hAnsi="Times New Roman" w:cs="Times New Roman"/>
                <w:sz w:val="18"/>
                <w:szCs w:val="18"/>
                <w:lang w:eastAsia="ro-MD"/>
              </w:rPr>
              <w:t xml:space="preserve"> Expunerile ADC aferente bunurilor imobile locative pot primi o pondere de risc de 100 %, cu condiția ca banca să aplice standarde riguroase în materie de inițiere și monitorizare care îndeplinesc cerințele prevăzute la articolul 38 din Legea nr.202/2017 și dacă este îndeplinită cel puțin una dintre următoarele condiții:</w:t>
            </w:r>
          </w:p>
          <w:p w14:paraId="20867C9A"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1) contractele de prevânzare sau de preînchiriere obligatorii din punct de vedere juridic, pentru care cumpărătorul sau locatarul a făcut un depozit în numerar substanțial care urmează să fie reținut în cazul rezilierii contractului sau pentru care finanțarea este asigurată într-un mod echivalent, ori contractele de vânzare sau de închiriere obligatorii din punct de vedere juridic, inclusiv în cazurile în care plata se efectuează în tranșe pe măsură ce lucrările de construcție avansează, reprezintă o parte semnificativă din totalul contractelor;</w:t>
            </w:r>
          </w:p>
          <w:p w14:paraId="75865776" w14:textId="77777777" w:rsidR="006B3BC1" w:rsidRPr="006F5136" w:rsidRDefault="006B3BC1" w:rsidP="006B3BC1">
            <w:pPr>
              <w:pStyle w:val="CM4"/>
              <w:tabs>
                <w:tab w:val="left" w:pos="150"/>
              </w:tabs>
              <w:ind w:left="-36"/>
              <w:rPr>
                <w:rFonts w:ascii="Times New Roman" w:hAnsi="Times New Roman"/>
                <w:sz w:val="18"/>
                <w:szCs w:val="18"/>
                <w:lang w:eastAsia="ro-MD"/>
              </w:rPr>
            </w:pPr>
            <w:r w:rsidRPr="006F5136">
              <w:rPr>
                <w:rFonts w:ascii="Times New Roman" w:hAnsi="Times New Roman"/>
                <w:sz w:val="18"/>
                <w:szCs w:val="18"/>
                <w:lang w:eastAsia="ro-MD"/>
              </w:rPr>
              <w:t>2) debitorul are un capital propriu substanțial expus la risc, reprezentat de un cuantum adecvat al capitalurilor proprii cu care contribuie debitorul în raport cu valoarea bunului imobil locativ la momentul finalizării acestuia.</w:t>
            </w:r>
          </w:p>
          <w:p w14:paraId="7FB2C31C" w14:textId="3DD64653" w:rsidR="006B3BC1" w:rsidRPr="006F5136" w:rsidRDefault="006B3BC1" w:rsidP="006B3BC1">
            <w:pPr>
              <w:spacing w:after="0" w:line="240" w:lineRule="auto"/>
              <w:rPr>
                <w:rFonts w:ascii="Times New Roman" w:hAnsi="Times New Roman" w:cs="Times New Roman"/>
                <w:sz w:val="18"/>
                <w:szCs w:val="18"/>
                <w:lang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07F413F1" w14:textId="7F9CE99E"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39ADC750" w14:textId="41BB4CD5"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78043D" w:rsidRPr="006F5136" w14:paraId="06C3E1A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B0D071E" w14:textId="5AC338F1" w:rsidR="0078043D" w:rsidRPr="006F5136" w:rsidRDefault="0078043D"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   Până la 10 iulie 2025, ABE emite ghiduri, în conformitate cu articolul 16 din Regulamentul (UE) nr. 1093/2010, care precizează înțelesul termenilor depozite în numerar substanțiale, „finanțare asigurată într-un mod echivalent”, „parte semnificativă din totalul contractelor” și „cuantum adecvat al capitalurilor proprii cu care contribuie debitorul”, ținând seama de particularitățile împrumuturilor acordate de instituții locuințelor publice sau entităților fără scop lucrativ din întreaga Uniune care sunt reglementate prin lege și care există pentru a servi unor scopuri sociale și pentru a le oferi chiriașilor locuințe pe termen lung.</w:t>
            </w:r>
          </w:p>
        </w:tc>
        <w:tc>
          <w:tcPr>
            <w:tcW w:w="1661" w:type="pct"/>
            <w:shd w:val="clear" w:color="auto" w:fill="auto"/>
          </w:tcPr>
          <w:p w14:paraId="4DD6E7EF" w14:textId="77777777" w:rsidR="0078043D" w:rsidRPr="006F5136" w:rsidRDefault="0078043D" w:rsidP="005E4694">
            <w:pPr>
              <w:pStyle w:val="CM4"/>
              <w:tabs>
                <w:tab w:val="left" w:pos="150"/>
              </w:tabs>
              <w:ind w:left="-36"/>
              <w:rPr>
                <w:rFonts w:ascii="Times New Roman" w:hAnsi="Times New Roman"/>
                <w:sz w:val="18"/>
                <w:szCs w:val="18"/>
                <w:lang w:val="ro-RO" w:eastAsia="ru-RU"/>
              </w:rPr>
            </w:pPr>
          </w:p>
        </w:tc>
        <w:tc>
          <w:tcPr>
            <w:tcW w:w="503" w:type="pct"/>
          </w:tcPr>
          <w:p w14:paraId="488C9417" w14:textId="1F6FE6C1" w:rsidR="0078043D" w:rsidRPr="006F5136" w:rsidRDefault="00E42FB5"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Prevederi UE neaplicabile</w:t>
            </w:r>
          </w:p>
        </w:tc>
        <w:tc>
          <w:tcPr>
            <w:tcW w:w="912" w:type="pct"/>
          </w:tcPr>
          <w:p w14:paraId="541A0F25" w14:textId="77777777" w:rsidR="0078043D" w:rsidRPr="006F5136" w:rsidRDefault="0078043D" w:rsidP="005E4694">
            <w:pPr>
              <w:spacing w:after="0" w:line="240" w:lineRule="auto"/>
              <w:jc w:val="both"/>
              <w:rPr>
                <w:rFonts w:ascii="Times New Roman" w:hAnsi="Times New Roman" w:cs="Times New Roman"/>
                <w:sz w:val="18"/>
                <w:szCs w:val="18"/>
                <w:lang w:val="ro-RO"/>
              </w:rPr>
            </w:pPr>
          </w:p>
        </w:tc>
      </w:tr>
      <w:tr w:rsidR="0027576A" w:rsidRPr="006F5136" w14:paraId="134A244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4D33852"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127</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Expuneri în stare de nerambursare</w:t>
            </w:r>
          </w:p>
          <w:p w14:paraId="31B16479" w14:textId="3677542C" w:rsidR="0027576A" w:rsidRPr="006F5136" w:rsidRDefault="0027576A" w:rsidP="005E4694">
            <w:pPr>
              <w:pStyle w:val="CM4"/>
              <w:tabs>
                <w:tab w:val="left" w:pos="150"/>
              </w:tabs>
              <w:ind w:left="-43"/>
              <w:jc w:val="both"/>
              <w:rPr>
                <w:rFonts w:ascii="Times New Roman" w:hAnsi="Times New Roman"/>
                <w:b/>
                <w:bCs/>
                <w:iCs/>
                <w:sz w:val="18"/>
                <w:szCs w:val="18"/>
                <w:lang w:val="ro-RO" w:eastAsia="ru-RU"/>
              </w:rPr>
            </w:pPr>
            <w:r w:rsidRPr="006F5136">
              <w:rPr>
                <w:rFonts w:ascii="Times New Roman" w:hAnsi="Times New Roman"/>
                <w:b/>
                <w:bCs/>
                <w:iCs/>
                <w:sz w:val="18"/>
                <w:szCs w:val="18"/>
                <w:lang w:val="ro-RO" w:eastAsia="ru-RU"/>
              </w:rPr>
              <w:t>M7</w:t>
            </w:r>
          </w:p>
          <w:p w14:paraId="56246FA3" w14:textId="2570FACB"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(1) Partea negarantată a oricărui element în legătură cu care debitorul se află în stare de nerambursare în conformitate cu articolul 178 sau, în cazul expunerilor de tip retail, partea negarantată a oricărei facilități de credit care se află în stare de nerambursare în conformitate cu articolul 178 primește o pondere de risc de: </w:t>
            </w:r>
          </w:p>
          <w:p w14:paraId="4EDBB5DA" w14:textId="34BD0111"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150 %, în cazul în care suma ajustărilor specifice pentru riscul de credit și a cuantumurilor deduse în conformitate cu articolul 36 alineatul (1) litera (m) reprezintă mai puțin de 20 % din partea negarantată a valorii expunerii, în condițiile în care aceste ajustări specifice pentru riscul de credit și aceste deduceri nu ar fi aplicate;</w:t>
            </w:r>
          </w:p>
          <w:p w14:paraId="5DDC4CC7" w14:textId="74EA0884"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100 %, în cazul în care ajustările specifice pentru riscul de credit și a cuantumurilor deduse în conformitate cu articolul 36 alineatul (1) litera (m) nu reprezintă mai puțin de 20 % din partea negarantată a valorii expunerii, în condițiile în care aceste ajustări specifice pentru riscul de credit și aceste deduceri nu ar fi aplicate.</w:t>
            </w:r>
          </w:p>
        </w:tc>
        <w:tc>
          <w:tcPr>
            <w:tcW w:w="1661" w:type="pct"/>
            <w:shd w:val="clear" w:color="auto" w:fill="auto"/>
          </w:tcPr>
          <w:p w14:paraId="59F46919" w14:textId="77777777" w:rsidR="0027576A" w:rsidRPr="006F5136" w:rsidRDefault="0027576A" w:rsidP="005E4694">
            <w:pPr>
              <w:pStyle w:val="CM4"/>
              <w:tabs>
                <w:tab w:val="left" w:pos="150"/>
              </w:tabs>
              <w:ind w:left="-36"/>
              <w:jc w:val="both"/>
              <w:rPr>
                <w:rFonts w:ascii="Times New Roman" w:hAnsi="Times New Roman"/>
                <w:sz w:val="18"/>
                <w:szCs w:val="18"/>
                <w:lang w:val="ro-RO" w:eastAsia="ru-RU"/>
              </w:rPr>
            </w:pPr>
            <w:r w:rsidRPr="006F5136">
              <w:rPr>
                <w:rFonts w:ascii="Times New Roman" w:hAnsi="Times New Roman"/>
                <w:sz w:val="18"/>
                <w:szCs w:val="18"/>
                <w:lang w:val="ro-RO" w:eastAsia="ru-RU"/>
              </w:rPr>
              <w:t xml:space="preserve">Secțiunea a 14-a. </w:t>
            </w:r>
            <w:r w:rsidRPr="006F5136">
              <w:rPr>
                <w:rFonts w:ascii="Times New Roman" w:hAnsi="Times New Roman"/>
                <w:b/>
                <w:bCs/>
                <w:sz w:val="18"/>
                <w:szCs w:val="18"/>
                <w:lang w:val="ro-RO" w:eastAsia="ru-RU"/>
              </w:rPr>
              <w:t>Expuneri în stare de nerambursare</w:t>
            </w:r>
            <w:r w:rsidRPr="006F5136">
              <w:rPr>
                <w:rFonts w:ascii="Times New Roman" w:hAnsi="Times New Roman"/>
                <w:sz w:val="18"/>
                <w:szCs w:val="18"/>
                <w:lang w:val="ro-RO" w:eastAsia="ru-RU"/>
              </w:rPr>
              <w:t xml:space="preserve"> </w:t>
            </w:r>
          </w:p>
          <w:p w14:paraId="72A6FA51" w14:textId="77777777" w:rsidR="00410549" w:rsidRPr="006F5136" w:rsidRDefault="00410549"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73.</w:t>
            </w:r>
            <w:r w:rsidRPr="006F5136">
              <w:rPr>
                <w:rFonts w:ascii="Times New Roman" w:eastAsia="Times New Roman" w:hAnsi="Times New Roman" w:cs="Times New Roman"/>
                <w:sz w:val="18"/>
                <w:szCs w:val="18"/>
                <w:lang w:val="ro-RO" w:eastAsia="ro-MD"/>
              </w:rPr>
              <w:t xml:space="preserve"> Partea negarantată a oricărui element în legătură cu care debitorul se află în stare de nerambursare în conformitate cu prevederile capitolului III secțiunea a 3-a sau, în cazul expunerilor de tip retail, partea negarantată a oricărei facilități de credit care se află în stare de nerambursare în conformitate cu aceleași prevederi primește o pondere de risc, după cum urmează:</w:t>
            </w:r>
          </w:p>
          <w:p w14:paraId="0ADDDBC8" w14:textId="23818AA7" w:rsidR="00410549" w:rsidRPr="006F5136" w:rsidRDefault="00410549"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de 150%, în cazul în care ajustările specifice pentru riscul de credit</w:t>
            </w:r>
            <w:r w:rsidRPr="006F5136">
              <w:rPr>
                <w:rFonts w:ascii="Times New Roman" w:hAnsi="Times New Roman" w:cs="Times New Roman"/>
                <w:sz w:val="18"/>
                <w:szCs w:val="18"/>
              </w:rPr>
              <w:t xml:space="preserve"> </w:t>
            </w:r>
            <w:bookmarkStart w:id="10" w:name="_Hlk206590394"/>
            <w:r w:rsidRPr="006F5136">
              <w:rPr>
                <w:rFonts w:ascii="Times New Roman" w:eastAsia="Times New Roman" w:hAnsi="Times New Roman" w:cs="Times New Roman"/>
                <w:sz w:val="18"/>
                <w:szCs w:val="18"/>
                <w:lang w:val="ro-RO" w:eastAsia="ro-MD"/>
              </w:rPr>
              <w:t>și a cuantumurilor deduse în conformitate cu Regulamentul nr. 109/2018</w:t>
            </w:r>
            <w:bookmarkEnd w:id="10"/>
            <w:r w:rsidRPr="006F5136">
              <w:rPr>
                <w:rFonts w:ascii="Times New Roman" w:eastAsia="Times New Roman" w:hAnsi="Times New Roman" w:cs="Times New Roman"/>
                <w:sz w:val="18"/>
                <w:szCs w:val="18"/>
                <w:lang w:val="ro-RO" w:eastAsia="ro-MD"/>
              </w:rPr>
              <w:t xml:space="preserve"> reprezintă mai puțin de 20% din partea negarantată a valorii expunerii, calculată fără a lua în considerare aceste ajustări specifice și deduceri;</w:t>
            </w:r>
          </w:p>
          <w:p w14:paraId="07FF7556" w14:textId="77777777" w:rsidR="0027576A" w:rsidRPr="006F5136" w:rsidRDefault="00410549" w:rsidP="005E4694">
            <w:pPr>
              <w:pStyle w:val="CM4"/>
              <w:tabs>
                <w:tab w:val="left" w:pos="150"/>
              </w:tabs>
              <w:ind w:left="-36"/>
              <w:jc w:val="both"/>
              <w:rPr>
                <w:rFonts w:ascii="Times New Roman" w:hAnsi="Times New Roman"/>
                <w:sz w:val="18"/>
                <w:szCs w:val="18"/>
                <w:lang w:val="ro-RO" w:eastAsia="ro-MD"/>
              </w:rPr>
            </w:pPr>
            <w:r w:rsidRPr="006F5136">
              <w:rPr>
                <w:rFonts w:ascii="Times New Roman" w:hAnsi="Times New Roman"/>
                <w:sz w:val="18"/>
                <w:szCs w:val="18"/>
                <w:lang w:val="ro-RO" w:eastAsia="ro-MD"/>
              </w:rPr>
              <w:t>2) de 100%, în cazul în care ajustările specifice pentru riscul de credit și a cuantumurilor deduse în conformitate cu Regulamentul nr. 109/2018 nu reprezintă mai puțin de 20% din partea negarantată a valorii expunerii, calculată fără a lua în considerare aceste ajustări specifice.</w:t>
            </w:r>
          </w:p>
          <w:p w14:paraId="2335BD07" w14:textId="344464EB" w:rsidR="00410549" w:rsidRPr="006F5136" w:rsidRDefault="005C0C9C" w:rsidP="005E4694">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u-RU"/>
              </w:rPr>
              <w:t xml:space="preserve">Completat prin </w:t>
            </w:r>
            <w:r w:rsidR="00410549"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5FA17E39" w14:textId="521786C2" w:rsidR="0027576A" w:rsidRPr="006F5136" w:rsidRDefault="00410549"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w:t>
            </w:r>
            <w:r w:rsidR="0027576A" w:rsidRPr="006F5136">
              <w:rPr>
                <w:rFonts w:ascii="Times New Roman" w:hAnsi="Times New Roman" w:cs="Times New Roman"/>
                <w:sz w:val="18"/>
                <w:szCs w:val="18"/>
                <w:lang w:val="ro-RO"/>
              </w:rPr>
              <w:t>ompatibil</w:t>
            </w:r>
          </w:p>
        </w:tc>
        <w:tc>
          <w:tcPr>
            <w:tcW w:w="912" w:type="pct"/>
          </w:tcPr>
          <w:p w14:paraId="517431E3" w14:textId="2A035C81"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50105D8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333E5E0" w14:textId="77777777" w:rsidR="006B3BC1" w:rsidRPr="006F5136" w:rsidRDefault="006B3BC1" w:rsidP="006B3BC1">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▼M17</w:t>
            </w:r>
          </w:p>
          <w:p w14:paraId="49068E21" w14:textId="77777777" w:rsidR="006B3BC1" w:rsidRPr="006F5136" w:rsidRDefault="006B3BC1" w:rsidP="006B3BC1">
            <w:pPr>
              <w:pStyle w:val="CM4"/>
              <w:tabs>
                <w:tab w:val="left" w:pos="150"/>
              </w:tabs>
              <w:ind w:left="-43"/>
              <w:jc w:val="both"/>
              <w:rPr>
                <w:rFonts w:ascii="Times New Roman" w:hAnsi="Times New Roman"/>
                <w:sz w:val="18"/>
                <w:szCs w:val="18"/>
                <w:lang w:val="ro-RO" w:eastAsia="ru-RU"/>
              </w:rPr>
            </w:pPr>
          </w:p>
          <w:p w14:paraId="4C1705CD" w14:textId="1B8753F8" w:rsidR="006B3BC1" w:rsidRPr="006F5136" w:rsidRDefault="006B3BC1" w:rsidP="006B3BC1">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În scopul calculării ajustărilor specifice pentru riscul de credit menționate la primul paragraf pentru o expunere care este achiziționată atunci când se află deja în stare de nerambursare, instituțiile includ în calcul orice diferență pozitivă dintre cuantumul datorat de debitor pentru acea expunere și suma dintre reducerea fondurilor proprii suplimentare în cazul în care expunerea respectivă ar fi scoasă integral în afara bilanțului și orice reduceri deja existente ale fondurilor proprii legate de expunerea respectivă.</w:t>
            </w:r>
          </w:p>
        </w:tc>
        <w:tc>
          <w:tcPr>
            <w:tcW w:w="1661" w:type="pct"/>
            <w:shd w:val="clear" w:color="auto" w:fill="auto"/>
          </w:tcPr>
          <w:p w14:paraId="4B6A17FC" w14:textId="77777777" w:rsidR="006B3BC1" w:rsidRPr="006F5136" w:rsidRDefault="006B3BC1" w:rsidP="006B3BC1">
            <w:pPr>
              <w:pStyle w:val="CM4"/>
              <w:tabs>
                <w:tab w:val="left" w:pos="150"/>
              </w:tabs>
              <w:ind w:left="-36"/>
              <w:jc w:val="both"/>
              <w:rPr>
                <w:rFonts w:ascii="Times New Roman" w:hAnsi="Times New Roman"/>
                <w:sz w:val="18"/>
                <w:szCs w:val="18"/>
                <w:lang w:val="ro-RO" w:eastAsia="ro-MD"/>
              </w:rPr>
            </w:pPr>
            <w:bookmarkStart w:id="11" w:name="_Hlk206590440"/>
            <w:r w:rsidRPr="006F5136">
              <w:rPr>
                <w:rFonts w:ascii="Times New Roman" w:hAnsi="Times New Roman"/>
                <w:b/>
                <w:bCs/>
                <w:sz w:val="18"/>
                <w:szCs w:val="18"/>
                <w:lang w:val="ro-RO" w:eastAsia="ro-MD"/>
              </w:rPr>
              <w:t>73</w:t>
            </w:r>
            <w:r w:rsidRPr="006F5136">
              <w:rPr>
                <w:rFonts w:ascii="Times New Roman" w:hAnsi="Times New Roman"/>
                <w:b/>
                <w:bCs/>
                <w:sz w:val="18"/>
                <w:szCs w:val="18"/>
                <w:vertAlign w:val="superscript"/>
                <w:lang w:val="ro-RO" w:eastAsia="ro-MD"/>
              </w:rPr>
              <w:t>1</w:t>
            </w:r>
            <w:r w:rsidRPr="006F5136">
              <w:rPr>
                <w:rFonts w:ascii="Times New Roman" w:hAnsi="Times New Roman"/>
                <w:b/>
                <w:bCs/>
                <w:sz w:val="18"/>
                <w:szCs w:val="18"/>
                <w:lang w:val="ro-RO" w:eastAsia="ro-MD"/>
              </w:rPr>
              <w:t>.</w:t>
            </w:r>
            <w:r w:rsidRPr="006F5136">
              <w:rPr>
                <w:rFonts w:ascii="Times New Roman" w:hAnsi="Times New Roman"/>
                <w:sz w:val="18"/>
                <w:szCs w:val="18"/>
                <w:lang w:val="ro-RO" w:eastAsia="ro-MD"/>
              </w:rPr>
              <w:t xml:space="preserve"> În scopul calculării ajustărilor specifice pentru riscul de credit menționate la punctul 73 pentru o expunere care este achiziționată atunci când se află deja în stare de nerambursare, băncile includ în calcul orice diferență pozitivă dintre cuantumul datorat de debitor pentru acea expunere și suma dintre reducerea fondurilor proprii suplimentare în cazul în care expunerea respectivă ar fi scoasă integral în afara bilanțului și orice reduceri deja existente ale fondurilor proprii legate de expunerea respectivă.</w:t>
            </w:r>
            <w:bookmarkEnd w:id="11"/>
            <w:r w:rsidRPr="006F5136">
              <w:rPr>
                <w:rFonts w:ascii="Times New Roman" w:hAnsi="Times New Roman"/>
                <w:sz w:val="18"/>
                <w:szCs w:val="18"/>
                <w:lang w:val="ro-RO" w:eastAsia="ro-MD"/>
              </w:rPr>
              <w:t xml:space="preserve"> </w:t>
            </w:r>
            <w:r w:rsidRPr="006F5136">
              <w:rPr>
                <w:rFonts w:ascii="Times New Roman" w:hAnsi="Times New Roman"/>
                <w:sz w:val="18"/>
                <w:szCs w:val="18"/>
                <w:highlight w:val="lightGray"/>
                <w:lang w:val="ro-RO" w:eastAsia="ro-MD"/>
              </w:rPr>
              <w:t xml:space="preserve"> </w:t>
            </w:r>
          </w:p>
          <w:p w14:paraId="2A465800" w14:textId="40270161" w:rsidR="006B3BC1" w:rsidRPr="006F5136" w:rsidRDefault="006B3BC1" w:rsidP="006B3BC1">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67AAB943" w14:textId="77CBF334"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B922133" w14:textId="663DF744"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66F94BF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1346CAF" w14:textId="77777777" w:rsidR="00922856" w:rsidRPr="006F5136" w:rsidRDefault="00922856"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▼M17</w:t>
            </w:r>
          </w:p>
          <w:p w14:paraId="333A7135" w14:textId="77777777" w:rsidR="00922856" w:rsidRPr="006F5136" w:rsidRDefault="00922856" w:rsidP="005E4694">
            <w:pPr>
              <w:pStyle w:val="CM4"/>
              <w:tabs>
                <w:tab w:val="left" w:pos="150"/>
              </w:tabs>
              <w:ind w:left="-43"/>
              <w:jc w:val="both"/>
              <w:rPr>
                <w:rFonts w:ascii="Times New Roman" w:hAnsi="Times New Roman"/>
                <w:iCs/>
                <w:sz w:val="18"/>
                <w:szCs w:val="18"/>
                <w:lang w:val="ro-RO" w:eastAsia="ru-RU"/>
              </w:rPr>
            </w:pPr>
          </w:p>
          <w:p w14:paraId="6415CCDA" w14:textId="77777777" w:rsidR="00922856" w:rsidRPr="006F5136" w:rsidRDefault="00922856"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   În vederea determinării părții garantate a unei expuneri în stare de nerambursare, garanțiile și garanțiile reale sunt eligibile pentru diminuarea riscului de credit în conformitate cu capitolul 4.</w:t>
            </w:r>
          </w:p>
          <w:p w14:paraId="4EB6CF42" w14:textId="3360B5CA" w:rsidR="0027576A" w:rsidRPr="006F5136" w:rsidRDefault="00922856"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   În cazul expunerilor non-IPRE garantate cu bunuri imobile locative sau comerciale în conformitate cu articolul 125 și, respectiv, articolul 126, valoarea expunerii rezultată după deducerea ajustărilor specifice pentru riscul de credit primește o pondere de risc de 100 % dacă a survenit o stare de nerambursare în conformitate cu articolul 178.</w:t>
            </w:r>
          </w:p>
        </w:tc>
        <w:tc>
          <w:tcPr>
            <w:tcW w:w="1661" w:type="pct"/>
            <w:shd w:val="clear" w:color="auto" w:fill="auto"/>
          </w:tcPr>
          <w:p w14:paraId="6F1EA196" w14:textId="77777777" w:rsidR="0027576A" w:rsidRPr="006F5136" w:rsidRDefault="00BF66D7" w:rsidP="005E4694">
            <w:pPr>
              <w:pStyle w:val="CM4"/>
              <w:tabs>
                <w:tab w:val="left" w:pos="150"/>
              </w:tabs>
              <w:ind w:left="-36"/>
              <w:jc w:val="both"/>
              <w:rPr>
                <w:rFonts w:ascii="Times New Roman" w:hAnsi="Times New Roman"/>
                <w:sz w:val="18"/>
                <w:szCs w:val="18"/>
                <w:lang w:val="ro-RO" w:eastAsia="ro-MD"/>
              </w:rPr>
            </w:pPr>
            <w:r w:rsidRPr="006F5136">
              <w:rPr>
                <w:rFonts w:ascii="Times New Roman" w:hAnsi="Times New Roman"/>
                <w:b/>
                <w:bCs/>
                <w:sz w:val="18"/>
                <w:szCs w:val="18"/>
                <w:lang w:val="ro-RO" w:eastAsia="ro-MD"/>
              </w:rPr>
              <w:t>74.</w:t>
            </w:r>
            <w:r w:rsidRPr="006F5136">
              <w:rPr>
                <w:rFonts w:ascii="Times New Roman" w:hAnsi="Times New Roman"/>
                <w:sz w:val="18"/>
                <w:szCs w:val="18"/>
                <w:lang w:val="ro-RO" w:eastAsia="ro-MD"/>
              </w:rPr>
              <w:t xml:space="preserve"> Pentru determinarea părții garantate a unei expuneri în stare de nerambursare, garanțiile și garanțiile reale sunt eligibile pentru scopul diminuării riscului de credit în conformitate cu actul normativ al Băncii Naționale a Moldovei aferent tehnicilor de diminuare a riscului de credit utilizate de bănci.</w:t>
            </w:r>
          </w:p>
          <w:p w14:paraId="6DC14006" w14:textId="3230CDF3" w:rsidR="00BF66D7" w:rsidRPr="006F5136" w:rsidRDefault="00BF66D7" w:rsidP="005E4694">
            <w:pPr>
              <w:spacing w:after="0" w:line="240" w:lineRule="auto"/>
              <w:rPr>
                <w:rFonts w:ascii="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75.</w:t>
            </w:r>
            <w:r w:rsidRPr="006F5136">
              <w:rPr>
                <w:rFonts w:ascii="Times New Roman" w:eastAsia="Times New Roman" w:hAnsi="Times New Roman" w:cs="Times New Roman"/>
                <w:sz w:val="18"/>
                <w:szCs w:val="18"/>
                <w:lang w:val="ro-RO" w:eastAsia="ro-MD"/>
              </w:rPr>
              <w:t xml:space="preserve"> </w:t>
            </w:r>
            <w:bookmarkStart w:id="12" w:name="_Hlk206590860"/>
            <w:r w:rsidRPr="006F5136">
              <w:rPr>
                <w:rFonts w:ascii="Times New Roman" w:eastAsia="Times New Roman" w:hAnsi="Times New Roman" w:cs="Times New Roman"/>
                <w:sz w:val="18"/>
                <w:szCs w:val="18"/>
                <w:lang w:val="ro-RO" w:eastAsia="ro-MD"/>
              </w:rPr>
              <w:t>În cazul expunerilor non-IPRE garantate cu bunuri imobile locative sau comerciale în conformitate cu secțiunea a 12-a și a 13-a, valoarea expunerii rezultată după deducerea ajustărilor specifice pentru riscul de credit primește o pondere de risc de 100%, dacă a survenit o stare de nerambursare conform capitolului III, secțiunea a 3-a</w:t>
            </w:r>
            <w:bookmarkEnd w:id="12"/>
            <w:r w:rsidRPr="006F5136">
              <w:rPr>
                <w:rFonts w:ascii="Times New Roman" w:eastAsia="Times New Roman" w:hAnsi="Times New Roman" w:cs="Times New Roman"/>
                <w:sz w:val="18"/>
                <w:szCs w:val="18"/>
                <w:lang w:val="ro-RO" w:eastAsia="ro-MD"/>
              </w:rPr>
              <w:t>.</w:t>
            </w:r>
          </w:p>
          <w:p w14:paraId="06A1E192" w14:textId="0529FBBF" w:rsidR="00BF66D7" w:rsidRPr="006F5136" w:rsidRDefault="00BF66D7" w:rsidP="005E4694">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0B5741C9"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2D8361C9" w14:textId="56AF0EE9"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6B81393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7"/>
        </w:trPr>
        <w:tc>
          <w:tcPr>
            <w:tcW w:w="1924" w:type="pct"/>
          </w:tcPr>
          <w:p w14:paraId="580F6929" w14:textId="1EA5C851" w:rsidR="0027576A" w:rsidRPr="006F5136" w:rsidRDefault="00922856"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Alin (3) </w:t>
            </w:r>
            <w:r w:rsidR="0083408B" w:rsidRPr="006F5136">
              <w:rPr>
                <w:rFonts w:ascii="Times New Roman" w:hAnsi="Times New Roman"/>
                <w:iCs/>
                <w:sz w:val="18"/>
                <w:szCs w:val="18"/>
                <w:lang w:val="ro-RO" w:eastAsia="ru-RU"/>
              </w:rPr>
              <w:t xml:space="preserve">și </w:t>
            </w:r>
            <w:r w:rsidR="0027576A" w:rsidRPr="006F5136">
              <w:rPr>
                <w:rFonts w:ascii="Times New Roman" w:hAnsi="Times New Roman"/>
                <w:iCs/>
                <w:sz w:val="18"/>
                <w:szCs w:val="18"/>
                <w:lang w:val="ro-RO" w:eastAsia="ru-RU"/>
              </w:rPr>
              <w:t xml:space="preserve">(4) </w:t>
            </w:r>
            <w:r w:rsidRPr="006F5136">
              <w:rPr>
                <w:rFonts w:ascii="Times New Roman" w:hAnsi="Times New Roman"/>
                <w:iCs/>
                <w:sz w:val="18"/>
                <w:szCs w:val="18"/>
                <w:lang w:val="ro-RO" w:eastAsia="ru-RU"/>
              </w:rPr>
              <w:t>abrogate prin M17</w:t>
            </w:r>
          </w:p>
        </w:tc>
        <w:tc>
          <w:tcPr>
            <w:tcW w:w="1661" w:type="pct"/>
            <w:shd w:val="clear" w:color="auto" w:fill="auto"/>
          </w:tcPr>
          <w:p w14:paraId="1D7BBF51"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2F67503B" w14:textId="0D1E8B77" w:rsidR="0027576A" w:rsidRPr="006F5136" w:rsidRDefault="0027576A" w:rsidP="005E4694">
            <w:pPr>
              <w:spacing w:after="0" w:line="240" w:lineRule="auto"/>
              <w:rPr>
                <w:rFonts w:ascii="Times New Roman" w:hAnsi="Times New Roman" w:cs="Times New Roman"/>
                <w:sz w:val="18"/>
                <w:szCs w:val="18"/>
                <w:lang w:val="ro-RO"/>
              </w:rPr>
            </w:pPr>
          </w:p>
        </w:tc>
        <w:tc>
          <w:tcPr>
            <w:tcW w:w="912" w:type="pct"/>
          </w:tcPr>
          <w:p w14:paraId="297DBE0D" w14:textId="7E4DDED0" w:rsidR="0027576A" w:rsidRPr="006F5136" w:rsidRDefault="0027576A" w:rsidP="005E4694">
            <w:pPr>
              <w:spacing w:after="0" w:line="240" w:lineRule="auto"/>
              <w:jc w:val="both"/>
              <w:rPr>
                <w:rFonts w:ascii="Times New Roman" w:hAnsi="Times New Roman" w:cs="Times New Roman"/>
                <w:sz w:val="18"/>
                <w:szCs w:val="18"/>
                <w:lang w:val="ro-RO"/>
              </w:rPr>
            </w:pPr>
          </w:p>
        </w:tc>
      </w:tr>
      <w:tr w:rsidR="0027576A" w:rsidRPr="006F5136" w14:paraId="18C4F2A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B2615B6" w14:textId="38EFDBC7" w:rsidR="00035FEE" w:rsidRPr="006F5136" w:rsidRDefault="00035FEE" w:rsidP="005E4694">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M17</w:t>
            </w:r>
          </w:p>
          <w:p w14:paraId="7A2B3AE7" w14:textId="77777777" w:rsidR="00035FEE" w:rsidRPr="006F5136" w:rsidRDefault="0027576A" w:rsidP="005E4694">
            <w:pPr>
              <w:pStyle w:val="CM4"/>
              <w:tabs>
                <w:tab w:val="left" w:pos="150"/>
              </w:tabs>
              <w:ind w:left="-43"/>
              <w:jc w:val="both"/>
              <w:rPr>
                <w:rFonts w:ascii="Times New Roman" w:hAnsi="Times New Roman"/>
                <w:b/>
                <w:iCs/>
                <w:sz w:val="18"/>
                <w:szCs w:val="18"/>
                <w:lang w:val="ro-RO" w:eastAsia="ru-RU"/>
              </w:rPr>
            </w:pPr>
            <w:r w:rsidRPr="006F5136">
              <w:rPr>
                <w:rFonts w:ascii="Times New Roman" w:hAnsi="Times New Roman"/>
                <w:i/>
                <w:iCs/>
                <w:sz w:val="18"/>
                <w:szCs w:val="18"/>
                <w:lang w:val="ro-RO" w:eastAsia="ru-RU"/>
              </w:rPr>
              <w:t>Articolul 128</w:t>
            </w:r>
            <w:r w:rsidRPr="006F5136">
              <w:rPr>
                <w:rFonts w:ascii="Times New Roman" w:hAnsi="Times New Roman"/>
                <w:iCs/>
                <w:sz w:val="18"/>
                <w:szCs w:val="18"/>
                <w:lang w:val="ro-RO" w:eastAsia="ru-RU"/>
              </w:rPr>
              <w:t xml:space="preserve"> </w:t>
            </w:r>
            <w:r w:rsidR="00035FEE" w:rsidRPr="006F5136">
              <w:rPr>
                <w:rFonts w:ascii="Times New Roman" w:hAnsi="Times New Roman"/>
                <w:b/>
                <w:iCs/>
                <w:sz w:val="18"/>
                <w:szCs w:val="18"/>
                <w:lang w:val="ro-RO" w:eastAsia="ru-RU"/>
              </w:rPr>
              <w:t xml:space="preserve">Expuneri din datorii subordonate </w:t>
            </w:r>
          </w:p>
          <w:p w14:paraId="500640DC" w14:textId="6538A586" w:rsidR="00035FEE"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w:t>
            </w:r>
            <w:r w:rsidR="00035FEE" w:rsidRPr="006F5136">
              <w:rPr>
                <w:rFonts w:ascii="Times New Roman" w:hAnsi="Times New Roman"/>
                <w:iCs/>
                <w:sz w:val="18"/>
                <w:szCs w:val="18"/>
                <w:lang w:val="ro-RO" w:eastAsia="ru-RU"/>
              </w:rPr>
              <w:t xml:space="preserve"> Următoarele expuneri sunt tratate ca expuneri din datorii subordonate:</w:t>
            </w:r>
          </w:p>
          <w:p w14:paraId="796D7DFA" w14:textId="4932F938" w:rsidR="00035FEE" w:rsidRPr="006F5136" w:rsidRDefault="00035FEE"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expunerile din datorii care sunt subordonate creanțelor unor creditori obișnuiți negarantați;</w:t>
            </w:r>
          </w:p>
          <w:p w14:paraId="03641366" w14:textId="438FB6A1" w:rsidR="00035FEE" w:rsidRPr="006F5136" w:rsidRDefault="00035FEE"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instrumentele de fonduri proprii, în măsura în care instrumentele respective nu sunt considerate expuneri provenind din titluri de capital în conformitate cu articolul 133 alineatul (1); și</w:t>
            </w:r>
          </w:p>
          <w:p w14:paraId="4D439674" w14:textId="7B5E1DCB" w:rsidR="0027576A" w:rsidRPr="006F5136" w:rsidRDefault="00035FEE"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 expunerile care decurg din deținerea de către instituție a unor instrumente de pasive eligibile care îndeplinesc condițiile prevăzute la articolul 72b.</w:t>
            </w:r>
          </w:p>
        </w:tc>
        <w:tc>
          <w:tcPr>
            <w:tcW w:w="1661" w:type="pct"/>
            <w:shd w:val="clear" w:color="auto" w:fill="auto"/>
          </w:tcPr>
          <w:p w14:paraId="674BAF09" w14:textId="00A3286B" w:rsidR="004B7BB2" w:rsidRPr="006F5136" w:rsidRDefault="004B7BB2" w:rsidP="005E4694">
            <w:pPr>
              <w:spacing w:after="0" w:line="240" w:lineRule="auto"/>
              <w:rPr>
                <w:rFonts w:ascii="Times New Roman" w:eastAsia="Times New Roman" w:hAnsi="Times New Roman" w:cs="Times New Roman"/>
                <w:b/>
                <w:bCs/>
                <w:i/>
                <w:iCs/>
                <w:sz w:val="18"/>
                <w:szCs w:val="18"/>
                <w:lang w:eastAsia="ro-MD"/>
              </w:rPr>
            </w:pPr>
            <w:r w:rsidRPr="006F5136">
              <w:rPr>
                <w:rFonts w:ascii="Times New Roman" w:eastAsia="Times New Roman" w:hAnsi="Times New Roman" w:cs="Times New Roman"/>
                <w:i/>
                <w:iCs/>
                <w:sz w:val="18"/>
                <w:szCs w:val="18"/>
                <w:lang w:val="ro-RO" w:eastAsia="ro-MD"/>
              </w:rPr>
              <w:t>Secțiunea a 14</w:t>
            </w:r>
            <w:r w:rsidRPr="006F5136">
              <w:rPr>
                <w:rFonts w:ascii="Times New Roman" w:eastAsia="Times New Roman" w:hAnsi="Times New Roman" w:cs="Times New Roman"/>
                <w:i/>
                <w:iCs/>
                <w:sz w:val="18"/>
                <w:szCs w:val="18"/>
                <w:vertAlign w:val="superscript"/>
                <w:lang w:val="ro-RO" w:eastAsia="ro-MD"/>
              </w:rPr>
              <w:t>1</w:t>
            </w:r>
            <w:r w:rsidRPr="006F5136">
              <w:rPr>
                <w:rFonts w:ascii="Times New Roman" w:eastAsia="Times New Roman" w:hAnsi="Times New Roman" w:cs="Times New Roman"/>
                <w:i/>
                <w:iCs/>
                <w:sz w:val="18"/>
                <w:szCs w:val="18"/>
                <w:lang w:val="ro-RO" w:eastAsia="ro-MD"/>
              </w:rPr>
              <w:t>-a</w:t>
            </w:r>
            <w:r w:rsidRPr="006F5136">
              <w:rPr>
                <w:rFonts w:ascii="Times New Roman" w:eastAsia="Times New Roman" w:hAnsi="Times New Roman" w:cs="Times New Roman"/>
                <w:b/>
                <w:bCs/>
                <w:i/>
                <w:iCs/>
                <w:sz w:val="18"/>
                <w:szCs w:val="18"/>
                <w:lang w:val="ro-RO" w:eastAsia="ro-MD"/>
              </w:rPr>
              <w:t xml:space="preserve"> </w:t>
            </w:r>
            <w:r w:rsidRPr="006F5136">
              <w:rPr>
                <w:rFonts w:ascii="Times New Roman" w:eastAsia="Times New Roman" w:hAnsi="Times New Roman" w:cs="Times New Roman"/>
                <w:b/>
                <w:bCs/>
                <w:i/>
                <w:iCs/>
                <w:sz w:val="18"/>
                <w:szCs w:val="18"/>
                <w:lang w:eastAsia="ro-MD"/>
              </w:rPr>
              <w:t>Expuneri din datorii subordonate</w:t>
            </w:r>
          </w:p>
          <w:p w14:paraId="70C994E1"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p w14:paraId="00616564" w14:textId="77777777" w:rsidR="00B41CE3" w:rsidRPr="006F5136" w:rsidRDefault="00B41CE3"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75</w:t>
            </w:r>
            <w:r w:rsidRPr="006F5136">
              <w:rPr>
                <w:rFonts w:ascii="Times New Roman" w:eastAsia="Times New Roman" w:hAnsi="Times New Roman" w:cs="Times New Roman"/>
                <w:b/>
                <w:bCs/>
                <w:sz w:val="18"/>
                <w:szCs w:val="18"/>
                <w:vertAlign w:val="superscript"/>
                <w:lang w:val="ro-RO" w:eastAsia="ro-MD"/>
              </w:rPr>
              <w:t>1</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Următoarele expuneri sunt tratate ca expuneri din datorii subordonate:</w:t>
            </w:r>
          </w:p>
          <w:p w14:paraId="337B654D" w14:textId="77777777" w:rsidR="00B41CE3" w:rsidRPr="006F5136" w:rsidRDefault="00B41CE3"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expunerile din datorii care sunt subordonate creanțelor unor creditori obișnuiți negarantați;</w:t>
            </w:r>
          </w:p>
          <w:p w14:paraId="1FEA08C1" w14:textId="77777777" w:rsidR="00B41CE3" w:rsidRPr="006F5136" w:rsidRDefault="00B41CE3"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instrumentele de fonduri proprii, în măsura în care instrumentele respective nu sunt considerate expuneri provenind din titluri de capital în conformitate punctele 84-84</w:t>
            </w:r>
            <w:r w:rsidRPr="006F5136">
              <w:rPr>
                <w:rFonts w:ascii="Times New Roman" w:eastAsia="Times New Roman" w:hAnsi="Times New Roman" w:cs="Times New Roman"/>
                <w:sz w:val="18"/>
                <w:szCs w:val="18"/>
                <w:vertAlign w:val="superscript"/>
                <w:lang w:val="ro-RO" w:eastAsia="ro-MD"/>
              </w:rPr>
              <w:t>2</w:t>
            </w:r>
            <w:r w:rsidRPr="006F5136">
              <w:rPr>
                <w:rFonts w:ascii="Times New Roman" w:eastAsia="Times New Roman" w:hAnsi="Times New Roman" w:cs="Times New Roman"/>
                <w:sz w:val="18"/>
                <w:szCs w:val="18"/>
                <w:lang w:val="ro-RO" w:eastAsia="ro-MD"/>
              </w:rPr>
              <w:t>; și</w:t>
            </w:r>
          </w:p>
          <w:p w14:paraId="30EF73E3" w14:textId="77777777" w:rsidR="00B41CE3" w:rsidRPr="006F5136" w:rsidRDefault="00B41CE3"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expunerile care decurg din deținerea de către bancă a unor instrumente de pasive eligibile care îndeplinesc condițiile prevăzute în Regulamentul nr.109/2018.</w:t>
            </w:r>
          </w:p>
          <w:p w14:paraId="63E3792C" w14:textId="6D3D8FCC" w:rsidR="00B41CE3" w:rsidRPr="006F5136" w:rsidRDefault="00B41CE3" w:rsidP="005E4694">
            <w:pPr>
              <w:spacing w:after="0" w:line="240" w:lineRule="auto"/>
              <w:rPr>
                <w:rFonts w:ascii="Times New Roman" w:hAnsi="Times New Roman" w:cs="Times New Roman"/>
                <w:sz w:val="18"/>
                <w:szCs w:val="18"/>
                <w:lang w:val="ro-RO" w:eastAsia="ru-RU"/>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28AC7C1B" w14:textId="3DF1D5A9" w:rsidR="0027576A" w:rsidRPr="006F5136" w:rsidRDefault="00175F7D"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w:t>
            </w:r>
            <w:r w:rsidR="0027576A" w:rsidRPr="006F5136">
              <w:rPr>
                <w:rFonts w:ascii="Times New Roman" w:hAnsi="Times New Roman" w:cs="Times New Roman"/>
                <w:sz w:val="18"/>
                <w:szCs w:val="18"/>
                <w:lang w:val="ro-RO"/>
              </w:rPr>
              <w:t>ompatibil</w:t>
            </w:r>
          </w:p>
        </w:tc>
        <w:tc>
          <w:tcPr>
            <w:tcW w:w="912" w:type="pct"/>
          </w:tcPr>
          <w:p w14:paraId="7C21D998" w14:textId="28BF4C8F"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14BA297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
        </w:trPr>
        <w:tc>
          <w:tcPr>
            <w:tcW w:w="1924" w:type="pct"/>
          </w:tcPr>
          <w:p w14:paraId="6454673E" w14:textId="26AC985B" w:rsidR="00035FEE"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(2) </w:t>
            </w:r>
            <w:r w:rsidR="00035FEE" w:rsidRPr="006F5136">
              <w:rPr>
                <w:rFonts w:ascii="Times New Roman" w:hAnsi="Times New Roman"/>
                <w:iCs/>
                <w:sz w:val="18"/>
                <w:szCs w:val="18"/>
                <w:lang w:val="ro-RO" w:eastAsia="ru-RU"/>
              </w:rPr>
              <w:t>Expunerile din datorii subordonate primesc o pondere de risc de 150 %, cu excepția cazului în care respectivele expuneri din datorii subordonate sunt deduse din fondurile proprii sau sunt supuse tratamentului prevăzut la articolul 72e alineatul (5) primul paragraf.</w:t>
            </w:r>
          </w:p>
          <w:p w14:paraId="147A44C0" w14:textId="64A9F6BF" w:rsidR="0027576A" w:rsidRPr="006F5136" w:rsidRDefault="0027576A" w:rsidP="005E4694">
            <w:pPr>
              <w:pStyle w:val="CM4"/>
              <w:tabs>
                <w:tab w:val="left" w:pos="150"/>
              </w:tabs>
              <w:ind w:left="-43"/>
              <w:jc w:val="both"/>
              <w:rPr>
                <w:rFonts w:ascii="Times New Roman" w:hAnsi="Times New Roman"/>
                <w:iCs/>
                <w:sz w:val="18"/>
                <w:szCs w:val="18"/>
                <w:lang w:val="ro-RO" w:eastAsia="ru-RU"/>
              </w:rPr>
            </w:pPr>
          </w:p>
        </w:tc>
        <w:tc>
          <w:tcPr>
            <w:tcW w:w="1661" w:type="pct"/>
            <w:shd w:val="clear" w:color="auto" w:fill="auto"/>
          </w:tcPr>
          <w:p w14:paraId="4AB06599" w14:textId="77777777" w:rsidR="0027576A" w:rsidRPr="006F5136" w:rsidRDefault="00B41CE3"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75</w:t>
            </w:r>
            <w:r w:rsidRPr="006F5136">
              <w:rPr>
                <w:rFonts w:ascii="Times New Roman" w:eastAsia="Times New Roman" w:hAnsi="Times New Roman" w:cs="Times New Roman"/>
                <w:b/>
                <w:bCs/>
                <w:sz w:val="18"/>
                <w:szCs w:val="18"/>
                <w:vertAlign w:val="superscript"/>
                <w:lang w:val="ro-RO" w:eastAsia="ro-MD"/>
              </w:rPr>
              <w:t>2</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Expunerile din datorii subordonate primesc o pondere de risc de 150 %, cu excepția cazului în care respectivele expuneri din datorii subordonate sunt deduse din fondurile proprii sau sunt supuse tratamentului privind deducerile din elemente de pasive eligibile prevăzut în Regulamentul nr.109/2018.</w:t>
            </w:r>
          </w:p>
          <w:p w14:paraId="38FFB94D" w14:textId="6C367041" w:rsidR="00B41CE3" w:rsidRPr="006F5136" w:rsidRDefault="00B41CE3"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22E0EEB7" w14:textId="2948CC1E" w:rsidR="0027576A" w:rsidRPr="006F5136" w:rsidRDefault="00B41CE3"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p w14:paraId="2A329BBA" w14:textId="77777777" w:rsidR="0027576A" w:rsidRPr="006F5136" w:rsidRDefault="0027576A" w:rsidP="005E4694">
            <w:pPr>
              <w:spacing w:after="0" w:line="240" w:lineRule="auto"/>
              <w:rPr>
                <w:rFonts w:ascii="Times New Roman" w:hAnsi="Times New Roman" w:cs="Times New Roman"/>
                <w:sz w:val="18"/>
                <w:szCs w:val="18"/>
                <w:lang w:val="ro-RO"/>
              </w:rPr>
            </w:pPr>
          </w:p>
        </w:tc>
        <w:tc>
          <w:tcPr>
            <w:tcW w:w="912" w:type="pct"/>
          </w:tcPr>
          <w:p w14:paraId="728CFFB7" w14:textId="774732C8"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p w14:paraId="263B04D2" w14:textId="77777777" w:rsidR="0027576A" w:rsidRPr="006F5136" w:rsidRDefault="0027576A" w:rsidP="005E4694">
            <w:pPr>
              <w:spacing w:after="0" w:line="240" w:lineRule="auto"/>
              <w:jc w:val="both"/>
              <w:rPr>
                <w:rFonts w:ascii="Times New Roman" w:hAnsi="Times New Roman" w:cs="Times New Roman"/>
                <w:sz w:val="18"/>
                <w:szCs w:val="18"/>
                <w:lang w:val="ro-RO"/>
              </w:rPr>
            </w:pPr>
          </w:p>
          <w:p w14:paraId="4134B126" w14:textId="77777777" w:rsidR="0027576A" w:rsidRPr="006F5136" w:rsidRDefault="0027576A" w:rsidP="005E4694">
            <w:pPr>
              <w:spacing w:after="0" w:line="240" w:lineRule="auto"/>
              <w:jc w:val="both"/>
              <w:rPr>
                <w:rFonts w:ascii="Times New Roman" w:hAnsi="Times New Roman" w:cs="Times New Roman"/>
                <w:sz w:val="18"/>
                <w:szCs w:val="18"/>
                <w:lang w:val="ro-RO"/>
              </w:rPr>
            </w:pPr>
          </w:p>
        </w:tc>
      </w:tr>
      <w:tr w:rsidR="006B3BC1" w:rsidRPr="006F5136" w14:paraId="134499B7"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7401308" w14:textId="77777777"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129</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Expuneri sub formă de obligațiuni garantate</w:t>
            </w:r>
          </w:p>
          <w:p w14:paraId="7513363E" w14:textId="0F2E61A5" w:rsidR="006B3BC1" w:rsidRPr="006F5136" w:rsidRDefault="006B3BC1" w:rsidP="006B3BC1">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(1) </w:t>
            </w:r>
            <w:hyperlink r:id="rId17" w:tooltip="32019R2160: REPLACED" w:history="1">
              <w:r w:rsidRPr="006F5136">
                <w:rPr>
                  <w:rFonts w:ascii="Times New Roman" w:eastAsia="Times New Roman" w:hAnsi="Times New Roman" w:cs="Times New Roman"/>
                  <w:b/>
                  <w:bCs/>
                  <w:color w:val="000000" w:themeColor="text1"/>
                  <w:sz w:val="18"/>
                  <w:szCs w:val="18"/>
                  <w:lang w:eastAsia="ro-MD"/>
                </w:rPr>
                <w:t>►M10</w:t>
              </w:r>
              <w:r w:rsidRPr="006F5136">
                <w:rPr>
                  <w:rFonts w:ascii="Times New Roman" w:eastAsia="Times New Roman" w:hAnsi="Times New Roman" w:cs="Times New Roman"/>
                  <w:color w:val="000000" w:themeColor="text1"/>
                  <w:sz w:val="18"/>
                  <w:szCs w:val="18"/>
                  <w:lang w:eastAsia="ro-MD"/>
                </w:rPr>
                <w:t> </w:t>
              </w:r>
            </w:hyperlink>
            <w:r w:rsidRPr="006F5136">
              <w:rPr>
                <w:rFonts w:ascii="Times New Roman" w:eastAsia="Times New Roman" w:hAnsi="Times New Roman" w:cs="Times New Roman"/>
                <w:color w:val="000000" w:themeColor="text1"/>
                <w:sz w:val="18"/>
                <w:szCs w:val="18"/>
                <w:lang w:eastAsia="ro-MD"/>
              </w:rPr>
              <w:t>  Pentru a fi eligibile pentru tratamentul preferențial prevăzut la alineatele (4) și (5) din prezentul articol, obligațiunile garantate în sensul definiției de la articolul 3 punctul 1 din Directiva (UE) 2019/2162 a Parlamentului European și a Consiliului (</w:t>
            </w:r>
            <w:hyperlink r:id="rId18" w:anchor="E0023" w:history="1">
              <w:r w:rsidRPr="006F5136">
                <w:rPr>
                  <w:rFonts w:ascii="Times New Roman" w:eastAsia="Times New Roman" w:hAnsi="Times New Roman" w:cs="Times New Roman"/>
                  <w:color w:val="000000" w:themeColor="text1"/>
                  <w:sz w:val="18"/>
                  <w:szCs w:val="18"/>
                  <w:lang w:eastAsia="ro-MD"/>
                </w:rPr>
                <w:t> </w:t>
              </w:r>
              <w:r w:rsidRPr="006F5136">
                <w:rPr>
                  <w:rFonts w:ascii="Times New Roman" w:eastAsia="Times New Roman" w:hAnsi="Times New Roman" w:cs="Times New Roman"/>
                  <w:color w:val="000000" w:themeColor="text1"/>
                  <w:sz w:val="18"/>
                  <w:szCs w:val="18"/>
                  <w:vertAlign w:val="superscript"/>
                  <w:lang w:eastAsia="ro-MD"/>
                </w:rPr>
                <w:t>22</w:t>
              </w:r>
              <w:r w:rsidRPr="006F5136">
                <w:rPr>
                  <w:rFonts w:ascii="Times New Roman" w:eastAsia="Times New Roman" w:hAnsi="Times New Roman" w:cs="Times New Roman"/>
                  <w:color w:val="000000" w:themeColor="text1"/>
                  <w:sz w:val="18"/>
                  <w:szCs w:val="18"/>
                  <w:lang w:eastAsia="ro-MD"/>
                </w:rPr>
                <w:t> </w:t>
              </w:r>
            </w:hyperlink>
            <w:r w:rsidRPr="006F5136">
              <w:rPr>
                <w:rFonts w:ascii="Times New Roman" w:eastAsia="Times New Roman" w:hAnsi="Times New Roman" w:cs="Times New Roman"/>
                <w:color w:val="000000" w:themeColor="text1"/>
                <w:sz w:val="18"/>
                <w:szCs w:val="18"/>
                <w:lang w:eastAsia="ro-MD"/>
              </w:rPr>
              <w:t>) respectă cerințele prevăzute la alineatele (3), (3a) și (3b) din prezentul articol și sunt garantate cu oricare dintre următoarele active eligibile:</w:t>
            </w:r>
            <w:r w:rsidRPr="006F5136">
              <w:rPr>
                <w:rFonts w:ascii="Times New Roman" w:eastAsia="Times New Roman" w:hAnsi="Times New Roman" w:cs="Times New Roman"/>
                <w:b/>
                <w:bCs/>
                <w:color w:val="000000" w:themeColor="text1"/>
                <w:sz w:val="18"/>
                <w:szCs w:val="18"/>
                <w:lang w:eastAsia="ro-MD"/>
              </w:rPr>
              <w:t> ◄</w:t>
            </w:r>
          </w:p>
          <w:p w14:paraId="7D14E5CD"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 xml:space="preserve">(a) expuneri față de sau garantate de administrații centrale, bănci centrale din cadrul SEBC, entități din sectorul public, administrații regionale sau autorități locale din </w:t>
            </w:r>
            <w:proofErr w:type="gramStart"/>
            <w:r w:rsidRPr="006F5136">
              <w:rPr>
                <w:rFonts w:ascii="Times New Roman" w:eastAsia="Times New Roman" w:hAnsi="Times New Roman" w:cs="Times New Roman"/>
                <w:color w:val="000000" w:themeColor="text1"/>
                <w:sz w:val="18"/>
                <w:szCs w:val="18"/>
                <w:lang w:eastAsia="ro-MD"/>
              </w:rPr>
              <w:t>Uniune;</w:t>
            </w:r>
            <w:proofErr w:type="gramEnd"/>
          </w:p>
          <w:p w14:paraId="25C0DE4A" w14:textId="0164A626"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(b) expuneri față de sau garantate de administrații centrale ale unor state terțe, bănci centrale ale unor țări terțe, bănci de dezvoltare multilaterală, organizații internaționale care se încadrează la nivelul 1 de calitate a creditului, după cum se prevede în prezentul capitol, expuneri față de sau garantate de entități din sectorul public din țări terțe, de administrații regionale din țări terțe sau autorități locale din țări terțe, care sunt ponderate la risc ca expuneri față de instituții sau administrații centrale și bănci centrale, în conformitate cu articolul 115 alineatele (1) sau (2) sau, respectiv, cu articolul 116 alineatele (1), (2) sau (4) și care se încadrează la nivelul 1 de calitate a creditului, după cum se prevede în prezentul capitol, și expuneri în înțelesul prezentei litere, care se încadrează cel puțin la nivelul 2 de calitate a creditului, după cum se prevede în prezentul capitol, cu condiția ca respectivele expuneri să nu depășească 20 % din cuantumul nominal al obligațiunilor garantate rămase de rambursat ale instituțiilor emitente;</w:t>
            </w:r>
          </w:p>
          <w:p w14:paraId="731C7740" w14:textId="77777777" w:rsidR="006B3BC1" w:rsidRPr="006F5136" w:rsidRDefault="006B3BC1" w:rsidP="006B3BC1">
            <w:pPr>
              <w:shd w:val="clear" w:color="auto" w:fill="FFFFFF"/>
              <w:spacing w:after="0" w:line="240" w:lineRule="auto"/>
              <w:rPr>
                <w:rFonts w:ascii="Times New Roman" w:eastAsia="Times New Roman" w:hAnsi="Times New Roman" w:cs="Times New Roman"/>
                <w:b/>
                <w:bCs/>
                <w:color w:val="000000" w:themeColor="text1"/>
                <w:sz w:val="18"/>
                <w:szCs w:val="18"/>
                <w:lang w:eastAsia="ro-MD"/>
              </w:rPr>
            </w:pPr>
            <w:hyperlink r:id="rId19" w:tooltip="32019R2160: REPLACED" w:history="1">
              <w:r w:rsidRPr="006F5136">
                <w:rPr>
                  <w:rFonts w:ascii="Times New Roman" w:eastAsia="Times New Roman" w:hAnsi="Times New Roman" w:cs="Times New Roman"/>
                  <w:b/>
                  <w:bCs/>
                  <w:color w:val="000000" w:themeColor="text1"/>
                  <w:sz w:val="18"/>
                  <w:szCs w:val="18"/>
                  <w:lang w:eastAsia="ro-MD"/>
                </w:rPr>
                <w:t>▼M10</w:t>
              </w:r>
            </w:hyperlink>
          </w:p>
          <w:p w14:paraId="2617BF33" w14:textId="0D46C3EB"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(c) expuneri față de instituții de credit care se încadrează la nivelul 1 de calitate a creditului, la nivelul 2 de calitate a creditului sau expunerile față de instituții de credit care se încadrează la nivelul 3 de calitate a creditului atunci când respectivele expuneri sunt sub formă de:</w:t>
            </w:r>
          </w:p>
          <w:p w14:paraId="780EBF32" w14:textId="407B57A2"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(i) depozite pe termen scurt cu o scadență inițială de cel mult 100 de zile atunci când sunt utilizate pentru respectarea cerinței privind amortizorul de lichiditate din portofoliul de acoperire de la articolul 16 din Directiva (UE) 2019/2162; sau</w:t>
            </w:r>
          </w:p>
          <w:p w14:paraId="68C9DFCA" w14:textId="682F4802"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(ii) contracte derivate care sunt conforme cerințelor de la articolul 11 alineatul (1) din respectiva directivă, atunci când sunt permise de autoritățile competente.</w:t>
            </w:r>
          </w:p>
          <w:p w14:paraId="1719F5B8" w14:textId="2D61356F"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 xml:space="preserve">(d) împrumuturi garantate cu bunuri imobile rezidențiale până la valoarea cea mai mică dintre principalul ipotecilor combinate cu orice ipoteci anterioare și 80 % din valoarea bunurilor </w:t>
            </w:r>
            <w:proofErr w:type="gramStart"/>
            <w:r w:rsidRPr="006F5136">
              <w:rPr>
                <w:rFonts w:ascii="Times New Roman" w:eastAsia="Times New Roman" w:hAnsi="Times New Roman" w:cs="Times New Roman"/>
                <w:color w:val="000000" w:themeColor="text1"/>
                <w:sz w:val="18"/>
                <w:szCs w:val="18"/>
                <w:lang w:eastAsia="ro-MD"/>
              </w:rPr>
              <w:t>gajate;</w:t>
            </w:r>
            <w:proofErr w:type="gramEnd"/>
          </w:p>
          <w:p w14:paraId="59F451F5" w14:textId="77777777" w:rsidR="006B3BC1" w:rsidRPr="006F5136" w:rsidRDefault="006B3BC1" w:rsidP="006B3BC1">
            <w:pPr>
              <w:shd w:val="clear" w:color="auto" w:fill="FFFFFF"/>
              <w:spacing w:after="0" w:line="240" w:lineRule="auto"/>
              <w:rPr>
                <w:rFonts w:ascii="Times New Roman" w:eastAsia="Times New Roman" w:hAnsi="Times New Roman" w:cs="Times New Roman"/>
                <w:b/>
                <w:bCs/>
                <w:color w:val="000000" w:themeColor="text1"/>
                <w:sz w:val="18"/>
                <w:szCs w:val="18"/>
                <w:lang w:eastAsia="ro-MD"/>
              </w:rPr>
            </w:pPr>
            <w:hyperlink r:id="rId20" w:tooltip="32013R0575R(02): REPLACED" w:history="1">
              <w:r w:rsidRPr="006F5136">
                <w:rPr>
                  <w:rFonts w:ascii="Times New Roman" w:eastAsia="Times New Roman" w:hAnsi="Times New Roman" w:cs="Times New Roman"/>
                  <w:b/>
                  <w:bCs/>
                  <w:color w:val="000000" w:themeColor="text1"/>
                  <w:sz w:val="18"/>
                  <w:szCs w:val="18"/>
                  <w:lang w:eastAsia="ro-MD"/>
                </w:rPr>
                <w:t>▼C2</w:t>
              </w:r>
            </w:hyperlink>
          </w:p>
          <w:p w14:paraId="64952CFE" w14:textId="54CCAA34"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 xml:space="preserve">(e) împrumuturi locative garantate integral de un furnizor de protecție eligibil menționat la articolul 201, care se califică pentru nivelul 2 de calitate a creditului sau superior acestuia, conform dispozițiilor prezentului capitol, în cazul în care partea din fiecare dintre împrumuturi care este utilizată pentru a satisface cerința prevăzută la prezentul alineat, de acoperire cu garanții reale a obligațiunii garantate, nu reprezintă mai mult de 80 % din valoarea bunului imobil locativ situat în Franța și în cazul în care un raport împrumut/venit respectă o proporție de cel mult 33 % la acordarea împrumutului. La acordarea împrumutului trebuie să nu existe drepturi de ipotecă asupra bunului imobil locativ, iar pentru împrumuturile acordate începând cu data de 1 ianuarie 2014, creditorul se angajează prin contract să nu acorde astfel de drepturi fără aprobarea instituției de credit </w:t>
            </w:r>
            <w:proofErr w:type="gramStart"/>
            <w:r w:rsidRPr="006F5136">
              <w:rPr>
                <w:rFonts w:ascii="Times New Roman" w:eastAsia="Times New Roman" w:hAnsi="Times New Roman" w:cs="Times New Roman"/>
                <w:color w:val="000000" w:themeColor="text1"/>
                <w:sz w:val="18"/>
                <w:szCs w:val="18"/>
                <w:lang w:eastAsia="ro-MD"/>
              </w:rPr>
              <w:t>care</w:t>
            </w:r>
            <w:proofErr w:type="gramEnd"/>
            <w:r w:rsidRPr="006F5136">
              <w:rPr>
                <w:rFonts w:ascii="Times New Roman" w:eastAsia="Times New Roman" w:hAnsi="Times New Roman" w:cs="Times New Roman"/>
                <w:color w:val="000000" w:themeColor="text1"/>
                <w:sz w:val="18"/>
                <w:szCs w:val="18"/>
                <w:lang w:eastAsia="ro-MD"/>
              </w:rPr>
              <w:t xml:space="preserve"> </w:t>
            </w:r>
            <w:proofErr w:type="gramStart"/>
            <w:r w:rsidRPr="006F5136">
              <w:rPr>
                <w:rFonts w:ascii="Times New Roman" w:eastAsia="Times New Roman" w:hAnsi="Times New Roman" w:cs="Times New Roman"/>
                <w:color w:val="000000" w:themeColor="text1"/>
                <w:sz w:val="18"/>
                <w:szCs w:val="18"/>
                <w:lang w:eastAsia="ro-MD"/>
              </w:rPr>
              <w:t>a</w:t>
            </w:r>
            <w:proofErr w:type="gramEnd"/>
            <w:r w:rsidRPr="006F5136">
              <w:rPr>
                <w:rFonts w:ascii="Times New Roman" w:eastAsia="Times New Roman" w:hAnsi="Times New Roman" w:cs="Times New Roman"/>
                <w:color w:val="000000" w:themeColor="text1"/>
                <w:sz w:val="18"/>
                <w:szCs w:val="18"/>
                <w:lang w:eastAsia="ro-MD"/>
              </w:rPr>
              <w:t xml:space="preserve"> acordat împrumutul. Raportul împrumut/venit reprezintă partea din venitul brut al debitorului care acoperă rambursarea împrumutului, incluzând dobânzile. Furnizorul de protecție este fie o instituție financiară autorizată și supravegheată de autoritățile competente, supusă unor cerințe prudențiale comparabile celor aplicate instituțiilor în ceea ce privește soliditatea acestora, fie o instituție, fie o întreprindere de asigurare. Aceasta instituie un fond de garantare reciprocă sau o protecție echivalentă pentru întreprinderile de asigurare în scopul de </w:t>
            </w:r>
            <w:proofErr w:type="gramStart"/>
            <w:r w:rsidRPr="006F5136">
              <w:rPr>
                <w:rFonts w:ascii="Times New Roman" w:eastAsia="Times New Roman" w:hAnsi="Times New Roman" w:cs="Times New Roman"/>
                <w:color w:val="000000" w:themeColor="text1"/>
                <w:sz w:val="18"/>
                <w:szCs w:val="18"/>
                <w:lang w:eastAsia="ro-MD"/>
              </w:rPr>
              <w:t>a</w:t>
            </w:r>
            <w:proofErr w:type="gramEnd"/>
            <w:r w:rsidRPr="006F5136">
              <w:rPr>
                <w:rFonts w:ascii="Times New Roman" w:eastAsia="Times New Roman" w:hAnsi="Times New Roman" w:cs="Times New Roman"/>
                <w:color w:val="000000" w:themeColor="text1"/>
                <w:sz w:val="18"/>
                <w:szCs w:val="18"/>
                <w:lang w:eastAsia="ro-MD"/>
              </w:rPr>
              <w:t xml:space="preserve"> absorbi pierderile din riscul de credit, a căror calibrare este revizuită periodic de autoritățile competente. Atât instituția de credit, cât și furnizorul de protecție efectuează o evaluare a bonității creditorului.</w:t>
            </w:r>
          </w:p>
          <w:p w14:paraId="49EBFD0A" w14:textId="77777777" w:rsidR="006B3BC1" w:rsidRPr="006F5136" w:rsidRDefault="006B3BC1" w:rsidP="006B3BC1">
            <w:pPr>
              <w:shd w:val="clear" w:color="auto" w:fill="FFFFFF"/>
              <w:spacing w:after="0" w:line="240" w:lineRule="auto"/>
              <w:rPr>
                <w:rFonts w:ascii="Times New Roman" w:eastAsia="Times New Roman" w:hAnsi="Times New Roman" w:cs="Times New Roman"/>
                <w:b/>
                <w:bCs/>
                <w:color w:val="000000" w:themeColor="text1"/>
                <w:sz w:val="18"/>
                <w:szCs w:val="18"/>
                <w:lang w:eastAsia="ro-MD"/>
              </w:rPr>
            </w:pPr>
            <w:hyperlink r:id="rId21" w:tooltip="32019R2160: REPLACED" w:history="1">
              <w:r w:rsidRPr="006F5136">
                <w:rPr>
                  <w:rFonts w:ascii="Times New Roman" w:eastAsia="Times New Roman" w:hAnsi="Times New Roman" w:cs="Times New Roman"/>
                  <w:b/>
                  <w:bCs/>
                  <w:color w:val="000000" w:themeColor="text1"/>
                  <w:sz w:val="18"/>
                  <w:szCs w:val="18"/>
                  <w:lang w:eastAsia="ro-MD"/>
                </w:rPr>
                <w:t>▼M10</w:t>
              </w:r>
            </w:hyperlink>
          </w:p>
          <w:p w14:paraId="59E52628" w14:textId="2F40BA29"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 xml:space="preserve">(f) împrumuturi garantate cu bunuri imobile comerciale până la valoarea cea mai mică dintre principalul ipotecilor combinate cu orice ipoteci anterioare și 60 % din valoarea bunurilor gajate. Împrumuturile garantate cu bunuri imobile comerciale sunt eligibile atunci când raportul împrumut/valoare de 60 % este depășit și atinge un nivel maxim de 70 %, în cazul în care valoarea tuturor activelor gajate ca garanție pentru obligațiunile garantate depășește cu cel puțin 10 % valoarea nominală </w:t>
            </w:r>
            <w:proofErr w:type="gramStart"/>
            <w:r w:rsidRPr="006F5136">
              <w:rPr>
                <w:rFonts w:ascii="Times New Roman" w:eastAsia="Times New Roman" w:hAnsi="Times New Roman" w:cs="Times New Roman"/>
                <w:color w:val="000000" w:themeColor="text1"/>
                <w:sz w:val="18"/>
                <w:szCs w:val="18"/>
                <w:lang w:eastAsia="ro-MD"/>
              </w:rPr>
              <w:t>a</w:t>
            </w:r>
            <w:proofErr w:type="gramEnd"/>
            <w:r w:rsidRPr="006F5136">
              <w:rPr>
                <w:rFonts w:ascii="Times New Roman" w:eastAsia="Times New Roman" w:hAnsi="Times New Roman" w:cs="Times New Roman"/>
                <w:color w:val="000000" w:themeColor="text1"/>
                <w:sz w:val="18"/>
                <w:szCs w:val="18"/>
                <w:lang w:eastAsia="ro-MD"/>
              </w:rPr>
              <w:t xml:space="preserve"> obligațiunilor garantate exigibile, iar creanța deținătorilor obligațiunilor îndeplinește cerințele de securitate juridică prevăzute în capitolul 4. Creanța deținătorilor de obligațiuni are prioritate față de alte creanțe asupra garanției reale.</w:t>
            </w:r>
          </w:p>
          <w:p w14:paraId="46F5AD1D" w14:textId="77777777" w:rsidR="006B3BC1" w:rsidRPr="006F5136" w:rsidRDefault="006B3BC1" w:rsidP="006B3BC1">
            <w:pPr>
              <w:shd w:val="clear" w:color="auto" w:fill="FFFFFF"/>
              <w:spacing w:after="0" w:line="240" w:lineRule="auto"/>
              <w:rPr>
                <w:rFonts w:ascii="Times New Roman" w:eastAsia="Times New Roman" w:hAnsi="Times New Roman" w:cs="Times New Roman"/>
                <w:b/>
                <w:bCs/>
                <w:color w:val="000000" w:themeColor="text1"/>
                <w:sz w:val="18"/>
                <w:szCs w:val="18"/>
                <w:lang w:eastAsia="ro-MD"/>
              </w:rPr>
            </w:pPr>
            <w:hyperlink r:id="rId22" w:tooltip="32013R0575R(02): REPLACED" w:history="1">
              <w:r w:rsidRPr="006F5136">
                <w:rPr>
                  <w:rFonts w:ascii="Times New Roman" w:eastAsia="Times New Roman" w:hAnsi="Times New Roman" w:cs="Times New Roman"/>
                  <w:b/>
                  <w:bCs/>
                  <w:color w:val="000000" w:themeColor="text1"/>
                  <w:sz w:val="18"/>
                  <w:szCs w:val="18"/>
                  <w:lang w:eastAsia="ro-MD"/>
                </w:rPr>
                <w:t>▼C2</w:t>
              </w:r>
            </w:hyperlink>
          </w:p>
          <w:p w14:paraId="59FF108B" w14:textId="613279BB"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(g) împrumuturi garantate cu drepturi de retenție maritimă asupra navelor până la diferența dintre 60 % din valoarea navei gajate și valoarea oricărui drept anterior de retenție maritimă.</w:t>
            </w:r>
          </w:p>
          <w:p w14:paraId="3BCF00E6" w14:textId="77777777" w:rsidR="006B3BC1" w:rsidRPr="006F5136" w:rsidRDefault="006B3BC1" w:rsidP="006B3BC1">
            <w:pPr>
              <w:shd w:val="clear" w:color="auto" w:fill="FFFFFF"/>
              <w:spacing w:after="0" w:line="240" w:lineRule="auto"/>
              <w:rPr>
                <w:rFonts w:ascii="Times New Roman" w:hAnsi="Times New Roman" w:cs="Times New Roman"/>
                <w:sz w:val="18"/>
                <w:szCs w:val="18"/>
              </w:rPr>
            </w:pPr>
          </w:p>
          <w:p w14:paraId="4BD90A58" w14:textId="77777777" w:rsidR="006B3BC1" w:rsidRPr="006F5136" w:rsidRDefault="006B3BC1" w:rsidP="006B3BC1">
            <w:pPr>
              <w:shd w:val="clear" w:color="auto" w:fill="FFFFFF"/>
              <w:spacing w:after="0" w:line="240" w:lineRule="auto"/>
              <w:rPr>
                <w:rFonts w:ascii="Times New Roman" w:hAnsi="Times New Roman" w:cs="Times New Roman"/>
                <w:sz w:val="18"/>
                <w:szCs w:val="18"/>
              </w:rPr>
            </w:pPr>
          </w:p>
          <w:p w14:paraId="292A8AA0" w14:textId="0F625EBC" w:rsidR="006B3BC1" w:rsidRPr="006F5136" w:rsidRDefault="006B3BC1" w:rsidP="006B3BC1">
            <w:pPr>
              <w:shd w:val="clear" w:color="auto" w:fill="FFFFFF"/>
              <w:spacing w:after="0" w:line="240" w:lineRule="auto"/>
              <w:rPr>
                <w:rFonts w:ascii="Times New Roman" w:eastAsia="Times New Roman" w:hAnsi="Times New Roman" w:cs="Times New Roman"/>
                <w:b/>
                <w:bCs/>
                <w:color w:val="000000" w:themeColor="text1"/>
                <w:sz w:val="18"/>
                <w:szCs w:val="18"/>
                <w:lang w:eastAsia="ro-MD"/>
              </w:rPr>
            </w:pPr>
            <w:hyperlink r:id="rId23" w:tooltip="32019R2160: REPLACED" w:history="1">
              <w:r w:rsidRPr="006F5136">
                <w:rPr>
                  <w:rFonts w:ascii="Times New Roman" w:eastAsia="Times New Roman" w:hAnsi="Times New Roman" w:cs="Times New Roman"/>
                  <w:b/>
                  <w:bCs/>
                  <w:color w:val="000000" w:themeColor="text1"/>
                  <w:sz w:val="18"/>
                  <w:szCs w:val="18"/>
                  <w:lang w:eastAsia="ro-MD"/>
                </w:rPr>
                <w:t>▼M10</w:t>
              </w:r>
            </w:hyperlink>
          </w:p>
          <w:p w14:paraId="29762005" w14:textId="449BC6C6"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În sensul alineatului (1a), expunerile generate de transferul și gestionarea plăților efectuate de debitorii împrumuturilor garantate cu bunuri gajate în raport cu titluri de datorie sau prin transferul și gestionarea plăților rezultate din lichidarea respectivelor împrumuturi nu se includ în calculul limitei menționate la alineatul respectiv.</w:t>
            </w:r>
          </w:p>
        </w:tc>
        <w:tc>
          <w:tcPr>
            <w:tcW w:w="1661" w:type="pct"/>
            <w:shd w:val="clear" w:color="auto" w:fill="auto"/>
          </w:tcPr>
          <w:p w14:paraId="4CAE2E06" w14:textId="06C4C253" w:rsidR="006B3BC1" w:rsidRPr="006F5136" w:rsidRDefault="006B3BC1" w:rsidP="006B3BC1">
            <w:pPr>
              <w:spacing w:after="0" w:line="240" w:lineRule="auto"/>
              <w:rPr>
                <w:rFonts w:ascii="Times New Roman" w:eastAsia="Times New Roman" w:hAnsi="Times New Roman" w:cs="Times New Roman"/>
                <w:b/>
                <w:bCs/>
                <w:i/>
                <w:iCs/>
                <w:sz w:val="18"/>
                <w:szCs w:val="18"/>
                <w:lang w:eastAsia="ro-MD"/>
              </w:rPr>
            </w:pPr>
            <w:r w:rsidRPr="006F5136">
              <w:rPr>
                <w:rFonts w:ascii="Times New Roman" w:eastAsia="Times New Roman" w:hAnsi="Times New Roman" w:cs="Times New Roman"/>
                <w:i/>
                <w:iCs/>
                <w:sz w:val="18"/>
                <w:szCs w:val="18"/>
                <w:lang w:val="ro-RO" w:eastAsia="ro-MD"/>
              </w:rPr>
              <w:t>Secțiunea a 14</w:t>
            </w:r>
            <w:r w:rsidRPr="006F5136">
              <w:rPr>
                <w:rFonts w:ascii="Times New Roman" w:eastAsia="Times New Roman" w:hAnsi="Times New Roman" w:cs="Times New Roman"/>
                <w:i/>
                <w:iCs/>
                <w:sz w:val="18"/>
                <w:szCs w:val="18"/>
                <w:vertAlign w:val="superscript"/>
                <w:lang w:val="ro-RO" w:eastAsia="ro-MD"/>
              </w:rPr>
              <w:t>2</w:t>
            </w:r>
            <w:r w:rsidRPr="006F5136">
              <w:rPr>
                <w:rFonts w:ascii="Times New Roman" w:eastAsia="Times New Roman" w:hAnsi="Times New Roman" w:cs="Times New Roman"/>
                <w:i/>
                <w:iCs/>
                <w:sz w:val="18"/>
                <w:szCs w:val="18"/>
                <w:lang w:val="ro-RO" w:eastAsia="ro-MD"/>
              </w:rPr>
              <w:t>-a</w:t>
            </w:r>
            <w:r w:rsidRPr="006F5136">
              <w:rPr>
                <w:rFonts w:ascii="Times New Roman" w:eastAsia="Times New Roman" w:hAnsi="Times New Roman" w:cs="Times New Roman"/>
                <w:b/>
                <w:bCs/>
                <w:i/>
                <w:iCs/>
                <w:sz w:val="18"/>
                <w:szCs w:val="18"/>
                <w:lang w:val="ro-RO" w:eastAsia="ro-MD"/>
              </w:rPr>
              <w:t xml:space="preserve"> </w:t>
            </w:r>
            <w:r w:rsidRPr="006F5136">
              <w:rPr>
                <w:rFonts w:ascii="Times New Roman" w:eastAsia="Times New Roman" w:hAnsi="Times New Roman" w:cs="Times New Roman"/>
                <w:b/>
                <w:bCs/>
                <w:i/>
                <w:iCs/>
                <w:sz w:val="18"/>
                <w:szCs w:val="18"/>
                <w:lang w:eastAsia="ro-MD"/>
              </w:rPr>
              <w:t>Expuneri sub formă de obligațiuni garantate</w:t>
            </w:r>
          </w:p>
          <w:p w14:paraId="5128750B" w14:textId="77777777" w:rsidR="006B3BC1" w:rsidRPr="006F5136" w:rsidRDefault="006B3BC1" w:rsidP="006B3BC1">
            <w:pPr>
              <w:spacing w:after="0" w:line="240" w:lineRule="auto"/>
              <w:jc w:val="both"/>
              <w:rPr>
                <w:rFonts w:ascii="Times New Roman" w:eastAsia="Times New Roman" w:hAnsi="Times New Roman" w:cs="Times New Roman"/>
                <w:sz w:val="18"/>
                <w:szCs w:val="18"/>
                <w:highlight w:val="yellow"/>
                <w:lang w:eastAsia="ro-MD"/>
              </w:rPr>
            </w:pPr>
            <w:r w:rsidRPr="006F5136">
              <w:rPr>
                <w:rFonts w:ascii="Times New Roman" w:eastAsia="Times New Roman" w:hAnsi="Times New Roman" w:cs="Times New Roman"/>
                <w:b/>
                <w:bCs/>
                <w:sz w:val="18"/>
                <w:szCs w:val="18"/>
                <w:lang w:val="ro-RO" w:eastAsia="ro-MD"/>
              </w:rPr>
              <w:t>75</w:t>
            </w:r>
            <w:r w:rsidRPr="006F5136">
              <w:rPr>
                <w:rFonts w:ascii="Times New Roman" w:eastAsia="Times New Roman" w:hAnsi="Times New Roman" w:cs="Times New Roman"/>
                <w:b/>
                <w:bCs/>
                <w:sz w:val="18"/>
                <w:szCs w:val="18"/>
                <w:vertAlign w:val="superscript"/>
                <w:lang w:val="ro-RO" w:eastAsia="ro-MD"/>
              </w:rPr>
              <w:t>3</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w:t>
            </w:r>
            <w:r w:rsidRPr="006F5136">
              <w:rPr>
                <w:rFonts w:ascii="Times New Roman" w:eastAsia="Times New Roman" w:hAnsi="Times New Roman" w:cs="Times New Roman"/>
                <w:sz w:val="18"/>
                <w:szCs w:val="18"/>
                <w:lang w:eastAsia="ro-MD"/>
              </w:rPr>
              <w:t>Pentru a fi eligibile pentru tratamentul preferențial prevăzut la punctele 75</w:t>
            </w:r>
            <w:r w:rsidRPr="006F5136">
              <w:rPr>
                <w:rFonts w:ascii="Times New Roman" w:eastAsia="Times New Roman" w:hAnsi="Times New Roman" w:cs="Times New Roman"/>
                <w:sz w:val="18"/>
                <w:szCs w:val="18"/>
                <w:vertAlign w:val="superscript"/>
                <w:lang w:eastAsia="ro-MD"/>
              </w:rPr>
              <w:t>14</w:t>
            </w:r>
            <w:r w:rsidRPr="006F5136">
              <w:rPr>
                <w:rFonts w:ascii="Times New Roman" w:eastAsia="Times New Roman" w:hAnsi="Times New Roman" w:cs="Times New Roman"/>
                <w:sz w:val="18"/>
                <w:szCs w:val="18"/>
                <w:lang w:eastAsia="ro-MD"/>
              </w:rPr>
              <w:t xml:space="preserve"> și 75</w:t>
            </w:r>
            <w:r w:rsidRPr="006F5136">
              <w:rPr>
                <w:rFonts w:ascii="Times New Roman" w:eastAsia="Times New Roman" w:hAnsi="Times New Roman" w:cs="Times New Roman"/>
                <w:sz w:val="18"/>
                <w:szCs w:val="18"/>
                <w:vertAlign w:val="superscript"/>
                <w:lang w:eastAsia="ro-MD"/>
              </w:rPr>
              <w:t>15</w:t>
            </w:r>
            <w:r w:rsidRPr="006F5136">
              <w:rPr>
                <w:rFonts w:ascii="Times New Roman" w:eastAsia="Times New Roman" w:hAnsi="Times New Roman" w:cs="Times New Roman"/>
                <w:sz w:val="18"/>
                <w:szCs w:val="18"/>
                <w:lang w:eastAsia="ro-MD"/>
              </w:rPr>
              <w:t>, obligațiunile garantate respectă cerințele prevăzute la punctele 75</w:t>
            </w:r>
            <w:r w:rsidRPr="006F5136">
              <w:rPr>
                <w:rFonts w:ascii="Times New Roman" w:eastAsia="Times New Roman" w:hAnsi="Times New Roman" w:cs="Times New Roman"/>
                <w:sz w:val="18"/>
                <w:szCs w:val="18"/>
                <w:vertAlign w:val="superscript"/>
                <w:lang w:eastAsia="ro-MD"/>
              </w:rPr>
              <w:t>10</w:t>
            </w:r>
            <w:r w:rsidRPr="006F5136">
              <w:rPr>
                <w:rFonts w:ascii="Times New Roman" w:eastAsia="Times New Roman" w:hAnsi="Times New Roman" w:cs="Times New Roman"/>
                <w:sz w:val="18"/>
                <w:szCs w:val="18"/>
                <w:lang w:eastAsia="ro-MD"/>
              </w:rPr>
              <w:t xml:space="preserve"> - 75</w:t>
            </w:r>
            <w:r w:rsidRPr="006F5136">
              <w:rPr>
                <w:rFonts w:ascii="Times New Roman" w:eastAsia="Times New Roman" w:hAnsi="Times New Roman" w:cs="Times New Roman"/>
                <w:sz w:val="18"/>
                <w:szCs w:val="18"/>
                <w:vertAlign w:val="superscript"/>
                <w:lang w:eastAsia="ro-MD"/>
              </w:rPr>
              <w:t>13</w:t>
            </w:r>
            <w:r w:rsidRPr="006F5136">
              <w:rPr>
                <w:rFonts w:ascii="Times New Roman" w:eastAsia="Times New Roman" w:hAnsi="Times New Roman" w:cs="Times New Roman"/>
                <w:sz w:val="18"/>
                <w:szCs w:val="18"/>
                <w:lang w:eastAsia="ro-MD"/>
              </w:rPr>
              <w:t xml:space="preserve"> și sunt garantate cu oricare dintre următoarele active eligibile:</w:t>
            </w:r>
          </w:p>
          <w:p w14:paraId="181F112C"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 xml:space="preserve">1) expuneri față de sau garantate de administrații centrale, Banca Națională a Moldovei, Banca Centrală Europeană și bănci centrale ale statelor membre ale Uniunii Europene, entități din sectorul public, administrații regionale sau autorități locale din Republica Moldova și Uniunea </w:t>
            </w:r>
            <w:proofErr w:type="gramStart"/>
            <w:r w:rsidRPr="006F5136">
              <w:rPr>
                <w:rFonts w:ascii="Times New Roman" w:eastAsia="Times New Roman" w:hAnsi="Times New Roman" w:cs="Times New Roman"/>
                <w:sz w:val="18"/>
                <w:szCs w:val="18"/>
                <w:lang w:eastAsia="ro-MD"/>
              </w:rPr>
              <w:t>Europeană;</w:t>
            </w:r>
            <w:proofErr w:type="gramEnd"/>
          </w:p>
          <w:p w14:paraId="7AE28738"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2) expuneri față de sau garantate de administrații centrale ale unor state terțe, bănci centrale ale unor țări terțe, bănci de dezvoltare multilaterală, organizații internaționale care se încadrează la nivelul 1 de calitate a creditului, după cum se prevede în prezentul capitol, expuneri față de sau garantate de entități din sectorul public din țări terțe, de administrații regionale din țări terțe sau autorități locale din țări terțe, care sunt ponderate la risc ca expuneri față de bănci sau administrații centrale și bănci centrale, în conformitate cu prezentul regulament și care se încadrează la nivelul 1 de calitate a creditului, și expuneri, care se încadrează cel puțin la nivelul 2 de calitate a creditului, cu condiția ca respectivele expuneri să nu depășească 20 % din cuantumul nominal al obligațiunilor garantate rămase de rambursat ale băncii emitente;</w:t>
            </w:r>
          </w:p>
          <w:p w14:paraId="5F6A5F0F"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3) expuneri față de bănci care se încadrează la nivelul 1 de calitate a creditului, la nivelul 2 de calitate a creditului sau expunerile față de bănci care se încadrează la nivelul 3 de calitate a creditului atunci când respectivele expuneri sunt sub formă de:</w:t>
            </w:r>
          </w:p>
          <w:p w14:paraId="0ECDBC10"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a) depozite pe termen scurt cu o scadență inițială de cel mult 100 de zile atunci când sunt utilizate pentru respectarea cerinței privind amortizorul de lichiditate din portofoliul de acoperire conform cadrului normativ național aferent obligațiunilor garantate; sau</w:t>
            </w:r>
          </w:p>
          <w:p w14:paraId="05B45DB9"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 xml:space="preserve">b) contracte derivate care sunt conforme cerințelor obligațiunilor garantate, atunci când sunt permise de autoritățile </w:t>
            </w:r>
            <w:proofErr w:type="gramStart"/>
            <w:r w:rsidRPr="006F5136">
              <w:rPr>
                <w:rFonts w:ascii="Times New Roman" w:eastAsia="Times New Roman" w:hAnsi="Times New Roman" w:cs="Times New Roman"/>
                <w:sz w:val="18"/>
                <w:szCs w:val="18"/>
                <w:lang w:eastAsia="ro-MD"/>
              </w:rPr>
              <w:t>competente;</w:t>
            </w:r>
            <w:proofErr w:type="gramEnd"/>
          </w:p>
          <w:p w14:paraId="737C469D"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 xml:space="preserve">4) credite garantate cu bunuri imobile locative până la valoarea cea mai mică dintre principalul ipotecilor combinate cu orice ipoteci anterioare și 80 % din valoarea de piață a bunurilor </w:t>
            </w:r>
            <w:proofErr w:type="gramStart"/>
            <w:r w:rsidRPr="006F5136">
              <w:rPr>
                <w:rFonts w:ascii="Times New Roman" w:eastAsia="Times New Roman" w:hAnsi="Times New Roman" w:cs="Times New Roman"/>
                <w:sz w:val="18"/>
                <w:szCs w:val="18"/>
                <w:lang w:eastAsia="ro-MD"/>
              </w:rPr>
              <w:t>gajate;</w:t>
            </w:r>
            <w:proofErr w:type="gramEnd"/>
          </w:p>
          <w:p w14:paraId="01ADEF06"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 xml:space="preserve">5) credite locative garantate integral de un furnizor de protecție eligibil menționat în Regulamentul nr. 112/2018, care se califică pentru nivelul 2 de calitate a creditului sau superior acestuia, conform dispozițiilor prezentului capitol, în cazul în care partea din fiecare dintre credite care este utilizată pentru a satisface cerința prevăzută la prezentul punct, de acoperire cu garanții reale a obligațiunii garantate, nu reprezintă mai mult de 80 % din valoarea de piață a bunului imobil locativ situat în Franța și în cazul în care un raport credit/venit respectă o proporție de cel mult 33 % la acordarea creditului. La acordarea creditului trebuie să nu existe drepturi de ipotecă asupra bunului imobil locativ, iar, creditorul se angajează prin contract să nu acorde astfel de drepturi fără aprobarea băncii care </w:t>
            </w:r>
            <w:proofErr w:type="gramStart"/>
            <w:r w:rsidRPr="006F5136">
              <w:rPr>
                <w:rFonts w:ascii="Times New Roman" w:eastAsia="Times New Roman" w:hAnsi="Times New Roman" w:cs="Times New Roman"/>
                <w:sz w:val="18"/>
                <w:szCs w:val="18"/>
                <w:lang w:eastAsia="ro-MD"/>
              </w:rPr>
              <w:t>a</w:t>
            </w:r>
            <w:proofErr w:type="gramEnd"/>
            <w:r w:rsidRPr="006F5136">
              <w:rPr>
                <w:rFonts w:ascii="Times New Roman" w:eastAsia="Times New Roman" w:hAnsi="Times New Roman" w:cs="Times New Roman"/>
                <w:sz w:val="18"/>
                <w:szCs w:val="18"/>
                <w:lang w:eastAsia="ro-MD"/>
              </w:rPr>
              <w:t xml:space="preserve"> acordat creditul. Raportul credit/venit reprezintă partea din venitul brut al debitorului care acoperă rambursarea creditului, incluzând dobânzile. Furnizorul de protecție este fie o societate financiară nonbancară autorizată și supravegheată de autoritățile competente, supusă unor cerințe prudențiale comparabile celor aplicate băncilor în ceea ce privește soliditatea acestora, fie o bancă, fie o întreprindere de asigurare. Aceasta instituie un fond de garantare reciprocă sau o protecție echivalentă pentru întreprinderile de asigurare în scopul de </w:t>
            </w:r>
            <w:proofErr w:type="gramStart"/>
            <w:r w:rsidRPr="006F5136">
              <w:rPr>
                <w:rFonts w:ascii="Times New Roman" w:eastAsia="Times New Roman" w:hAnsi="Times New Roman" w:cs="Times New Roman"/>
                <w:sz w:val="18"/>
                <w:szCs w:val="18"/>
                <w:lang w:eastAsia="ro-MD"/>
              </w:rPr>
              <w:t>a</w:t>
            </w:r>
            <w:proofErr w:type="gramEnd"/>
            <w:r w:rsidRPr="006F5136">
              <w:rPr>
                <w:rFonts w:ascii="Times New Roman" w:eastAsia="Times New Roman" w:hAnsi="Times New Roman" w:cs="Times New Roman"/>
                <w:sz w:val="18"/>
                <w:szCs w:val="18"/>
                <w:lang w:eastAsia="ro-MD"/>
              </w:rPr>
              <w:t xml:space="preserve"> absorbi pierderile din riscul de credit, a căror calibrare este revizuită periodic de autoritățile competente. Atât banca, cât și furnizorul de protecție efectuează o evaluare a bonității creditorului.</w:t>
            </w:r>
          </w:p>
          <w:p w14:paraId="08B76192"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 xml:space="preserve">6) credite garantate cu bunuri imobile comerciale până la valoarea cea mai mică dintre principalul ipotecilor combinate cu orice ipoteci anterioare și 60 % din valoarea de piață a bunurilor gajate. Creditele garantate cu bunuri imobile comerciale sunt eligibile atunci când raportul credit/valoare de 60 % este depășit și atinge un nivel maxim de 70 %, în cazul în care valoarea tuturor activelor gajate ca garanție pentru obligațiunile garantate depășește cu cel puțin 10 % valoarea nominală </w:t>
            </w:r>
            <w:proofErr w:type="gramStart"/>
            <w:r w:rsidRPr="006F5136">
              <w:rPr>
                <w:rFonts w:ascii="Times New Roman" w:eastAsia="Times New Roman" w:hAnsi="Times New Roman" w:cs="Times New Roman"/>
                <w:sz w:val="18"/>
                <w:szCs w:val="18"/>
                <w:lang w:eastAsia="ro-MD"/>
              </w:rPr>
              <w:t>a</w:t>
            </w:r>
            <w:proofErr w:type="gramEnd"/>
            <w:r w:rsidRPr="006F5136">
              <w:rPr>
                <w:rFonts w:ascii="Times New Roman" w:eastAsia="Times New Roman" w:hAnsi="Times New Roman" w:cs="Times New Roman"/>
                <w:sz w:val="18"/>
                <w:szCs w:val="18"/>
                <w:lang w:eastAsia="ro-MD"/>
              </w:rPr>
              <w:t xml:space="preserve"> obligațiunilor garantate exigibile, iar creanța deținătorilor obligațiunilor îndeplinește cerințele de securitate juridică prevăzute în Regulamentul nr. 112/2018. Creanța deținătorilor de obligațiuni are prioritate față de alte creanțe asupra garanției reale.</w:t>
            </w:r>
          </w:p>
          <w:p w14:paraId="7E26CDD8" w14:textId="63FDD710"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7) credite garantate cu drepturi de retenție maritimă asupra navelor până la diferența dintre 60 % din valoarea navei gajate și valoarea oricărui drept anterior de retenție maritimă.</w:t>
            </w:r>
          </w:p>
          <w:p w14:paraId="31B3C3F5" w14:textId="2294F296"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b/>
                <w:bCs/>
                <w:sz w:val="18"/>
                <w:szCs w:val="18"/>
                <w:lang w:val="ro-RO" w:eastAsia="ro-MD"/>
              </w:rPr>
              <w:t>75</w:t>
            </w:r>
            <w:r w:rsidRPr="006F5136">
              <w:rPr>
                <w:rFonts w:ascii="Times New Roman" w:eastAsia="Times New Roman" w:hAnsi="Times New Roman" w:cs="Times New Roman"/>
                <w:b/>
                <w:bCs/>
                <w:sz w:val="18"/>
                <w:szCs w:val="18"/>
                <w:vertAlign w:val="superscript"/>
                <w:lang w:val="ro-RO" w:eastAsia="ro-MD"/>
              </w:rPr>
              <w:t>4</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w:t>
            </w:r>
            <w:r w:rsidRPr="006F5136">
              <w:rPr>
                <w:rFonts w:ascii="Times New Roman" w:eastAsia="Times New Roman" w:hAnsi="Times New Roman" w:cs="Times New Roman"/>
                <w:sz w:val="18"/>
                <w:szCs w:val="18"/>
                <w:lang w:eastAsia="ro-MD"/>
              </w:rPr>
              <w:t>În sensul punctului 75</w:t>
            </w:r>
            <w:r w:rsidRPr="006F5136">
              <w:rPr>
                <w:rFonts w:ascii="Times New Roman" w:eastAsia="Times New Roman" w:hAnsi="Times New Roman" w:cs="Times New Roman"/>
                <w:sz w:val="18"/>
                <w:szCs w:val="18"/>
                <w:vertAlign w:val="superscript"/>
                <w:lang w:eastAsia="ro-MD"/>
              </w:rPr>
              <w:t>5</w:t>
            </w:r>
            <w:r w:rsidRPr="006F5136">
              <w:rPr>
                <w:rFonts w:ascii="Times New Roman" w:eastAsia="Times New Roman" w:hAnsi="Times New Roman" w:cs="Times New Roman"/>
                <w:sz w:val="18"/>
                <w:szCs w:val="18"/>
                <w:lang w:eastAsia="ro-MD"/>
              </w:rPr>
              <w:t>, expunerile generate de transferul și gestionarea plăților efectuate de debitorii creditelor garantate cu bunuri gajate în raport cu titluri de datorie sau prin transferul și gestionarea plăților rezultate din lichidarea respectivelor credite nu se includ în calculul limitei menționate la punctul respectiv.</w:t>
            </w:r>
          </w:p>
          <w:p w14:paraId="15880696" w14:textId="0FFE7EAB" w:rsidR="006B3BC1" w:rsidRPr="006F5136" w:rsidRDefault="006B3BC1" w:rsidP="006B3BC1">
            <w:pPr>
              <w:pStyle w:val="CM4"/>
              <w:tabs>
                <w:tab w:val="left" w:pos="150"/>
              </w:tabs>
              <w:ind w:left="-36"/>
              <w:rPr>
                <w:rFonts w:ascii="Times New Roman" w:hAnsi="Times New Roman"/>
                <w:sz w:val="18"/>
                <w:szCs w:val="18"/>
                <w:lang w:val="ro-RO" w:eastAsia="ru-RU"/>
              </w:rPr>
            </w:pPr>
            <w:r w:rsidRPr="006F5136">
              <w:rPr>
                <w:rFonts w:ascii="Times New Roman" w:hAnsi="Times New Roman"/>
                <w:i/>
                <w:iCs/>
                <w:sz w:val="18"/>
                <w:szCs w:val="18"/>
                <w:lang w:val="ro-RO" w:eastAsia="ru-RU"/>
              </w:rPr>
              <w:t>Proiectul HCE al BNM privind modificarea Regulamentului nr.111/2018</w:t>
            </w:r>
          </w:p>
        </w:tc>
        <w:tc>
          <w:tcPr>
            <w:tcW w:w="503" w:type="pct"/>
          </w:tcPr>
          <w:p w14:paraId="1E7175BF" w14:textId="466FD833"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26224FC" w14:textId="4BC5FF0F"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F07AB7" w:rsidRPr="006F5136" w14:paraId="24AD2B7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772984F" w14:textId="77777777" w:rsidR="00F07AB7" w:rsidRPr="006F5136" w:rsidRDefault="00F07AB7" w:rsidP="005E4694">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▼M17</w:t>
            </w:r>
          </w:p>
          <w:p w14:paraId="15321579" w14:textId="6EC5BEAE" w:rsidR="00F07AB7" w:rsidRPr="006F5136" w:rsidRDefault="00F07AB7" w:rsidP="005E4694">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Fără a aduce atingere primului paragraf litera (c) de la prezentul alineat, până la 1 iulie 2027, expunerile indirecte față de instituții de credit care nu beneficiază de un rating extern care garantează creditele ipotecare până la înregistrarea lor sunt tratate, în sensul literei respective, ca expuneri față de instituții de credit care se încadrează la nivelul 1 de calitate a creditului, cu condiția ca acestea să fie expuneri pe termen scurt încadrate în clasa A în temeiul articolului 121 și ca creditele ipotecare garantate să fie eligibile, odată înregistrate, pentru tratamentul preferențial prevăzut la primul paragraf literele (d), (e) și (f) de la prezentul alineat.</w:t>
            </w:r>
          </w:p>
        </w:tc>
        <w:tc>
          <w:tcPr>
            <w:tcW w:w="1661" w:type="pct"/>
            <w:shd w:val="clear" w:color="auto" w:fill="auto"/>
          </w:tcPr>
          <w:p w14:paraId="3D6E7948" w14:textId="77777777" w:rsidR="00F07AB7" w:rsidRPr="006F5136" w:rsidRDefault="00F07AB7" w:rsidP="005E4694">
            <w:pPr>
              <w:pStyle w:val="CM4"/>
              <w:tabs>
                <w:tab w:val="left" w:pos="150"/>
              </w:tabs>
              <w:ind w:left="-36"/>
              <w:rPr>
                <w:rFonts w:ascii="Times New Roman" w:hAnsi="Times New Roman"/>
                <w:sz w:val="18"/>
                <w:szCs w:val="18"/>
                <w:lang w:val="ro-RO" w:eastAsia="ru-RU"/>
              </w:rPr>
            </w:pPr>
          </w:p>
        </w:tc>
        <w:tc>
          <w:tcPr>
            <w:tcW w:w="503" w:type="pct"/>
          </w:tcPr>
          <w:p w14:paraId="522F8D15" w14:textId="2F65E97A" w:rsidR="00F07AB7" w:rsidRPr="006F5136" w:rsidRDefault="00053367"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Norme UE netranspuse</w:t>
            </w:r>
          </w:p>
        </w:tc>
        <w:tc>
          <w:tcPr>
            <w:tcW w:w="912" w:type="pct"/>
          </w:tcPr>
          <w:p w14:paraId="054434E0" w14:textId="317D8B7A" w:rsidR="00F07AB7" w:rsidRPr="006F5136" w:rsidRDefault="004B29CA"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Norma prevede dispoziții tranzitorii.</w:t>
            </w:r>
          </w:p>
        </w:tc>
      </w:tr>
      <w:tr w:rsidR="006B3BC1" w:rsidRPr="006F5136" w14:paraId="455157C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CA0F6F5"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b/>
                <w:bCs/>
                <w:color w:val="000000" w:themeColor="text1"/>
                <w:sz w:val="18"/>
                <w:szCs w:val="18"/>
                <w:lang w:eastAsia="ro-MD"/>
              </w:rPr>
            </w:pPr>
            <w:hyperlink r:id="rId24" w:tooltip="32019R2160: INSERTED" w:history="1">
              <w:r w:rsidRPr="006F5136">
                <w:rPr>
                  <w:rFonts w:ascii="Times New Roman" w:eastAsia="Times New Roman" w:hAnsi="Times New Roman" w:cs="Times New Roman"/>
                  <w:b/>
                  <w:bCs/>
                  <w:color w:val="000000" w:themeColor="text1"/>
                  <w:sz w:val="18"/>
                  <w:szCs w:val="18"/>
                  <w:lang w:eastAsia="ro-MD"/>
                </w:rPr>
                <w:t>▼M10</w:t>
              </w:r>
            </w:hyperlink>
          </w:p>
          <w:p w14:paraId="262EFF67"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(1a) În sensul alineatului (1) primul paragraf litera (c), se aplică următoarele dispoziții:</w:t>
            </w:r>
          </w:p>
          <w:p w14:paraId="7408E98F"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 xml:space="preserve">(a) expunerea față de instituții de credit care se încadrează la nivelul 1 de calitate a creditului nu depășește 15 % din cuantumul nominal al obligațiunilor garantate rămase de rambursat ale instituției de credit </w:t>
            </w:r>
            <w:proofErr w:type="gramStart"/>
            <w:r w:rsidRPr="006F5136">
              <w:rPr>
                <w:rFonts w:ascii="Times New Roman" w:eastAsia="Times New Roman" w:hAnsi="Times New Roman" w:cs="Times New Roman"/>
                <w:color w:val="000000" w:themeColor="text1"/>
                <w:sz w:val="18"/>
                <w:szCs w:val="18"/>
                <w:lang w:eastAsia="ro-MD"/>
              </w:rPr>
              <w:t>emitente;</w:t>
            </w:r>
            <w:proofErr w:type="gramEnd"/>
          </w:p>
          <w:p w14:paraId="14F4F64F" w14:textId="4D88BAB9"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 xml:space="preserve">(b) expunerea față de instituții de credit care se încadrează la nivelul 2 de calitate a creditului nu depășește 10 % din cuantumul nominal al obligațiunilor garantate rămase de rambursat ale instituției de credit </w:t>
            </w:r>
            <w:proofErr w:type="gramStart"/>
            <w:r w:rsidRPr="006F5136">
              <w:rPr>
                <w:rFonts w:ascii="Times New Roman" w:eastAsia="Times New Roman" w:hAnsi="Times New Roman" w:cs="Times New Roman"/>
                <w:color w:val="000000" w:themeColor="text1"/>
                <w:sz w:val="18"/>
                <w:szCs w:val="18"/>
                <w:lang w:eastAsia="ro-MD"/>
              </w:rPr>
              <w:t>emitente;</w:t>
            </w:r>
            <w:proofErr w:type="gramEnd"/>
          </w:p>
          <w:p w14:paraId="1499E2C8" w14:textId="21FF75EF"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(c) expunerea față de instituții de credit care se încadrează la nivelul 3 de calitate a creditului sub formă de depozite pe termen scurt, astfel cum se menționează la alineatul (1) primul paragraf litera (c) punctul (i) din prezentul articol, sau sub formă de contracte derivate, astfel cum se menționează la alineatul (1) primul paragraf litera (c) punctul (ii) din prezentul articol, expunerea totală nu depășește 8 % din cuantumul nominal al obligațiunilor garantate rămase de rambursat ale instituției de credit emitente; autoritățile competente desemnate în temeiul articolului 18 alineatul (2) din Directiva (UE) 2019/2162 pot permite, după consultarea ABE, expuneri față de instituțiile de credit care se încadrează la nivelul 3 de calitate a creditului sub formă de contracte derivate, cu condiția ca în eventualele probleme semnificative de concentrare în statele membre vizate să poată fi justificate din cauza aplicării cerințelor privind nivelul 1 și 2 de calitate a creditului menționate la prezentul alineat;</w:t>
            </w:r>
          </w:p>
          <w:p w14:paraId="6E9DE154"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(d) expunerea totală față de instituții de credit care se încadrează la nivelul 1, 2 sau 3 de calitate a creditului nu depășește 15 % din cuantumul nominal al obligațiunilor garantate rămase de rambursat ale instituției de credit emitente și expunerea totală față de instituții de credit care se încadrează la nivelul 2 sau 3 de calitate a creditului nu depășește 10 % din cuantumul nominal al obligațiunilor garantate rămase de rambursat ale instituției de credit emitente.</w:t>
            </w:r>
          </w:p>
          <w:p w14:paraId="7FBC5696" w14:textId="386F5193"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p>
        </w:tc>
        <w:tc>
          <w:tcPr>
            <w:tcW w:w="1661" w:type="pct"/>
            <w:shd w:val="clear" w:color="auto" w:fill="auto"/>
          </w:tcPr>
          <w:p w14:paraId="38EAE355"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b/>
                <w:bCs/>
                <w:sz w:val="18"/>
                <w:szCs w:val="18"/>
                <w:lang w:val="ro-RO" w:eastAsia="ro-MD"/>
              </w:rPr>
              <w:t>75</w:t>
            </w:r>
            <w:r w:rsidRPr="006F5136">
              <w:rPr>
                <w:rFonts w:ascii="Times New Roman" w:eastAsia="Times New Roman" w:hAnsi="Times New Roman" w:cs="Times New Roman"/>
                <w:b/>
                <w:bCs/>
                <w:sz w:val="18"/>
                <w:szCs w:val="18"/>
                <w:vertAlign w:val="superscript"/>
                <w:lang w:val="ro-RO" w:eastAsia="ro-MD"/>
              </w:rPr>
              <w:t>5</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eastAsia="ro-MD"/>
              </w:rPr>
              <w:t xml:space="preserve"> În sensul punctului 75</w:t>
            </w:r>
            <w:r w:rsidRPr="006F5136">
              <w:rPr>
                <w:rFonts w:ascii="Times New Roman" w:eastAsia="Times New Roman" w:hAnsi="Times New Roman" w:cs="Times New Roman"/>
                <w:sz w:val="18"/>
                <w:szCs w:val="18"/>
                <w:vertAlign w:val="superscript"/>
                <w:lang w:eastAsia="ro-MD"/>
              </w:rPr>
              <w:t>3</w:t>
            </w:r>
            <w:r w:rsidRPr="006F5136">
              <w:rPr>
                <w:rFonts w:ascii="Times New Roman" w:eastAsia="Times New Roman" w:hAnsi="Times New Roman" w:cs="Times New Roman"/>
                <w:sz w:val="18"/>
                <w:szCs w:val="18"/>
                <w:lang w:eastAsia="ro-MD"/>
              </w:rPr>
              <w:t xml:space="preserve"> subpunctul 3), se aplică următoarele dispoziții:</w:t>
            </w:r>
          </w:p>
          <w:p w14:paraId="261FFA8A"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 xml:space="preserve">1) expunerea față de bănci care se încadrează la nivelul 1 de calitate a creditului nu depășește 15 % din cuantumul nominal al obligațiunilor garantate rămase de rambursat ale băncii </w:t>
            </w:r>
            <w:proofErr w:type="gramStart"/>
            <w:r w:rsidRPr="006F5136">
              <w:rPr>
                <w:rFonts w:ascii="Times New Roman" w:eastAsia="Times New Roman" w:hAnsi="Times New Roman" w:cs="Times New Roman"/>
                <w:sz w:val="18"/>
                <w:szCs w:val="18"/>
                <w:lang w:eastAsia="ro-MD"/>
              </w:rPr>
              <w:t>emitente;</w:t>
            </w:r>
            <w:proofErr w:type="gramEnd"/>
          </w:p>
          <w:p w14:paraId="33DB3EA0"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 xml:space="preserve">2) expunerea față de bănci care se încadrează la nivelul 2 de calitate a creditului nu depășește 10 % din cuantumul nominal al obligațiunilor garantate rămase de rambursat ale băncii </w:t>
            </w:r>
            <w:proofErr w:type="gramStart"/>
            <w:r w:rsidRPr="006F5136">
              <w:rPr>
                <w:rFonts w:ascii="Times New Roman" w:eastAsia="Times New Roman" w:hAnsi="Times New Roman" w:cs="Times New Roman"/>
                <w:sz w:val="18"/>
                <w:szCs w:val="18"/>
                <w:lang w:eastAsia="ro-MD"/>
              </w:rPr>
              <w:t>emitente;</w:t>
            </w:r>
            <w:proofErr w:type="gramEnd"/>
          </w:p>
          <w:p w14:paraId="7CFE4654"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3) expunerea față de bănci care se încadrează la nivelul 3 de calitate a creditului sub formă de depozite pe termen scurt, astfel cum se menționează la punctul 75</w:t>
            </w:r>
            <w:r w:rsidRPr="006F5136">
              <w:rPr>
                <w:rFonts w:ascii="Times New Roman" w:eastAsia="Times New Roman" w:hAnsi="Times New Roman" w:cs="Times New Roman"/>
                <w:sz w:val="18"/>
                <w:szCs w:val="18"/>
                <w:vertAlign w:val="superscript"/>
                <w:lang w:eastAsia="ro-MD"/>
              </w:rPr>
              <w:t>3</w:t>
            </w:r>
            <w:r w:rsidRPr="006F5136">
              <w:rPr>
                <w:rFonts w:ascii="Times New Roman" w:eastAsia="Times New Roman" w:hAnsi="Times New Roman" w:cs="Times New Roman"/>
                <w:sz w:val="18"/>
                <w:szCs w:val="18"/>
                <w:lang w:eastAsia="ro-MD"/>
              </w:rPr>
              <w:t xml:space="preserve"> subpunctul 3) litera a), sau sub formă de contracte derivate, astfel cum se menționează la punctul 75</w:t>
            </w:r>
            <w:r w:rsidRPr="006F5136">
              <w:rPr>
                <w:rFonts w:ascii="Times New Roman" w:eastAsia="Times New Roman" w:hAnsi="Times New Roman" w:cs="Times New Roman"/>
                <w:sz w:val="18"/>
                <w:szCs w:val="18"/>
                <w:vertAlign w:val="superscript"/>
                <w:lang w:eastAsia="ro-MD"/>
              </w:rPr>
              <w:t>3</w:t>
            </w:r>
            <w:r w:rsidRPr="006F5136">
              <w:rPr>
                <w:rFonts w:ascii="Times New Roman" w:eastAsia="Times New Roman" w:hAnsi="Times New Roman" w:cs="Times New Roman"/>
                <w:sz w:val="18"/>
                <w:szCs w:val="18"/>
                <w:lang w:eastAsia="ro-MD"/>
              </w:rPr>
              <w:t xml:space="preserve"> subpunctul 3) litera b), expunerea totală nu depășește 8 % din cuantumul nominal al obligațiunilor garantate rămase de rambursat ale băncii </w:t>
            </w:r>
            <w:proofErr w:type="gramStart"/>
            <w:r w:rsidRPr="006F5136">
              <w:rPr>
                <w:rFonts w:ascii="Times New Roman" w:eastAsia="Times New Roman" w:hAnsi="Times New Roman" w:cs="Times New Roman"/>
                <w:sz w:val="18"/>
                <w:szCs w:val="18"/>
                <w:lang w:eastAsia="ro-MD"/>
              </w:rPr>
              <w:t>emitente;</w:t>
            </w:r>
            <w:proofErr w:type="gramEnd"/>
            <w:r w:rsidRPr="006F5136">
              <w:rPr>
                <w:rFonts w:ascii="Times New Roman" w:eastAsia="Times New Roman" w:hAnsi="Times New Roman" w:cs="Times New Roman"/>
                <w:sz w:val="18"/>
                <w:szCs w:val="18"/>
                <w:lang w:eastAsia="ro-MD"/>
              </w:rPr>
              <w:t xml:space="preserve"> </w:t>
            </w:r>
          </w:p>
          <w:p w14:paraId="6D728F68" w14:textId="77777777" w:rsidR="006B3BC1" w:rsidRPr="006F5136" w:rsidRDefault="006B3BC1" w:rsidP="006B3BC1">
            <w:pPr>
              <w:pStyle w:val="CM4"/>
              <w:tabs>
                <w:tab w:val="left" w:pos="150"/>
              </w:tabs>
              <w:ind w:left="-36"/>
              <w:rPr>
                <w:rFonts w:ascii="Times New Roman" w:hAnsi="Times New Roman"/>
                <w:sz w:val="18"/>
                <w:szCs w:val="18"/>
                <w:lang w:eastAsia="ro-MD"/>
              </w:rPr>
            </w:pPr>
            <w:r w:rsidRPr="006F5136">
              <w:rPr>
                <w:rFonts w:ascii="Times New Roman" w:hAnsi="Times New Roman"/>
                <w:sz w:val="18"/>
                <w:szCs w:val="18"/>
                <w:lang w:eastAsia="ro-MD"/>
              </w:rPr>
              <w:t>4) expunerea totală față de bănci care se încadrează la nivelul 1, 2 sau 3 de calitate a creditului nu depășește 15 % din cuantumul nominal al obligațiunilor garantate rămase de rambursat ale băncii emitente și expunerea totală față de bănci care se încadrează la nivelul 2 sau 3 de calitate a creditului nu depășește 10 % din cuantumul nominal al obligațiunilor garantate rămase de rambursat ale băncii emitente.</w:t>
            </w:r>
          </w:p>
          <w:p w14:paraId="7752C714" w14:textId="5EF47234" w:rsidR="006B3BC1" w:rsidRPr="006F5136" w:rsidRDefault="006B3BC1" w:rsidP="006B3BC1">
            <w:pPr>
              <w:spacing w:after="0" w:line="240" w:lineRule="auto"/>
              <w:rPr>
                <w:rFonts w:ascii="Times New Roman" w:hAnsi="Times New Roman" w:cs="Times New Roman"/>
                <w:sz w:val="18"/>
                <w:szCs w:val="18"/>
                <w:lang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3DAC3D95" w14:textId="1694694A" w:rsidR="006B3BC1" w:rsidRPr="006F5136" w:rsidDel="00B26998"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3C34596" w14:textId="569809F5"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348BB82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1"/>
        </w:trPr>
        <w:tc>
          <w:tcPr>
            <w:tcW w:w="1924" w:type="pct"/>
          </w:tcPr>
          <w:p w14:paraId="39615240" w14:textId="3114BF98"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(1</w:t>
            </w:r>
            <w:proofErr w:type="gramStart"/>
            <w:r w:rsidRPr="006F5136">
              <w:rPr>
                <w:rFonts w:ascii="Times New Roman" w:eastAsia="Times New Roman" w:hAnsi="Times New Roman" w:cs="Times New Roman"/>
                <w:color w:val="000000" w:themeColor="text1"/>
                <w:sz w:val="18"/>
                <w:szCs w:val="18"/>
                <w:lang w:eastAsia="ro-MD"/>
              </w:rPr>
              <w:t>b)   </w:t>
            </w:r>
            <w:proofErr w:type="gramEnd"/>
            <w:r w:rsidRPr="006F5136">
              <w:rPr>
                <w:rFonts w:ascii="Times New Roman" w:eastAsia="Times New Roman" w:hAnsi="Times New Roman" w:cs="Times New Roman"/>
                <w:color w:val="000000" w:themeColor="text1"/>
                <w:sz w:val="18"/>
                <w:szCs w:val="18"/>
                <w:lang w:eastAsia="ro-MD"/>
              </w:rPr>
              <w:t>Alineatul (1a) din prezentul articol nu se aplică la utilizarea obligațiunilor garantate ca garanții reale eligibile, astfel cum permite articolul 8 din Directiva (UE) 2019/2162.</w:t>
            </w:r>
          </w:p>
        </w:tc>
        <w:tc>
          <w:tcPr>
            <w:tcW w:w="1661" w:type="pct"/>
            <w:shd w:val="clear" w:color="auto" w:fill="auto"/>
          </w:tcPr>
          <w:p w14:paraId="5A18FADA" w14:textId="77777777" w:rsidR="006B3BC1" w:rsidRPr="006F5136" w:rsidRDefault="006B3BC1" w:rsidP="006B3BC1">
            <w:pPr>
              <w:pStyle w:val="CM4"/>
              <w:tabs>
                <w:tab w:val="left" w:pos="150"/>
              </w:tabs>
              <w:ind w:left="-36"/>
              <w:rPr>
                <w:rFonts w:ascii="Times New Roman" w:hAnsi="Times New Roman"/>
                <w:sz w:val="18"/>
                <w:szCs w:val="18"/>
                <w:lang w:eastAsia="ro-MD"/>
              </w:rPr>
            </w:pPr>
            <w:r w:rsidRPr="006F5136">
              <w:rPr>
                <w:rFonts w:ascii="Times New Roman" w:hAnsi="Times New Roman"/>
                <w:b/>
                <w:bCs/>
                <w:sz w:val="18"/>
                <w:szCs w:val="18"/>
                <w:lang w:val="ro-RO" w:eastAsia="ro-MD"/>
              </w:rPr>
              <w:t>75</w:t>
            </w:r>
            <w:r w:rsidRPr="006F5136">
              <w:rPr>
                <w:rFonts w:ascii="Times New Roman" w:hAnsi="Times New Roman"/>
                <w:b/>
                <w:bCs/>
                <w:sz w:val="18"/>
                <w:szCs w:val="18"/>
                <w:vertAlign w:val="superscript"/>
                <w:lang w:val="ro-RO" w:eastAsia="ro-MD"/>
              </w:rPr>
              <w:t>6</w:t>
            </w:r>
            <w:r w:rsidRPr="006F5136">
              <w:rPr>
                <w:rFonts w:ascii="Times New Roman" w:hAnsi="Times New Roman"/>
                <w:b/>
                <w:bCs/>
                <w:sz w:val="18"/>
                <w:szCs w:val="18"/>
                <w:lang w:val="ro-RO" w:eastAsia="ro-MD"/>
              </w:rPr>
              <w:t>.</w:t>
            </w:r>
            <w:r w:rsidRPr="006F5136">
              <w:rPr>
                <w:rFonts w:ascii="Times New Roman" w:hAnsi="Times New Roman"/>
                <w:sz w:val="18"/>
                <w:szCs w:val="18"/>
                <w:lang w:val="ro-RO" w:eastAsia="ro-MD"/>
              </w:rPr>
              <w:t xml:space="preserve"> Punctul 75</w:t>
            </w:r>
            <w:r w:rsidRPr="006F5136">
              <w:rPr>
                <w:rFonts w:ascii="Times New Roman" w:hAnsi="Times New Roman"/>
                <w:sz w:val="18"/>
                <w:szCs w:val="18"/>
                <w:vertAlign w:val="superscript"/>
                <w:lang w:val="ro-RO" w:eastAsia="ro-MD"/>
              </w:rPr>
              <w:t>5</w:t>
            </w:r>
            <w:r w:rsidRPr="006F5136">
              <w:rPr>
                <w:rFonts w:ascii="Times New Roman" w:hAnsi="Times New Roman"/>
                <w:sz w:val="18"/>
                <w:szCs w:val="18"/>
                <w:lang w:eastAsia="ro-MD"/>
              </w:rPr>
              <w:t xml:space="preserve"> nu se aplică la utilizarea obligațiunilor garantate ca garanții reale eligibile.</w:t>
            </w:r>
          </w:p>
          <w:p w14:paraId="659D2848" w14:textId="0B5C7216" w:rsidR="006B3BC1" w:rsidRPr="006F5136" w:rsidRDefault="006B3BC1" w:rsidP="006B3BC1">
            <w:pPr>
              <w:spacing w:after="0" w:line="240" w:lineRule="auto"/>
              <w:rPr>
                <w:rFonts w:ascii="Times New Roman" w:hAnsi="Times New Roman" w:cs="Times New Roman"/>
                <w:sz w:val="18"/>
                <w:szCs w:val="18"/>
                <w:lang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591F337D" w14:textId="0E22E4F7"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D071A61" w14:textId="6BB69F0F"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352C34AD"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1"/>
        </w:trPr>
        <w:tc>
          <w:tcPr>
            <w:tcW w:w="1924" w:type="pct"/>
          </w:tcPr>
          <w:p w14:paraId="29EAEC3A" w14:textId="15C53CD1"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(1c)   În sensul dispozițiilor de la alineatul (1) primul paragraf litera (d), limita de 80 % se aplică fiecărui împrumut individual, determină porțiunea împrumutului care contribuie la acoperirea datoriilor aferente obligațiunii garantate și se aplică pe întreaga durată a împrumutului.</w:t>
            </w:r>
          </w:p>
        </w:tc>
        <w:tc>
          <w:tcPr>
            <w:tcW w:w="1661" w:type="pct"/>
            <w:shd w:val="clear" w:color="auto" w:fill="auto"/>
          </w:tcPr>
          <w:p w14:paraId="7D9C0318" w14:textId="77777777" w:rsidR="006B3BC1" w:rsidRPr="006F5136" w:rsidRDefault="006B3BC1" w:rsidP="006B3BC1">
            <w:pPr>
              <w:pStyle w:val="CM4"/>
              <w:tabs>
                <w:tab w:val="left" w:pos="150"/>
              </w:tabs>
              <w:ind w:left="-36"/>
              <w:rPr>
                <w:rFonts w:ascii="Times New Roman" w:hAnsi="Times New Roman"/>
                <w:sz w:val="18"/>
                <w:szCs w:val="18"/>
                <w:lang w:eastAsia="ro-MD"/>
              </w:rPr>
            </w:pPr>
            <w:r w:rsidRPr="006F5136">
              <w:rPr>
                <w:rFonts w:ascii="Times New Roman" w:hAnsi="Times New Roman"/>
                <w:b/>
                <w:bCs/>
                <w:sz w:val="18"/>
                <w:szCs w:val="18"/>
                <w:lang w:val="ro-RO" w:eastAsia="ro-MD"/>
              </w:rPr>
              <w:t>75</w:t>
            </w:r>
            <w:r w:rsidRPr="006F5136">
              <w:rPr>
                <w:rFonts w:ascii="Times New Roman" w:hAnsi="Times New Roman"/>
                <w:b/>
                <w:bCs/>
                <w:sz w:val="18"/>
                <w:szCs w:val="18"/>
                <w:vertAlign w:val="superscript"/>
                <w:lang w:val="ro-RO" w:eastAsia="ro-MD"/>
              </w:rPr>
              <w:t>7</w:t>
            </w:r>
            <w:r w:rsidRPr="006F5136">
              <w:rPr>
                <w:rFonts w:ascii="Times New Roman" w:hAnsi="Times New Roman"/>
                <w:b/>
                <w:bCs/>
                <w:sz w:val="18"/>
                <w:szCs w:val="18"/>
                <w:lang w:val="ro-RO" w:eastAsia="ro-MD"/>
              </w:rPr>
              <w:t>.</w:t>
            </w:r>
            <w:r w:rsidRPr="006F5136">
              <w:rPr>
                <w:rFonts w:ascii="Times New Roman" w:hAnsi="Times New Roman"/>
                <w:sz w:val="18"/>
                <w:szCs w:val="18"/>
                <w:lang w:val="ro-RO" w:eastAsia="ro-MD"/>
              </w:rPr>
              <w:t xml:space="preserve"> </w:t>
            </w:r>
            <w:r w:rsidRPr="006F5136">
              <w:rPr>
                <w:rFonts w:ascii="Times New Roman" w:hAnsi="Times New Roman"/>
                <w:sz w:val="18"/>
                <w:szCs w:val="18"/>
                <w:lang w:eastAsia="ro-MD"/>
              </w:rPr>
              <w:t>În sensul punctului 75</w:t>
            </w:r>
            <w:r w:rsidRPr="006F5136">
              <w:rPr>
                <w:rFonts w:ascii="Times New Roman" w:hAnsi="Times New Roman"/>
                <w:sz w:val="18"/>
                <w:szCs w:val="18"/>
                <w:vertAlign w:val="superscript"/>
                <w:lang w:eastAsia="ro-MD"/>
              </w:rPr>
              <w:t>3</w:t>
            </w:r>
            <w:r w:rsidRPr="006F5136">
              <w:rPr>
                <w:rFonts w:ascii="Times New Roman" w:hAnsi="Times New Roman"/>
                <w:sz w:val="18"/>
                <w:szCs w:val="18"/>
                <w:lang w:eastAsia="ro-MD"/>
              </w:rPr>
              <w:t xml:space="preserve"> subpunctul 4), limita de 80 % se aplică fiecărui credit individual și determină porțiunea creditului care contribuie la acoperirea datoriilor aferente obligațiunii garantate și se aplică pe întreaga durată a creditului.</w:t>
            </w:r>
          </w:p>
          <w:p w14:paraId="347534A1" w14:textId="5E49CB62" w:rsidR="006B3BC1" w:rsidRPr="006F5136" w:rsidRDefault="006B3BC1" w:rsidP="006B3BC1">
            <w:pPr>
              <w:spacing w:after="0" w:line="240" w:lineRule="auto"/>
              <w:rPr>
                <w:rFonts w:ascii="Times New Roman" w:hAnsi="Times New Roman" w:cs="Times New Roman"/>
                <w:sz w:val="18"/>
                <w:szCs w:val="18"/>
                <w:lang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0F70C9E0" w14:textId="5800FFA7"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74FD517E" w14:textId="395C9797"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73EBA55D"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DE66206" w14:textId="1B48A485"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(1d)   În sensul dispozițiilor de la alineatul (1) primul paragraf literele (f) și (g), limitele de 60 % sau de 70 %, după caz, se aplică fiecărui împrumut individual, determină porțiunea împrumutului care contribuie la acoperirea datoriilor aferente obligațiunii garantate, și se aplică pe întreaga durată a împrumutului.</w:t>
            </w:r>
          </w:p>
        </w:tc>
        <w:tc>
          <w:tcPr>
            <w:tcW w:w="1661" w:type="pct"/>
            <w:shd w:val="clear" w:color="auto" w:fill="auto"/>
          </w:tcPr>
          <w:p w14:paraId="3BC076D4" w14:textId="77777777" w:rsidR="006B3BC1" w:rsidRPr="006F5136" w:rsidRDefault="006B3BC1" w:rsidP="006B3BC1">
            <w:pPr>
              <w:pStyle w:val="CM4"/>
              <w:tabs>
                <w:tab w:val="left" w:pos="150"/>
              </w:tabs>
              <w:ind w:left="-36"/>
              <w:rPr>
                <w:rFonts w:ascii="Times New Roman" w:hAnsi="Times New Roman"/>
                <w:sz w:val="18"/>
                <w:szCs w:val="18"/>
                <w:lang w:eastAsia="ro-MD"/>
              </w:rPr>
            </w:pPr>
            <w:r w:rsidRPr="006F5136">
              <w:rPr>
                <w:rFonts w:ascii="Times New Roman" w:hAnsi="Times New Roman"/>
                <w:b/>
                <w:bCs/>
                <w:sz w:val="18"/>
                <w:szCs w:val="18"/>
                <w:lang w:val="ro-RO" w:eastAsia="ro-MD"/>
              </w:rPr>
              <w:t>75</w:t>
            </w:r>
            <w:r w:rsidRPr="006F5136">
              <w:rPr>
                <w:rFonts w:ascii="Times New Roman" w:hAnsi="Times New Roman"/>
                <w:b/>
                <w:bCs/>
                <w:sz w:val="18"/>
                <w:szCs w:val="18"/>
                <w:vertAlign w:val="superscript"/>
                <w:lang w:val="ro-RO" w:eastAsia="ro-MD"/>
              </w:rPr>
              <w:t>8</w:t>
            </w:r>
            <w:r w:rsidRPr="006F5136">
              <w:rPr>
                <w:rFonts w:ascii="Times New Roman" w:hAnsi="Times New Roman"/>
                <w:b/>
                <w:bCs/>
                <w:sz w:val="18"/>
                <w:szCs w:val="18"/>
                <w:lang w:val="ro-RO" w:eastAsia="ro-MD"/>
              </w:rPr>
              <w:t>.</w:t>
            </w:r>
            <w:r w:rsidRPr="006F5136">
              <w:rPr>
                <w:rFonts w:ascii="Times New Roman" w:hAnsi="Times New Roman"/>
                <w:sz w:val="18"/>
                <w:szCs w:val="18"/>
                <w:lang w:val="ro-RO" w:eastAsia="ro-MD"/>
              </w:rPr>
              <w:t xml:space="preserve"> </w:t>
            </w:r>
            <w:r w:rsidRPr="006F5136">
              <w:rPr>
                <w:rFonts w:ascii="Times New Roman" w:hAnsi="Times New Roman"/>
                <w:sz w:val="18"/>
                <w:szCs w:val="18"/>
                <w:lang w:eastAsia="ro-MD"/>
              </w:rPr>
              <w:t>În sensul punctului 75</w:t>
            </w:r>
            <w:r w:rsidRPr="006F5136">
              <w:rPr>
                <w:rFonts w:ascii="Times New Roman" w:hAnsi="Times New Roman"/>
                <w:sz w:val="18"/>
                <w:szCs w:val="18"/>
                <w:vertAlign w:val="superscript"/>
                <w:lang w:eastAsia="ro-MD"/>
              </w:rPr>
              <w:t>3</w:t>
            </w:r>
            <w:r w:rsidRPr="006F5136">
              <w:rPr>
                <w:rFonts w:ascii="Times New Roman" w:hAnsi="Times New Roman"/>
                <w:sz w:val="18"/>
                <w:szCs w:val="18"/>
                <w:lang w:eastAsia="ro-MD"/>
              </w:rPr>
              <w:t xml:space="preserve"> subpunctelor 6) și 7), limitele de 60 % sau de 70 %, după caz, se aplică fiecărui credit individual și determină porțiunea creditului care contribuie la acoperirea datoriilor aferente obligațiunii garantate, și se aplică pe întreaga durată a creditului.</w:t>
            </w:r>
          </w:p>
          <w:p w14:paraId="7A4B4257" w14:textId="619B7A01" w:rsidR="006B3BC1" w:rsidRPr="006F5136" w:rsidRDefault="006B3BC1" w:rsidP="006B3BC1">
            <w:pPr>
              <w:spacing w:after="0" w:line="240" w:lineRule="auto"/>
              <w:rPr>
                <w:rFonts w:ascii="Times New Roman" w:hAnsi="Times New Roman" w:cs="Times New Roman"/>
                <w:sz w:val="18"/>
                <w:szCs w:val="18"/>
                <w:lang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343CEC5B" w14:textId="3030413E"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20443681" w14:textId="4643A2A4"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747D0A6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7771EE0" w14:textId="41F3F8A0"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 Situațiile menționate la alineatul 1 literele (a)-(f) includ, de asemenea, garanții reale care sunt limitate prin lege exclusiv la protejarea deținătorilor de obligațiuni împotriva pierderilor.</w:t>
            </w:r>
          </w:p>
        </w:tc>
        <w:tc>
          <w:tcPr>
            <w:tcW w:w="1661" w:type="pct"/>
            <w:shd w:val="clear" w:color="auto" w:fill="auto"/>
          </w:tcPr>
          <w:p w14:paraId="519F3FF2" w14:textId="77777777" w:rsidR="006B3BC1" w:rsidRPr="006F5136" w:rsidRDefault="006B3BC1" w:rsidP="006B3BC1">
            <w:pPr>
              <w:pStyle w:val="CM4"/>
              <w:tabs>
                <w:tab w:val="left" w:pos="150"/>
              </w:tabs>
              <w:ind w:left="-36"/>
              <w:rPr>
                <w:rFonts w:ascii="Times New Roman" w:hAnsi="Times New Roman"/>
                <w:sz w:val="18"/>
                <w:szCs w:val="18"/>
                <w:lang w:eastAsia="ro-MD"/>
              </w:rPr>
            </w:pPr>
            <w:r w:rsidRPr="006F5136">
              <w:rPr>
                <w:rFonts w:ascii="Times New Roman" w:hAnsi="Times New Roman"/>
                <w:b/>
                <w:bCs/>
                <w:sz w:val="18"/>
                <w:szCs w:val="18"/>
                <w:lang w:val="ro-RO" w:eastAsia="ro-MD"/>
              </w:rPr>
              <w:t>75</w:t>
            </w:r>
            <w:r w:rsidRPr="006F5136">
              <w:rPr>
                <w:rFonts w:ascii="Times New Roman" w:hAnsi="Times New Roman"/>
                <w:b/>
                <w:bCs/>
                <w:sz w:val="18"/>
                <w:szCs w:val="18"/>
                <w:vertAlign w:val="superscript"/>
                <w:lang w:val="ro-RO" w:eastAsia="ro-MD"/>
              </w:rPr>
              <w:t>9</w:t>
            </w:r>
            <w:r w:rsidRPr="006F5136">
              <w:rPr>
                <w:rFonts w:ascii="Times New Roman" w:hAnsi="Times New Roman"/>
                <w:b/>
                <w:bCs/>
                <w:sz w:val="18"/>
                <w:szCs w:val="18"/>
                <w:lang w:val="ro-RO" w:eastAsia="ro-MD"/>
              </w:rPr>
              <w:t>.</w:t>
            </w:r>
            <w:r w:rsidRPr="006F5136">
              <w:rPr>
                <w:rFonts w:ascii="Times New Roman" w:hAnsi="Times New Roman"/>
                <w:sz w:val="18"/>
                <w:szCs w:val="18"/>
                <w:lang w:val="ro-RO" w:eastAsia="ro-MD"/>
              </w:rPr>
              <w:t xml:space="preserve"> </w:t>
            </w:r>
            <w:r w:rsidRPr="006F5136">
              <w:rPr>
                <w:rFonts w:ascii="Times New Roman" w:hAnsi="Times New Roman"/>
                <w:sz w:val="18"/>
                <w:szCs w:val="18"/>
                <w:lang w:eastAsia="ro-MD"/>
              </w:rPr>
              <w:t>Situațiile menționate la punctul 75</w:t>
            </w:r>
            <w:r w:rsidRPr="006F5136">
              <w:rPr>
                <w:rFonts w:ascii="Times New Roman" w:hAnsi="Times New Roman"/>
                <w:sz w:val="18"/>
                <w:szCs w:val="18"/>
                <w:vertAlign w:val="superscript"/>
                <w:lang w:eastAsia="ro-MD"/>
              </w:rPr>
              <w:t>3</w:t>
            </w:r>
            <w:r w:rsidRPr="006F5136">
              <w:rPr>
                <w:rFonts w:ascii="Times New Roman" w:hAnsi="Times New Roman"/>
                <w:sz w:val="18"/>
                <w:szCs w:val="18"/>
                <w:lang w:eastAsia="ro-MD"/>
              </w:rPr>
              <w:t xml:space="preserve"> subpunctele 1) – 6) includ, de asemenea, garanții reale care sunt limitate prin lege exclusiv la protejarea deținătorilor de obligațiuni împotriva pierderilor.</w:t>
            </w:r>
          </w:p>
          <w:p w14:paraId="1FE839D7" w14:textId="6565010D" w:rsidR="006B3BC1" w:rsidRPr="006F5136" w:rsidRDefault="006B3BC1" w:rsidP="006B3BC1">
            <w:pPr>
              <w:spacing w:after="0" w:line="240" w:lineRule="auto"/>
              <w:rPr>
                <w:rFonts w:ascii="Times New Roman" w:hAnsi="Times New Roman" w:cs="Times New Roman"/>
                <w:sz w:val="18"/>
                <w:szCs w:val="18"/>
                <w:lang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2AFFA501" w14:textId="2BC3537B" w:rsidR="006B3BC1" w:rsidRPr="006F5136" w:rsidDel="00B26998"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2C69DE2C" w14:textId="7F6670B8"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5AB40F3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BA946AD" w14:textId="77777777" w:rsidR="006B3BC1" w:rsidRPr="006F5136" w:rsidRDefault="006B3BC1" w:rsidP="006B3BC1">
            <w:pPr>
              <w:shd w:val="clear" w:color="auto" w:fill="FFFFFF"/>
              <w:spacing w:after="0" w:line="240" w:lineRule="auto"/>
              <w:rPr>
                <w:rFonts w:ascii="Times New Roman" w:eastAsia="Times New Roman" w:hAnsi="Times New Roman" w:cs="Times New Roman"/>
                <w:b/>
                <w:bCs/>
                <w:color w:val="000000" w:themeColor="text1"/>
                <w:sz w:val="18"/>
                <w:szCs w:val="18"/>
                <w:lang w:eastAsia="ro-MD"/>
              </w:rPr>
            </w:pPr>
            <w:hyperlink r:id="rId25" w:tooltip="32019R2160: REPLACED" w:history="1">
              <w:r w:rsidRPr="006F5136">
                <w:rPr>
                  <w:rFonts w:ascii="Times New Roman" w:eastAsia="Times New Roman" w:hAnsi="Times New Roman" w:cs="Times New Roman"/>
                  <w:b/>
                  <w:bCs/>
                  <w:color w:val="000000" w:themeColor="text1"/>
                  <w:sz w:val="18"/>
                  <w:szCs w:val="18"/>
                  <w:lang w:eastAsia="ro-MD"/>
                </w:rPr>
                <w:t>▼M10</w:t>
              </w:r>
            </w:hyperlink>
          </w:p>
          <w:p w14:paraId="2B031D31" w14:textId="57EA8A40" w:rsidR="006B3BC1" w:rsidRPr="006F5136" w:rsidRDefault="006B3BC1" w:rsidP="006B3BC1">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(3)  Pentru bunurile imobile și navele care se constituie ca garanții reale pentru obligațiuni garantate conforme cu prezentul regulament, trebuie să fie îndeplinite cerințele prevăzute la articolul 208. Monitorizarea valorilor bunurilor imobile în conformitate cu articolul 208 alineatul (3) litera (a) se efectuează în mod frecvent și cel puțin o dată pe an în cazul tuturor bunurilor imobile și al navelor.</w:t>
            </w:r>
          </w:p>
        </w:tc>
        <w:tc>
          <w:tcPr>
            <w:tcW w:w="1661" w:type="pct"/>
            <w:shd w:val="clear" w:color="auto" w:fill="auto"/>
          </w:tcPr>
          <w:p w14:paraId="5CD5782A" w14:textId="77777777" w:rsidR="006B3BC1" w:rsidRPr="006F5136" w:rsidRDefault="006B3BC1" w:rsidP="006B3BC1">
            <w:pPr>
              <w:pStyle w:val="CM4"/>
              <w:tabs>
                <w:tab w:val="left" w:pos="150"/>
              </w:tabs>
              <w:ind w:left="-36"/>
              <w:rPr>
                <w:rFonts w:ascii="Times New Roman" w:hAnsi="Times New Roman"/>
                <w:sz w:val="18"/>
                <w:szCs w:val="18"/>
                <w:lang w:eastAsia="ro-MD"/>
              </w:rPr>
            </w:pPr>
            <w:r w:rsidRPr="006F5136">
              <w:rPr>
                <w:rFonts w:ascii="Times New Roman" w:hAnsi="Times New Roman"/>
                <w:b/>
                <w:bCs/>
                <w:sz w:val="18"/>
                <w:szCs w:val="18"/>
                <w:lang w:val="ro-RO" w:eastAsia="ro-MD"/>
              </w:rPr>
              <w:t>75</w:t>
            </w:r>
            <w:r w:rsidRPr="006F5136">
              <w:rPr>
                <w:rFonts w:ascii="Times New Roman" w:hAnsi="Times New Roman"/>
                <w:b/>
                <w:bCs/>
                <w:sz w:val="18"/>
                <w:szCs w:val="18"/>
                <w:vertAlign w:val="superscript"/>
                <w:lang w:val="ro-RO" w:eastAsia="ro-MD"/>
              </w:rPr>
              <w:t>10</w:t>
            </w:r>
            <w:r w:rsidRPr="006F5136">
              <w:rPr>
                <w:rFonts w:ascii="Times New Roman" w:hAnsi="Times New Roman"/>
                <w:b/>
                <w:bCs/>
                <w:sz w:val="18"/>
                <w:szCs w:val="18"/>
                <w:lang w:val="ro-RO" w:eastAsia="ro-MD"/>
              </w:rPr>
              <w:t>.</w:t>
            </w:r>
            <w:r w:rsidRPr="006F5136">
              <w:rPr>
                <w:rFonts w:ascii="Times New Roman" w:hAnsi="Times New Roman"/>
                <w:sz w:val="18"/>
                <w:szCs w:val="18"/>
                <w:lang w:val="ro-RO" w:eastAsia="ro-MD"/>
              </w:rPr>
              <w:t xml:space="preserve"> </w:t>
            </w:r>
            <w:r w:rsidRPr="006F5136">
              <w:rPr>
                <w:rFonts w:ascii="Times New Roman" w:hAnsi="Times New Roman"/>
                <w:sz w:val="18"/>
                <w:szCs w:val="18"/>
                <w:lang w:eastAsia="ro-MD"/>
              </w:rPr>
              <w:t>Pentru bunurile imobile și navele care se constituie ca garanții reale pentru obligațiuni garantate conforme cu prezentul regulament, trebuie să fie îndeplinite cerințele prevăzute în anexa nr.2. Monitorizarea valorilor bunurilor imobile în conformitate cu anexa nr.2 punctul 3 litera a) se efectuează în mod frecvent și cel puțin o dată pe an în cazul tuturor bunurilor imobile și al navelor.</w:t>
            </w:r>
          </w:p>
          <w:p w14:paraId="3183B4CC" w14:textId="17448E31" w:rsidR="006B3BC1" w:rsidRPr="006F5136" w:rsidRDefault="006B3BC1" w:rsidP="006B3BC1">
            <w:pPr>
              <w:spacing w:after="0" w:line="240" w:lineRule="auto"/>
              <w:rPr>
                <w:rFonts w:ascii="Times New Roman" w:hAnsi="Times New Roman" w:cs="Times New Roman"/>
                <w:sz w:val="18"/>
                <w:szCs w:val="18"/>
                <w:lang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24BBCCD7" w14:textId="17FF3749" w:rsidR="006B3BC1" w:rsidRPr="006F5136" w:rsidDel="00B26998"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53AE2451" w14:textId="34F8A97C"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6C40FF9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6BCB25A" w14:textId="6E307211"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(3</w:t>
            </w:r>
            <w:proofErr w:type="gramStart"/>
            <w:r w:rsidRPr="006F5136">
              <w:rPr>
                <w:rFonts w:ascii="Times New Roman" w:eastAsia="Times New Roman" w:hAnsi="Times New Roman" w:cs="Times New Roman"/>
                <w:color w:val="000000" w:themeColor="text1"/>
                <w:sz w:val="18"/>
                <w:szCs w:val="18"/>
                <w:lang w:eastAsia="ro-MD"/>
              </w:rPr>
              <w:t>a)   </w:t>
            </w:r>
            <w:proofErr w:type="gramEnd"/>
            <w:r w:rsidRPr="006F5136">
              <w:rPr>
                <w:rFonts w:ascii="Times New Roman" w:eastAsia="Times New Roman" w:hAnsi="Times New Roman" w:cs="Times New Roman"/>
                <w:color w:val="000000" w:themeColor="text1"/>
                <w:sz w:val="18"/>
                <w:szCs w:val="18"/>
                <w:lang w:eastAsia="ro-MD"/>
              </w:rPr>
              <w:t>Pe lângă faptul că sunt garantate prin activele eligibile indicate la alineatul (1) din prezentul articol, obligațiunile garantate fac obiectul unui nivel minim de supragarantare de 5 %, în sensul definiției de la articolul 3 punctul 14 din Directiva (UE) 2019/2162.</w:t>
            </w:r>
          </w:p>
          <w:p w14:paraId="501306C1"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În sensul primului paragraf din prezentul alineat, cuantumul nominal al tuturor activelor de acoperire în sensul definiției de la articolul 3 punctul 4 din respectiva directivă este cel puțin egal cu cuantumul nominal total al obligațiunilor garantate rămase de rambursat (denumit în continuare „principiul nominal”) și consistă din active eligibile, astfel cum sunt indicate la alineatul (1) din prezentul articol.</w:t>
            </w:r>
          </w:p>
          <w:p w14:paraId="04F6EEB6"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Statele membre pot să stabilească un nivel minim mai scăzut de supragarantare pentru obligațiunile garantate sau pot abilita autoritățile competente să stabilească un astfel de nivel, în următoarele condiții:</w:t>
            </w:r>
          </w:p>
          <w:p w14:paraId="1030725E"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(a) fie calculul nivelului de supragarantare se bazează pe o abordare formală în care se ține cont de riscurile atașate activelor, fie evaluarea activelor se realizează la valoarea ipotecară; și</w:t>
            </w:r>
          </w:p>
          <w:p w14:paraId="2DA0471B"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(b) nivelul minim de supragarantare calculat pe baza principiului nominal menționat la articolul 15 alineatele (6) și (7) din Directiva (UE) 2019/2162 nu este mai mic de 2 %.</w:t>
            </w:r>
          </w:p>
          <w:p w14:paraId="55BE2C04" w14:textId="28131707"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Activele care contribuie la un nivel minim de supragarantare nu fac obiectul limitelor în materie de volum al expunerii prevăzute la alineatul (1a) și nu sunt luate în considerare pentru calcularea acestor limite.</w:t>
            </w:r>
          </w:p>
        </w:tc>
        <w:tc>
          <w:tcPr>
            <w:tcW w:w="1661" w:type="pct"/>
            <w:shd w:val="clear" w:color="auto" w:fill="auto"/>
          </w:tcPr>
          <w:p w14:paraId="1EBC4B77" w14:textId="11042368"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b/>
                <w:bCs/>
                <w:sz w:val="18"/>
                <w:szCs w:val="18"/>
                <w:lang w:val="ro-RO" w:eastAsia="ro-MD"/>
              </w:rPr>
              <w:t>75</w:t>
            </w:r>
            <w:r w:rsidRPr="006F5136">
              <w:rPr>
                <w:rFonts w:ascii="Times New Roman" w:eastAsia="Times New Roman" w:hAnsi="Times New Roman" w:cs="Times New Roman"/>
                <w:b/>
                <w:bCs/>
                <w:sz w:val="18"/>
                <w:szCs w:val="18"/>
                <w:vertAlign w:val="superscript"/>
                <w:lang w:val="ro-RO" w:eastAsia="ro-MD"/>
              </w:rPr>
              <w:t>11</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w:t>
            </w:r>
            <w:r w:rsidRPr="006F5136">
              <w:rPr>
                <w:rFonts w:ascii="Times New Roman" w:eastAsia="Times New Roman" w:hAnsi="Times New Roman" w:cs="Times New Roman"/>
                <w:sz w:val="18"/>
                <w:szCs w:val="18"/>
                <w:lang w:eastAsia="ro-MD"/>
              </w:rPr>
              <w:t>Pe lângă faptul că sunt garantate prin activele eligibile indicate la punctul 75</w:t>
            </w:r>
            <w:r w:rsidRPr="006F5136">
              <w:rPr>
                <w:rFonts w:ascii="Times New Roman" w:eastAsia="Times New Roman" w:hAnsi="Times New Roman" w:cs="Times New Roman"/>
                <w:sz w:val="18"/>
                <w:szCs w:val="18"/>
                <w:vertAlign w:val="superscript"/>
                <w:lang w:eastAsia="ro-MD"/>
              </w:rPr>
              <w:t>3</w:t>
            </w:r>
            <w:r w:rsidRPr="006F5136">
              <w:rPr>
                <w:rFonts w:ascii="Times New Roman" w:eastAsia="Times New Roman" w:hAnsi="Times New Roman" w:cs="Times New Roman"/>
                <w:sz w:val="18"/>
                <w:szCs w:val="18"/>
                <w:lang w:eastAsia="ro-MD"/>
              </w:rPr>
              <w:t>, obligațiunile garantate fac obiectul unui nivel minim de supragarantare de 5 %, în sensul cadrului legislativ aferent obligațiunilor garantate.</w:t>
            </w:r>
          </w:p>
          <w:p w14:paraId="2DCE1918" w14:textId="77777777" w:rsidR="006B3BC1" w:rsidRPr="006F5136" w:rsidRDefault="006B3BC1" w:rsidP="006B3BC1">
            <w:pPr>
              <w:pStyle w:val="CM4"/>
              <w:tabs>
                <w:tab w:val="left" w:pos="150"/>
              </w:tabs>
              <w:ind w:left="-36"/>
              <w:rPr>
                <w:rFonts w:ascii="Times New Roman" w:hAnsi="Times New Roman"/>
                <w:sz w:val="18"/>
                <w:szCs w:val="18"/>
                <w:lang w:eastAsia="ro-MD"/>
              </w:rPr>
            </w:pPr>
            <w:r w:rsidRPr="006F5136">
              <w:rPr>
                <w:rFonts w:ascii="Times New Roman" w:hAnsi="Times New Roman"/>
                <w:b/>
                <w:bCs/>
                <w:sz w:val="18"/>
                <w:szCs w:val="18"/>
                <w:lang w:val="ro-RO" w:eastAsia="ro-MD"/>
              </w:rPr>
              <w:t>75</w:t>
            </w:r>
            <w:r w:rsidRPr="006F5136">
              <w:rPr>
                <w:rFonts w:ascii="Times New Roman" w:hAnsi="Times New Roman"/>
                <w:b/>
                <w:bCs/>
                <w:sz w:val="18"/>
                <w:szCs w:val="18"/>
                <w:vertAlign w:val="superscript"/>
                <w:lang w:val="ro-RO" w:eastAsia="ro-MD"/>
              </w:rPr>
              <w:t>12</w:t>
            </w:r>
            <w:r w:rsidRPr="006F5136">
              <w:rPr>
                <w:rFonts w:ascii="Times New Roman" w:hAnsi="Times New Roman"/>
                <w:b/>
                <w:bCs/>
                <w:sz w:val="18"/>
                <w:szCs w:val="18"/>
                <w:lang w:val="ro-RO" w:eastAsia="ro-MD"/>
              </w:rPr>
              <w:t xml:space="preserve">. </w:t>
            </w:r>
            <w:r w:rsidRPr="006F5136">
              <w:rPr>
                <w:rFonts w:ascii="Times New Roman" w:hAnsi="Times New Roman"/>
                <w:sz w:val="18"/>
                <w:szCs w:val="18"/>
                <w:lang w:eastAsia="ro-MD"/>
              </w:rPr>
              <w:t>În sensul punctului 75</w:t>
            </w:r>
            <w:r w:rsidRPr="006F5136">
              <w:rPr>
                <w:rFonts w:ascii="Times New Roman" w:hAnsi="Times New Roman"/>
                <w:sz w:val="18"/>
                <w:szCs w:val="18"/>
                <w:vertAlign w:val="superscript"/>
                <w:lang w:eastAsia="ro-MD"/>
              </w:rPr>
              <w:t>11</w:t>
            </w:r>
            <w:r w:rsidRPr="006F5136">
              <w:rPr>
                <w:rFonts w:ascii="Times New Roman" w:hAnsi="Times New Roman"/>
                <w:sz w:val="18"/>
                <w:szCs w:val="18"/>
                <w:lang w:eastAsia="ro-MD"/>
              </w:rPr>
              <w:t>, cuantumul nominal al tuturor activelor de acoperire este cel puțin egal cu cuantumul nominal total al obligațiunilor garantate rămase de rambursat (denumit în continuare „principiul nominal”) și consistă din active eligibile, astfel cum sunt indicate la punctul 75</w:t>
            </w:r>
            <w:r w:rsidRPr="006F5136">
              <w:rPr>
                <w:rFonts w:ascii="Times New Roman" w:hAnsi="Times New Roman"/>
                <w:sz w:val="18"/>
                <w:szCs w:val="18"/>
                <w:vertAlign w:val="superscript"/>
                <w:lang w:eastAsia="ro-MD"/>
              </w:rPr>
              <w:t>3</w:t>
            </w:r>
            <w:r w:rsidRPr="006F5136">
              <w:rPr>
                <w:rFonts w:ascii="Times New Roman" w:hAnsi="Times New Roman"/>
                <w:sz w:val="18"/>
                <w:szCs w:val="18"/>
                <w:lang w:eastAsia="ro-MD"/>
              </w:rPr>
              <w:t>.</w:t>
            </w:r>
          </w:p>
          <w:p w14:paraId="7BAB750F" w14:textId="56A57905" w:rsidR="006B3BC1" w:rsidRPr="006F5136" w:rsidRDefault="006B3BC1" w:rsidP="006B3BC1">
            <w:pPr>
              <w:spacing w:after="0" w:line="240" w:lineRule="auto"/>
              <w:rPr>
                <w:rFonts w:ascii="Times New Roman" w:hAnsi="Times New Roman" w:cs="Times New Roman"/>
                <w:sz w:val="18"/>
                <w:szCs w:val="18"/>
                <w:lang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7BB6B7F5" w14:textId="01C6035F" w:rsidR="006B3BC1" w:rsidRPr="006F5136" w:rsidDel="00B26998"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2BBC276B" w14:textId="247BF229"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7F0EFF1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8E08449" w14:textId="78C13B76" w:rsidR="006B3BC1" w:rsidRPr="006F5136" w:rsidRDefault="006B3BC1" w:rsidP="006B3BC1">
            <w:pPr>
              <w:shd w:val="clear" w:color="auto" w:fill="FFFFFF"/>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(3</w:t>
            </w:r>
            <w:proofErr w:type="gramStart"/>
            <w:r w:rsidRPr="006F5136">
              <w:rPr>
                <w:rFonts w:ascii="Times New Roman" w:eastAsia="Times New Roman" w:hAnsi="Times New Roman" w:cs="Times New Roman"/>
                <w:color w:val="000000" w:themeColor="text1"/>
                <w:sz w:val="18"/>
                <w:szCs w:val="18"/>
                <w:lang w:eastAsia="ro-MD"/>
              </w:rPr>
              <w:t>b)   </w:t>
            </w:r>
            <w:proofErr w:type="gramEnd"/>
            <w:r w:rsidRPr="006F5136">
              <w:rPr>
                <w:rFonts w:ascii="Times New Roman" w:eastAsia="Times New Roman" w:hAnsi="Times New Roman" w:cs="Times New Roman"/>
                <w:color w:val="000000" w:themeColor="text1"/>
                <w:sz w:val="18"/>
                <w:szCs w:val="18"/>
                <w:lang w:eastAsia="ro-MD"/>
              </w:rPr>
              <w:t>Activele eligibile enumerate la alineatul (1) din prezentul articol pot fi incluse în portofoliul de acoperire drept active de înlocuire, în sensul definiției de la articolul 3 punctul 13 din Directiva (UE) 2019/2162, sub rezerva respectării limitelor în materie de calitate a creditului și volum al expunerii prevăzute la alineatele (1) și (1a) din prezentul articol.</w:t>
            </w:r>
          </w:p>
        </w:tc>
        <w:tc>
          <w:tcPr>
            <w:tcW w:w="1661" w:type="pct"/>
            <w:shd w:val="clear" w:color="auto" w:fill="auto"/>
          </w:tcPr>
          <w:p w14:paraId="23AC3834"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b/>
                <w:bCs/>
                <w:sz w:val="18"/>
                <w:szCs w:val="18"/>
                <w:lang w:val="ro-RO" w:eastAsia="ro-MD"/>
              </w:rPr>
              <w:t>75</w:t>
            </w:r>
            <w:r w:rsidRPr="006F5136">
              <w:rPr>
                <w:rFonts w:ascii="Times New Roman" w:eastAsia="Times New Roman" w:hAnsi="Times New Roman" w:cs="Times New Roman"/>
                <w:b/>
                <w:bCs/>
                <w:sz w:val="18"/>
                <w:szCs w:val="18"/>
                <w:vertAlign w:val="superscript"/>
                <w:lang w:val="ro-RO" w:eastAsia="ro-MD"/>
              </w:rPr>
              <w:t>13</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w:t>
            </w:r>
            <w:r w:rsidRPr="006F5136">
              <w:rPr>
                <w:rFonts w:ascii="Times New Roman" w:eastAsia="Times New Roman" w:hAnsi="Times New Roman" w:cs="Times New Roman"/>
                <w:sz w:val="18"/>
                <w:szCs w:val="18"/>
                <w:lang w:eastAsia="ro-MD"/>
              </w:rPr>
              <w:t>Activele eligibile enumerate la punctul 75</w:t>
            </w:r>
            <w:r w:rsidRPr="006F5136">
              <w:rPr>
                <w:rFonts w:ascii="Times New Roman" w:eastAsia="Times New Roman" w:hAnsi="Times New Roman" w:cs="Times New Roman"/>
                <w:sz w:val="18"/>
                <w:szCs w:val="18"/>
                <w:vertAlign w:val="superscript"/>
                <w:lang w:eastAsia="ro-MD"/>
              </w:rPr>
              <w:t>3</w:t>
            </w:r>
            <w:r w:rsidRPr="006F5136">
              <w:rPr>
                <w:rFonts w:ascii="Times New Roman" w:eastAsia="Times New Roman" w:hAnsi="Times New Roman" w:cs="Times New Roman"/>
                <w:sz w:val="18"/>
                <w:szCs w:val="18"/>
                <w:lang w:eastAsia="ro-MD"/>
              </w:rPr>
              <w:t xml:space="preserve"> pot fi incluse în portofoliul de acoperire drept active de înlocuire, în sensul cadrului legislativ aferent obligațiunilor garantate, sub rezerva respectării limitelor în materie de calitate a creditului și volum al expunerii prevăzute la punctele 75</w:t>
            </w:r>
            <w:r w:rsidRPr="006F5136">
              <w:rPr>
                <w:rFonts w:ascii="Times New Roman" w:eastAsia="Times New Roman" w:hAnsi="Times New Roman" w:cs="Times New Roman"/>
                <w:sz w:val="18"/>
                <w:szCs w:val="18"/>
                <w:vertAlign w:val="superscript"/>
                <w:lang w:eastAsia="ro-MD"/>
              </w:rPr>
              <w:t>3</w:t>
            </w:r>
            <w:r w:rsidRPr="006F5136">
              <w:rPr>
                <w:rFonts w:ascii="Times New Roman" w:eastAsia="Times New Roman" w:hAnsi="Times New Roman" w:cs="Times New Roman"/>
                <w:sz w:val="18"/>
                <w:szCs w:val="18"/>
                <w:lang w:eastAsia="ro-MD"/>
              </w:rPr>
              <w:t>-75</w:t>
            </w:r>
            <w:r w:rsidRPr="006F5136">
              <w:rPr>
                <w:rFonts w:ascii="Times New Roman" w:eastAsia="Times New Roman" w:hAnsi="Times New Roman" w:cs="Times New Roman"/>
                <w:sz w:val="18"/>
                <w:szCs w:val="18"/>
                <w:vertAlign w:val="superscript"/>
                <w:lang w:eastAsia="ro-MD"/>
              </w:rPr>
              <w:t>5</w:t>
            </w:r>
            <w:r w:rsidRPr="006F5136">
              <w:rPr>
                <w:rFonts w:ascii="Times New Roman" w:eastAsia="Times New Roman" w:hAnsi="Times New Roman" w:cs="Times New Roman"/>
                <w:sz w:val="18"/>
                <w:szCs w:val="18"/>
                <w:lang w:eastAsia="ro-MD"/>
              </w:rPr>
              <w:t>.</w:t>
            </w:r>
          </w:p>
          <w:p w14:paraId="183FAB08" w14:textId="22414F66" w:rsidR="006B3BC1" w:rsidRPr="006F5136" w:rsidRDefault="006B3BC1" w:rsidP="006B3BC1">
            <w:pPr>
              <w:spacing w:after="0" w:line="240" w:lineRule="auto"/>
              <w:jc w:val="both"/>
              <w:rPr>
                <w:rFonts w:ascii="Times New Roman" w:eastAsia="Times New Roman" w:hAnsi="Times New Roman" w:cs="Times New Roman"/>
                <w:b/>
                <w:bCs/>
                <w:sz w:val="18"/>
                <w:szCs w:val="18"/>
                <w:lang w:val="ro-RO"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5D910275" w14:textId="648901FB" w:rsidR="006B3BC1" w:rsidRPr="006F5136" w:rsidDel="00B26998"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F183752" w14:textId="771DD4C5"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5B19298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2DBFD4D" w14:textId="38A7950E"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M17</w:t>
            </w:r>
          </w:p>
          <w:p w14:paraId="530E5C2A" w14:textId="61B42626"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 Obligațiunile garantate pentru care este disponibilă o evaluare de credit direct aplicabilă efectuată de o ECAI desemnată primesc o pondere de risc în conformitate cu tabelul 1, care corespunde evaluării de credit emise de ECAI în conformitate cu articolul 136.</w:t>
            </w:r>
          </w:p>
          <w:p w14:paraId="68F288DA" w14:textId="618F18AE"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Tabelul 1</w:t>
            </w:r>
          </w:p>
          <w:tbl>
            <w:tblPr>
              <w:tblStyle w:val="TableGrid"/>
              <w:tblpPr w:leftFromText="180" w:rightFromText="180" w:vertAnchor="text" w:horzAnchor="margin" w:tblpY="-13"/>
              <w:tblOverlap w:val="never"/>
              <w:tblW w:w="3856" w:type="dxa"/>
              <w:tblLayout w:type="fixed"/>
              <w:tblLook w:val="04A0" w:firstRow="1" w:lastRow="0" w:firstColumn="1" w:lastColumn="0" w:noHBand="0" w:noVBand="1"/>
            </w:tblPr>
            <w:tblGrid>
              <w:gridCol w:w="974"/>
              <w:gridCol w:w="452"/>
              <w:gridCol w:w="450"/>
              <w:gridCol w:w="450"/>
              <w:gridCol w:w="450"/>
              <w:gridCol w:w="450"/>
              <w:gridCol w:w="630"/>
            </w:tblGrid>
            <w:tr w:rsidR="006B3BC1" w:rsidRPr="006F5136" w14:paraId="19CB5F8A" w14:textId="77777777" w:rsidTr="00771776">
              <w:tc>
                <w:tcPr>
                  <w:tcW w:w="974" w:type="dxa"/>
                </w:tcPr>
                <w:p w14:paraId="3B790BFB" w14:textId="77777777" w:rsidR="006B3BC1" w:rsidRPr="006F5136" w:rsidRDefault="006B3BC1" w:rsidP="006B3BC1">
                  <w:pPr>
                    <w:autoSpaceDE w:val="0"/>
                    <w:autoSpaceDN w:val="0"/>
                    <w:adjustRightInd w:val="0"/>
                    <w:jc w:val="center"/>
                    <w:rPr>
                      <w:rFonts w:eastAsiaTheme="minorHAnsi"/>
                      <w:b/>
                      <w:sz w:val="18"/>
                      <w:szCs w:val="18"/>
                      <w:lang w:eastAsia="en-US"/>
                    </w:rPr>
                  </w:pPr>
                  <w:r w:rsidRPr="006F5136">
                    <w:rPr>
                      <w:b/>
                      <w:iCs/>
                      <w:sz w:val="18"/>
                      <w:szCs w:val="18"/>
                    </w:rPr>
                    <w:t>Nivelul de calitate a creditului</w:t>
                  </w:r>
                </w:p>
              </w:tc>
              <w:tc>
                <w:tcPr>
                  <w:tcW w:w="452" w:type="dxa"/>
                </w:tcPr>
                <w:p w14:paraId="2DCD6E88" w14:textId="77777777" w:rsidR="006B3BC1" w:rsidRPr="006F5136" w:rsidRDefault="006B3BC1" w:rsidP="006B3BC1">
                  <w:pPr>
                    <w:autoSpaceDE w:val="0"/>
                    <w:autoSpaceDN w:val="0"/>
                    <w:adjustRightInd w:val="0"/>
                    <w:jc w:val="center"/>
                    <w:rPr>
                      <w:rFonts w:eastAsiaTheme="minorHAnsi"/>
                      <w:sz w:val="18"/>
                      <w:szCs w:val="18"/>
                      <w:lang w:eastAsia="en-US"/>
                    </w:rPr>
                  </w:pPr>
                  <w:r w:rsidRPr="006F5136">
                    <w:rPr>
                      <w:rFonts w:eastAsiaTheme="minorHAnsi"/>
                      <w:sz w:val="18"/>
                      <w:szCs w:val="18"/>
                      <w:lang w:eastAsia="en-US"/>
                    </w:rPr>
                    <w:t>1</w:t>
                  </w:r>
                </w:p>
              </w:tc>
              <w:tc>
                <w:tcPr>
                  <w:tcW w:w="450" w:type="dxa"/>
                </w:tcPr>
                <w:p w14:paraId="3D1622C9" w14:textId="77777777" w:rsidR="006B3BC1" w:rsidRPr="006F5136" w:rsidRDefault="006B3BC1" w:rsidP="006B3BC1">
                  <w:pPr>
                    <w:autoSpaceDE w:val="0"/>
                    <w:autoSpaceDN w:val="0"/>
                    <w:adjustRightInd w:val="0"/>
                    <w:jc w:val="center"/>
                    <w:rPr>
                      <w:rFonts w:eastAsiaTheme="minorHAnsi"/>
                      <w:sz w:val="18"/>
                      <w:szCs w:val="18"/>
                      <w:lang w:eastAsia="en-US"/>
                    </w:rPr>
                  </w:pPr>
                  <w:r w:rsidRPr="006F5136">
                    <w:rPr>
                      <w:rFonts w:eastAsiaTheme="minorHAnsi"/>
                      <w:sz w:val="18"/>
                      <w:szCs w:val="18"/>
                      <w:lang w:eastAsia="en-US"/>
                    </w:rPr>
                    <w:t>2</w:t>
                  </w:r>
                </w:p>
              </w:tc>
              <w:tc>
                <w:tcPr>
                  <w:tcW w:w="450" w:type="dxa"/>
                </w:tcPr>
                <w:p w14:paraId="15414885" w14:textId="77777777" w:rsidR="006B3BC1" w:rsidRPr="006F5136" w:rsidRDefault="006B3BC1" w:rsidP="006B3BC1">
                  <w:pPr>
                    <w:autoSpaceDE w:val="0"/>
                    <w:autoSpaceDN w:val="0"/>
                    <w:adjustRightInd w:val="0"/>
                    <w:jc w:val="center"/>
                    <w:rPr>
                      <w:rFonts w:eastAsiaTheme="minorHAnsi"/>
                      <w:sz w:val="18"/>
                      <w:szCs w:val="18"/>
                      <w:lang w:eastAsia="en-US"/>
                    </w:rPr>
                  </w:pPr>
                  <w:r w:rsidRPr="006F5136">
                    <w:rPr>
                      <w:rFonts w:eastAsiaTheme="minorHAnsi"/>
                      <w:sz w:val="18"/>
                      <w:szCs w:val="18"/>
                      <w:lang w:eastAsia="en-US"/>
                    </w:rPr>
                    <w:t>3</w:t>
                  </w:r>
                </w:p>
              </w:tc>
              <w:tc>
                <w:tcPr>
                  <w:tcW w:w="450" w:type="dxa"/>
                </w:tcPr>
                <w:p w14:paraId="0487E572" w14:textId="77777777" w:rsidR="006B3BC1" w:rsidRPr="006F5136" w:rsidRDefault="006B3BC1" w:rsidP="006B3BC1">
                  <w:pPr>
                    <w:autoSpaceDE w:val="0"/>
                    <w:autoSpaceDN w:val="0"/>
                    <w:adjustRightInd w:val="0"/>
                    <w:jc w:val="center"/>
                    <w:rPr>
                      <w:rFonts w:eastAsiaTheme="minorHAnsi"/>
                      <w:sz w:val="18"/>
                      <w:szCs w:val="18"/>
                      <w:lang w:eastAsia="en-US"/>
                    </w:rPr>
                  </w:pPr>
                  <w:r w:rsidRPr="006F5136">
                    <w:rPr>
                      <w:rFonts w:eastAsiaTheme="minorHAnsi"/>
                      <w:sz w:val="18"/>
                      <w:szCs w:val="18"/>
                      <w:lang w:eastAsia="en-US"/>
                    </w:rPr>
                    <w:t>4</w:t>
                  </w:r>
                </w:p>
              </w:tc>
              <w:tc>
                <w:tcPr>
                  <w:tcW w:w="450" w:type="dxa"/>
                </w:tcPr>
                <w:p w14:paraId="6C79F2B2" w14:textId="77777777" w:rsidR="006B3BC1" w:rsidRPr="006F5136" w:rsidRDefault="006B3BC1" w:rsidP="006B3BC1">
                  <w:pPr>
                    <w:autoSpaceDE w:val="0"/>
                    <w:autoSpaceDN w:val="0"/>
                    <w:adjustRightInd w:val="0"/>
                    <w:jc w:val="center"/>
                    <w:rPr>
                      <w:rFonts w:eastAsiaTheme="minorHAnsi"/>
                      <w:sz w:val="18"/>
                      <w:szCs w:val="18"/>
                      <w:lang w:eastAsia="en-US"/>
                    </w:rPr>
                  </w:pPr>
                  <w:r w:rsidRPr="006F5136">
                    <w:rPr>
                      <w:rFonts w:eastAsiaTheme="minorHAnsi"/>
                      <w:sz w:val="18"/>
                      <w:szCs w:val="18"/>
                      <w:lang w:eastAsia="en-US"/>
                    </w:rPr>
                    <w:t>5</w:t>
                  </w:r>
                </w:p>
              </w:tc>
              <w:tc>
                <w:tcPr>
                  <w:tcW w:w="630" w:type="dxa"/>
                </w:tcPr>
                <w:p w14:paraId="1D607DEB" w14:textId="77777777" w:rsidR="006B3BC1" w:rsidRPr="006F5136" w:rsidRDefault="006B3BC1" w:rsidP="006B3BC1">
                  <w:pPr>
                    <w:autoSpaceDE w:val="0"/>
                    <w:autoSpaceDN w:val="0"/>
                    <w:adjustRightInd w:val="0"/>
                    <w:jc w:val="center"/>
                    <w:rPr>
                      <w:rFonts w:eastAsiaTheme="minorHAnsi"/>
                      <w:sz w:val="18"/>
                      <w:szCs w:val="18"/>
                      <w:lang w:eastAsia="en-US"/>
                    </w:rPr>
                  </w:pPr>
                  <w:r w:rsidRPr="006F5136">
                    <w:rPr>
                      <w:rFonts w:eastAsiaTheme="minorHAnsi"/>
                      <w:sz w:val="18"/>
                      <w:szCs w:val="18"/>
                      <w:lang w:eastAsia="en-US"/>
                    </w:rPr>
                    <w:t>6</w:t>
                  </w:r>
                </w:p>
              </w:tc>
            </w:tr>
            <w:tr w:rsidR="006B3BC1" w:rsidRPr="006F5136" w14:paraId="7F02F08F" w14:textId="77777777" w:rsidTr="00771776">
              <w:tc>
                <w:tcPr>
                  <w:tcW w:w="974" w:type="dxa"/>
                </w:tcPr>
                <w:p w14:paraId="2A1CE955" w14:textId="77777777" w:rsidR="006B3BC1" w:rsidRPr="006F5136" w:rsidRDefault="006B3BC1" w:rsidP="006B3BC1">
                  <w:pPr>
                    <w:autoSpaceDE w:val="0"/>
                    <w:autoSpaceDN w:val="0"/>
                    <w:adjustRightInd w:val="0"/>
                    <w:jc w:val="center"/>
                    <w:rPr>
                      <w:rFonts w:eastAsiaTheme="minorHAnsi"/>
                      <w:b/>
                      <w:sz w:val="18"/>
                      <w:szCs w:val="18"/>
                      <w:lang w:eastAsia="en-US"/>
                    </w:rPr>
                  </w:pPr>
                  <w:r w:rsidRPr="006F5136">
                    <w:rPr>
                      <w:b/>
                      <w:iCs/>
                      <w:sz w:val="18"/>
                      <w:szCs w:val="18"/>
                    </w:rPr>
                    <w:t>Pondere de risc</w:t>
                  </w:r>
                </w:p>
              </w:tc>
              <w:tc>
                <w:tcPr>
                  <w:tcW w:w="452" w:type="dxa"/>
                </w:tcPr>
                <w:p w14:paraId="32301E33" w14:textId="77777777" w:rsidR="006B3BC1" w:rsidRPr="006F5136" w:rsidRDefault="006B3BC1" w:rsidP="006B3BC1">
                  <w:pPr>
                    <w:autoSpaceDE w:val="0"/>
                    <w:autoSpaceDN w:val="0"/>
                    <w:adjustRightInd w:val="0"/>
                    <w:jc w:val="center"/>
                    <w:rPr>
                      <w:rFonts w:eastAsiaTheme="minorHAnsi"/>
                      <w:sz w:val="18"/>
                      <w:szCs w:val="18"/>
                      <w:lang w:eastAsia="en-US"/>
                    </w:rPr>
                  </w:pPr>
                  <w:r w:rsidRPr="006F5136">
                    <w:rPr>
                      <w:rFonts w:eastAsiaTheme="minorHAnsi"/>
                      <w:sz w:val="18"/>
                      <w:szCs w:val="18"/>
                      <w:lang w:eastAsia="en-US"/>
                    </w:rPr>
                    <w:t>10%</w:t>
                  </w:r>
                </w:p>
              </w:tc>
              <w:tc>
                <w:tcPr>
                  <w:tcW w:w="450" w:type="dxa"/>
                </w:tcPr>
                <w:p w14:paraId="7B034677" w14:textId="77777777" w:rsidR="006B3BC1" w:rsidRPr="006F5136" w:rsidRDefault="006B3BC1" w:rsidP="006B3BC1">
                  <w:pPr>
                    <w:autoSpaceDE w:val="0"/>
                    <w:autoSpaceDN w:val="0"/>
                    <w:adjustRightInd w:val="0"/>
                    <w:jc w:val="center"/>
                    <w:rPr>
                      <w:rFonts w:eastAsiaTheme="minorHAnsi"/>
                      <w:sz w:val="18"/>
                      <w:szCs w:val="18"/>
                      <w:lang w:eastAsia="en-US"/>
                    </w:rPr>
                  </w:pPr>
                  <w:r w:rsidRPr="006F5136">
                    <w:rPr>
                      <w:rFonts w:eastAsiaTheme="minorHAnsi"/>
                      <w:sz w:val="18"/>
                      <w:szCs w:val="18"/>
                      <w:lang w:eastAsia="en-US"/>
                    </w:rPr>
                    <w:t>20%</w:t>
                  </w:r>
                </w:p>
              </w:tc>
              <w:tc>
                <w:tcPr>
                  <w:tcW w:w="450" w:type="dxa"/>
                </w:tcPr>
                <w:p w14:paraId="47B34F6C" w14:textId="77777777" w:rsidR="006B3BC1" w:rsidRPr="006F5136" w:rsidRDefault="006B3BC1" w:rsidP="006B3BC1">
                  <w:pPr>
                    <w:autoSpaceDE w:val="0"/>
                    <w:autoSpaceDN w:val="0"/>
                    <w:adjustRightInd w:val="0"/>
                    <w:jc w:val="center"/>
                    <w:rPr>
                      <w:rFonts w:eastAsiaTheme="minorHAnsi"/>
                      <w:sz w:val="18"/>
                      <w:szCs w:val="18"/>
                      <w:lang w:eastAsia="en-US"/>
                    </w:rPr>
                  </w:pPr>
                  <w:r w:rsidRPr="006F5136">
                    <w:rPr>
                      <w:rFonts w:eastAsiaTheme="minorHAnsi"/>
                      <w:sz w:val="18"/>
                      <w:szCs w:val="18"/>
                      <w:lang w:eastAsia="en-US"/>
                    </w:rPr>
                    <w:t>20%</w:t>
                  </w:r>
                </w:p>
              </w:tc>
              <w:tc>
                <w:tcPr>
                  <w:tcW w:w="450" w:type="dxa"/>
                </w:tcPr>
                <w:p w14:paraId="44FAB661" w14:textId="77777777" w:rsidR="006B3BC1" w:rsidRPr="006F5136" w:rsidRDefault="006B3BC1" w:rsidP="006B3BC1">
                  <w:pPr>
                    <w:autoSpaceDE w:val="0"/>
                    <w:autoSpaceDN w:val="0"/>
                    <w:adjustRightInd w:val="0"/>
                    <w:jc w:val="center"/>
                    <w:rPr>
                      <w:rFonts w:eastAsiaTheme="minorHAnsi"/>
                      <w:sz w:val="18"/>
                      <w:szCs w:val="18"/>
                      <w:lang w:eastAsia="en-US"/>
                    </w:rPr>
                  </w:pPr>
                  <w:r w:rsidRPr="006F5136">
                    <w:rPr>
                      <w:rFonts w:eastAsiaTheme="minorHAnsi"/>
                      <w:sz w:val="18"/>
                      <w:szCs w:val="18"/>
                      <w:lang w:eastAsia="en-US"/>
                    </w:rPr>
                    <w:t>50%</w:t>
                  </w:r>
                </w:p>
              </w:tc>
              <w:tc>
                <w:tcPr>
                  <w:tcW w:w="450" w:type="dxa"/>
                </w:tcPr>
                <w:p w14:paraId="61338067" w14:textId="77777777" w:rsidR="006B3BC1" w:rsidRPr="006F5136" w:rsidRDefault="006B3BC1" w:rsidP="006B3BC1">
                  <w:pPr>
                    <w:autoSpaceDE w:val="0"/>
                    <w:autoSpaceDN w:val="0"/>
                    <w:adjustRightInd w:val="0"/>
                    <w:jc w:val="center"/>
                    <w:rPr>
                      <w:rFonts w:eastAsiaTheme="minorHAnsi"/>
                      <w:sz w:val="18"/>
                      <w:szCs w:val="18"/>
                      <w:lang w:eastAsia="en-US"/>
                    </w:rPr>
                  </w:pPr>
                  <w:r w:rsidRPr="006F5136">
                    <w:rPr>
                      <w:rFonts w:eastAsiaTheme="minorHAnsi"/>
                      <w:sz w:val="18"/>
                      <w:szCs w:val="18"/>
                      <w:lang w:eastAsia="en-US"/>
                    </w:rPr>
                    <w:t>50%</w:t>
                  </w:r>
                </w:p>
              </w:tc>
              <w:tc>
                <w:tcPr>
                  <w:tcW w:w="630" w:type="dxa"/>
                </w:tcPr>
                <w:p w14:paraId="0FD1CF1B" w14:textId="77777777" w:rsidR="006B3BC1" w:rsidRPr="006F5136" w:rsidRDefault="006B3BC1" w:rsidP="006B3BC1">
                  <w:pPr>
                    <w:autoSpaceDE w:val="0"/>
                    <w:autoSpaceDN w:val="0"/>
                    <w:adjustRightInd w:val="0"/>
                    <w:jc w:val="center"/>
                    <w:rPr>
                      <w:rFonts w:eastAsiaTheme="minorHAnsi"/>
                      <w:sz w:val="18"/>
                      <w:szCs w:val="18"/>
                      <w:lang w:eastAsia="en-US"/>
                    </w:rPr>
                  </w:pPr>
                  <w:r w:rsidRPr="006F5136">
                    <w:rPr>
                      <w:rFonts w:eastAsiaTheme="minorHAnsi"/>
                      <w:sz w:val="18"/>
                      <w:szCs w:val="18"/>
                      <w:lang w:eastAsia="en-US"/>
                    </w:rPr>
                    <w:t>100%</w:t>
                  </w:r>
                </w:p>
              </w:tc>
            </w:tr>
          </w:tbl>
          <w:p w14:paraId="5153D131" w14:textId="77777777" w:rsidR="006B3BC1" w:rsidRPr="006F5136" w:rsidRDefault="006B3BC1" w:rsidP="006B3BC1">
            <w:pPr>
              <w:pStyle w:val="CM4"/>
              <w:tabs>
                <w:tab w:val="left" w:pos="150"/>
              </w:tabs>
              <w:ind w:left="-43"/>
              <w:jc w:val="both"/>
              <w:rPr>
                <w:rFonts w:ascii="Times New Roman" w:hAnsi="Times New Roman"/>
                <w:i/>
                <w:iCs/>
                <w:sz w:val="18"/>
                <w:szCs w:val="18"/>
                <w:lang w:val="ro-RO" w:eastAsia="ru-RU"/>
              </w:rPr>
            </w:pPr>
          </w:p>
        </w:tc>
        <w:tc>
          <w:tcPr>
            <w:tcW w:w="1661" w:type="pct"/>
            <w:shd w:val="clear" w:color="auto" w:fill="auto"/>
          </w:tcPr>
          <w:p w14:paraId="445B9B8E" w14:textId="19BDE0C6"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b/>
                <w:bCs/>
                <w:sz w:val="18"/>
                <w:szCs w:val="18"/>
                <w:lang w:val="ro-RO" w:eastAsia="ro-MD"/>
              </w:rPr>
              <w:t>75</w:t>
            </w:r>
            <w:r w:rsidRPr="006F5136">
              <w:rPr>
                <w:rFonts w:ascii="Times New Roman" w:eastAsia="Times New Roman" w:hAnsi="Times New Roman" w:cs="Times New Roman"/>
                <w:b/>
                <w:bCs/>
                <w:sz w:val="18"/>
                <w:szCs w:val="18"/>
                <w:vertAlign w:val="superscript"/>
                <w:lang w:val="ro-RO" w:eastAsia="ro-MD"/>
              </w:rPr>
              <w:t>14</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w:t>
            </w:r>
            <w:r w:rsidRPr="006F5136">
              <w:rPr>
                <w:rFonts w:ascii="Times New Roman" w:eastAsia="Times New Roman" w:hAnsi="Times New Roman" w:cs="Times New Roman"/>
                <w:sz w:val="18"/>
                <w:szCs w:val="18"/>
                <w:lang w:eastAsia="ro-MD"/>
              </w:rPr>
              <w:t>Obligațiunile garantate pentru care este disponibilă o evaluare de credit direct aplicabilă efectuată de o ECAI desemnată primesc o pondere de risc în conformitate cu tabelul nr. 6</w:t>
            </w:r>
            <w:r w:rsidRPr="006F5136">
              <w:rPr>
                <w:rFonts w:ascii="Times New Roman" w:eastAsia="Times New Roman" w:hAnsi="Times New Roman" w:cs="Times New Roman"/>
                <w:sz w:val="18"/>
                <w:szCs w:val="18"/>
                <w:vertAlign w:val="superscript"/>
                <w:lang w:eastAsia="ro-MD"/>
              </w:rPr>
              <w:t>4</w:t>
            </w:r>
            <w:r w:rsidRPr="006F5136">
              <w:rPr>
                <w:rFonts w:ascii="Times New Roman" w:eastAsia="Times New Roman" w:hAnsi="Times New Roman" w:cs="Times New Roman"/>
                <w:sz w:val="18"/>
                <w:szCs w:val="18"/>
                <w:lang w:eastAsia="ro-MD"/>
              </w:rPr>
              <w:t>, care corespunde evaluării de credit</w:t>
            </w:r>
            <w:r w:rsidRPr="006F5136">
              <w:rPr>
                <w:rFonts w:ascii="Times New Roman" w:hAnsi="Times New Roman" w:cs="Times New Roman"/>
                <w:sz w:val="18"/>
                <w:szCs w:val="18"/>
              </w:rPr>
              <w:t xml:space="preserve"> </w:t>
            </w:r>
            <w:r w:rsidRPr="006F5136">
              <w:rPr>
                <w:rFonts w:ascii="Times New Roman" w:eastAsia="Times New Roman" w:hAnsi="Times New Roman" w:cs="Times New Roman"/>
                <w:sz w:val="18"/>
                <w:szCs w:val="18"/>
                <w:lang w:eastAsia="ro-MD"/>
              </w:rPr>
              <w:t>realizate de ECAI, conform concordanței efectuate de Banca Națională a Moldovei în baza punctului 100.</w:t>
            </w:r>
          </w:p>
          <w:p w14:paraId="7757F333" w14:textId="77777777" w:rsidR="006B3BC1" w:rsidRPr="006F5136" w:rsidRDefault="006B3BC1" w:rsidP="006B3BC1">
            <w:pPr>
              <w:shd w:val="clear" w:color="auto" w:fill="FFFFFF"/>
              <w:spacing w:after="0" w:line="240" w:lineRule="auto"/>
              <w:ind w:firstLine="567"/>
              <w:jc w:val="right"/>
              <w:rPr>
                <w:rFonts w:ascii="Times New Roman" w:eastAsia="Times New Roman" w:hAnsi="Times New Roman" w:cs="Times New Roman"/>
                <w:b/>
                <w:bCs/>
                <w:i/>
                <w:iCs/>
                <w:sz w:val="18"/>
                <w:szCs w:val="18"/>
                <w:vertAlign w:val="superscript"/>
                <w:lang w:eastAsia="ro-MD"/>
              </w:rPr>
            </w:pPr>
            <w:r w:rsidRPr="006F5136">
              <w:rPr>
                <w:rFonts w:ascii="Times New Roman" w:eastAsia="Times New Roman" w:hAnsi="Times New Roman" w:cs="Times New Roman"/>
                <w:b/>
                <w:bCs/>
                <w:i/>
                <w:iCs/>
                <w:sz w:val="18"/>
                <w:szCs w:val="18"/>
                <w:lang w:eastAsia="ro-MD"/>
              </w:rPr>
              <w:t>Tabelul nr.6</w:t>
            </w:r>
            <w:r w:rsidRPr="006F5136">
              <w:rPr>
                <w:rFonts w:ascii="Times New Roman" w:eastAsia="Times New Roman" w:hAnsi="Times New Roman" w:cs="Times New Roman"/>
                <w:b/>
                <w:bCs/>
                <w:i/>
                <w:iCs/>
                <w:sz w:val="18"/>
                <w:szCs w:val="18"/>
                <w:vertAlign w:val="superscript"/>
                <w:lang w:eastAsia="ro-MD"/>
              </w:rPr>
              <w:t>4</w:t>
            </w:r>
          </w:p>
          <w:tbl>
            <w:tblPr>
              <w:tblW w:w="458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049"/>
              <w:gridCol w:w="409"/>
              <w:gridCol w:w="408"/>
              <w:gridCol w:w="408"/>
              <w:gridCol w:w="408"/>
              <w:gridCol w:w="408"/>
              <w:gridCol w:w="495"/>
            </w:tblGrid>
            <w:tr w:rsidR="006B3BC1" w:rsidRPr="006F5136" w14:paraId="28F6E576" w14:textId="77777777" w:rsidTr="00E87CC9">
              <w:trPr>
                <w:trHeight w:val="349"/>
                <w:jc w:val="center"/>
              </w:trPr>
              <w:tc>
                <w:tcPr>
                  <w:tcW w:w="2049" w:type="dxa"/>
                  <w:tcBorders>
                    <w:top w:val="outset" w:sz="6" w:space="0" w:color="auto"/>
                    <w:left w:val="outset" w:sz="6" w:space="0" w:color="auto"/>
                    <w:bottom w:val="outset" w:sz="6" w:space="0" w:color="auto"/>
                    <w:right w:val="outset" w:sz="6" w:space="0" w:color="auto"/>
                  </w:tcBorders>
                  <w:shd w:val="clear" w:color="auto" w:fill="auto"/>
                  <w:hideMark/>
                </w:tcPr>
                <w:p w14:paraId="0419F314" w14:textId="77777777" w:rsidR="006B3BC1" w:rsidRPr="006F5136" w:rsidRDefault="006B3BC1" w:rsidP="006B3BC1">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Nivel de calitate a creditului</w:t>
                  </w:r>
                </w:p>
              </w:tc>
              <w:tc>
                <w:tcPr>
                  <w:tcW w:w="409" w:type="dxa"/>
                  <w:tcBorders>
                    <w:top w:val="outset" w:sz="6" w:space="0" w:color="auto"/>
                    <w:left w:val="outset" w:sz="6" w:space="0" w:color="auto"/>
                    <w:bottom w:val="outset" w:sz="6" w:space="0" w:color="auto"/>
                    <w:right w:val="outset" w:sz="6" w:space="0" w:color="auto"/>
                  </w:tcBorders>
                  <w:shd w:val="clear" w:color="auto" w:fill="auto"/>
                  <w:hideMark/>
                </w:tcPr>
                <w:p w14:paraId="728EEA01" w14:textId="77777777" w:rsidR="006B3BC1" w:rsidRPr="006F5136" w:rsidRDefault="006B3BC1" w:rsidP="006B3BC1">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1</w:t>
                  </w:r>
                </w:p>
              </w:tc>
              <w:tc>
                <w:tcPr>
                  <w:tcW w:w="408" w:type="dxa"/>
                  <w:tcBorders>
                    <w:top w:val="outset" w:sz="6" w:space="0" w:color="auto"/>
                    <w:left w:val="outset" w:sz="6" w:space="0" w:color="auto"/>
                    <w:bottom w:val="outset" w:sz="6" w:space="0" w:color="auto"/>
                    <w:right w:val="outset" w:sz="6" w:space="0" w:color="auto"/>
                  </w:tcBorders>
                  <w:shd w:val="clear" w:color="auto" w:fill="auto"/>
                  <w:hideMark/>
                </w:tcPr>
                <w:p w14:paraId="6FB41ADA" w14:textId="77777777" w:rsidR="006B3BC1" w:rsidRPr="006F5136" w:rsidRDefault="006B3BC1" w:rsidP="006B3BC1">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2</w:t>
                  </w:r>
                </w:p>
              </w:tc>
              <w:tc>
                <w:tcPr>
                  <w:tcW w:w="408" w:type="dxa"/>
                  <w:tcBorders>
                    <w:top w:val="outset" w:sz="6" w:space="0" w:color="auto"/>
                    <w:left w:val="outset" w:sz="6" w:space="0" w:color="auto"/>
                    <w:bottom w:val="outset" w:sz="6" w:space="0" w:color="auto"/>
                    <w:right w:val="outset" w:sz="6" w:space="0" w:color="auto"/>
                  </w:tcBorders>
                  <w:shd w:val="clear" w:color="auto" w:fill="auto"/>
                  <w:hideMark/>
                </w:tcPr>
                <w:p w14:paraId="6B770C03" w14:textId="77777777" w:rsidR="006B3BC1" w:rsidRPr="006F5136" w:rsidRDefault="006B3BC1" w:rsidP="006B3BC1">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3</w:t>
                  </w:r>
                </w:p>
              </w:tc>
              <w:tc>
                <w:tcPr>
                  <w:tcW w:w="408" w:type="dxa"/>
                  <w:tcBorders>
                    <w:top w:val="outset" w:sz="6" w:space="0" w:color="auto"/>
                    <w:left w:val="outset" w:sz="6" w:space="0" w:color="auto"/>
                    <w:bottom w:val="outset" w:sz="6" w:space="0" w:color="auto"/>
                    <w:right w:val="outset" w:sz="6" w:space="0" w:color="auto"/>
                  </w:tcBorders>
                  <w:shd w:val="clear" w:color="auto" w:fill="auto"/>
                  <w:hideMark/>
                </w:tcPr>
                <w:p w14:paraId="5114C1CE" w14:textId="77777777" w:rsidR="006B3BC1" w:rsidRPr="006F5136" w:rsidRDefault="006B3BC1" w:rsidP="006B3BC1">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4</w:t>
                  </w:r>
                </w:p>
              </w:tc>
              <w:tc>
                <w:tcPr>
                  <w:tcW w:w="408" w:type="dxa"/>
                  <w:tcBorders>
                    <w:top w:val="outset" w:sz="6" w:space="0" w:color="auto"/>
                    <w:left w:val="outset" w:sz="6" w:space="0" w:color="auto"/>
                    <w:bottom w:val="outset" w:sz="6" w:space="0" w:color="auto"/>
                    <w:right w:val="outset" w:sz="6" w:space="0" w:color="auto"/>
                  </w:tcBorders>
                  <w:shd w:val="clear" w:color="auto" w:fill="auto"/>
                  <w:hideMark/>
                </w:tcPr>
                <w:p w14:paraId="245BD946" w14:textId="77777777" w:rsidR="006B3BC1" w:rsidRPr="006F5136" w:rsidRDefault="006B3BC1" w:rsidP="006B3BC1">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5</w:t>
                  </w:r>
                </w:p>
              </w:tc>
              <w:tc>
                <w:tcPr>
                  <w:tcW w:w="495" w:type="dxa"/>
                  <w:tcBorders>
                    <w:top w:val="outset" w:sz="6" w:space="0" w:color="auto"/>
                    <w:left w:val="outset" w:sz="6" w:space="0" w:color="auto"/>
                    <w:bottom w:val="outset" w:sz="6" w:space="0" w:color="auto"/>
                    <w:right w:val="outset" w:sz="6" w:space="0" w:color="auto"/>
                  </w:tcBorders>
                  <w:shd w:val="clear" w:color="auto" w:fill="auto"/>
                  <w:hideMark/>
                </w:tcPr>
                <w:p w14:paraId="72AB194F" w14:textId="77777777" w:rsidR="006B3BC1" w:rsidRPr="006F5136" w:rsidRDefault="006B3BC1" w:rsidP="006B3BC1">
                  <w:pPr>
                    <w:spacing w:after="0" w:line="240" w:lineRule="auto"/>
                    <w:jc w:val="center"/>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6</w:t>
                  </w:r>
                </w:p>
              </w:tc>
            </w:tr>
            <w:tr w:rsidR="006B3BC1" w:rsidRPr="006F5136" w14:paraId="20898304" w14:textId="77777777" w:rsidTr="00E87CC9">
              <w:trPr>
                <w:trHeight w:val="403"/>
                <w:jc w:val="center"/>
              </w:trPr>
              <w:tc>
                <w:tcPr>
                  <w:tcW w:w="2049" w:type="dxa"/>
                  <w:tcBorders>
                    <w:top w:val="outset" w:sz="6" w:space="0" w:color="auto"/>
                    <w:left w:val="outset" w:sz="6" w:space="0" w:color="auto"/>
                    <w:bottom w:val="outset" w:sz="6" w:space="0" w:color="auto"/>
                    <w:right w:val="outset" w:sz="6" w:space="0" w:color="auto"/>
                  </w:tcBorders>
                  <w:shd w:val="clear" w:color="auto" w:fill="auto"/>
                  <w:hideMark/>
                </w:tcPr>
                <w:p w14:paraId="22CD99CA" w14:textId="77777777" w:rsidR="006B3BC1" w:rsidRPr="006F5136" w:rsidRDefault="006B3BC1" w:rsidP="006B3BC1">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Pondere de risc</w:t>
                  </w:r>
                </w:p>
              </w:tc>
              <w:tc>
                <w:tcPr>
                  <w:tcW w:w="409" w:type="dxa"/>
                  <w:tcBorders>
                    <w:top w:val="outset" w:sz="6" w:space="0" w:color="auto"/>
                    <w:left w:val="outset" w:sz="6" w:space="0" w:color="auto"/>
                    <w:bottom w:val="outset" w:sz="6" w:space="0" w:color="auto"/>
                    <w:right w:val="outset" w:sz="6" w:space="0" w:color="auto"/>
                  </w:tcBorders>
                  <w:shd w:val="clear" w:color="auto" w:fill="auto"/>
                  <w:hideMark/>
                </w:tcPr>
                <w:p w14:paraId="44919D85" w14:textId="77777777" w:rsidR="006B3BC1" w:rsidRPr="006F5136" w:rsidRDefault="006B3BC1" w:rsidP="006B3BC1">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10 %</w:t>
                  </w:r>
                </w:p>
              </w:tc>
              <w:tc>
                <w:tcPr>
                  <w:tcW w:w="408" w:type="dxa"/>
                  <w:tcBorders>
                    <w:top w:val="outset" w:sz="6" w:space="0" w:color="auto"/>
                    <w:left w:val="outset" w:sz="6" w:space="0" w:color="auto"/>
                    <w:bottom w:val="outset" w:sz="6" w:space="0" w:color="auto"/>
                    <w:right w:val="outset" w:sz="6" w:space="0" w:color="auto"/>
                  </w:tcBorders>
                  <w:shd w:val="clear" w:color="auto" w:fill="auto"/>
                  <w:hideMark/>
                </w:tcPr>
                <w:p w14:paraId="2154C791" w14:textId="77777777" w:rsidR="006B3BC1" w:rsidRPr="006F5136" w:rsidRDefault="006B3BC1" w:rsidP="006B3BC1">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20 %</w:t>
                  </w:r>
                </w:p>
              </w:tc>
              <w:tc>
                <w:tcPr>
                  <w:tcW w:w="408" w:type="dxa"/>
                  <w:tcBorders>
                    <w:top w:val="outset" w:sz="6" w:space="0" w:color="auto"/>
                    <w:left w:val="outset" w:sz="6" w:space="0" w:color="auto"/>
                    <w:bottom w:val="outset" w:sz="6" w:space="0" w:color="auto"/>
                    <w:right w:val="outset" w:sz="6" w:space="0" w:color="auto"/>
                  </w:tcBorders>
                  <w:shd w:val="clear" w:color="auto" w:fill="auto"/>
                  <w:hideMark/>
                </w:tcPr>
                <w:p w14:paraId="4C78CDC2" w14:textId="77777777" w:rsidR="006B3BC1" w:rsidRPr="006F5136" w:rsidRDefault="006B3BC1" w:rsidP="006B3BC1">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20 %</w:t>
                  </w:r>
                </w:p>
              </w:tc>
              <w:tc>
                <w:tcPr>
                  <w:tcW w:w="408" w:type="dxa"/>
                  <w:tcBorders>
                    <w:top w:val="outset" w:sz="6" w:space="0" w:color="auto"/>
                    <w:left w:val="outset" w:sz="6" w:space="0" w:color="auto"/>
                    <w:bottom w:val="outset" w:sz="6" w:space="0" w:color="auto"/>
                    <w:right w:val="outset" w:sz="6" w:space="0" w:color="auto"/>
                  </w:tcBorders>
                  <w:shd w:val="clear" w:color="auto" w:fill="auto"/>
                  <w:hideMark/>
                </w:tcPr>
                <w:p w14:paraId="517A5B46" w14:textId="77777777" w:rsidR="006B3BC1" w:rsidRPr="006F5136" w:rsidRDefault="006B3BC1" w:rsidP="006B3BC1">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50 %</w:t>
                  </w:r>
                </w:p>
              </w:tc>
              <w:tc>
                <w:tcPr>
                  <w:tcW w:w="408" w:type="dxa"/>
                  <w:tcBorders>
                    <w:top w:val="outset" w:sz="6" w:space="0" w:color="auto"/>
                    <w:left w:val="outset" w:sz="6" w:space="0" w:color="auto"/>
                    <w:bottom w:val="outset" w:sz="6" w:space="0" w:color="auto"/>
                    <w:right w:val="outset" w:sz="6" w:space="0" w:color="auto"/>
                  </w:tcBorders>
                  <w:shd w:val="clear" w:color="auto" w:fill="auto"/>
                  <w:hideMark/>
                </w:tcPr>
                <w:p w14:paraId="5E0C776D" w14:textId="77777777" w:rsidR="006B3BC1" w:rsidRPr="006F5136" w:rsidRDefault="006B3BC1" w:rsidP="006B3BC1">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50 %</w:t>
                  </w:r>
                </w:p>
              </w:tc>
              <w:tc>
                <w:tcPr>
                  <w:tcW w:w="495" w:type="dxa"/>
                  <w:tcBorders>
                    <w:top w:val="outset" w:sz="6" w:space="0" w:color="auto"/>
                    <w:left w:val="outset" w:sz="6" w:space="0" w:color="auto"/>
                    <w:bottom w:val="outset" w:sz="6" w:space="0" w:color="auto"/>
                    <w:right w:val="outset" w:sz="6" w:space="0" w:color="auto"/>
                  </w:tcBorders>
                  <w:shd w:val="clear" w:color="auto" w:fill="auto"/>
                  <w:hideMark/>
                </w:tcPr>
                <w:p w14:paraId="1F4E7920" w14:textId="77777777" w:rsidR="006B3BC1" w:rsidRPr="006F5136" w:rsidRDefault="006B3BC1" w:rsidP="006B3BC1">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100 %</w:t>
                  </w:r>
                </w:p>
              </w:tc>
            </w:tr>
          </w:tbl>
          <w:p w14:paraId="5673E161" w14:textId="77777777" w:rsidR="006B3BC1" w:rsidRPr="006F5136" w:rsidRDefault="006B3BC1" w:rsidP="006B3BC1">
            <w:pPr>
              <w:spacing w:after="0" w:line="240" w:lineRule="auto"/>
              <w:ind w:firstLine="567"/>
              <w:jc w:val="both"/>
              <w:rPr>
                <w:rFonts w:ascii="Times New Roman" w:eastAsia="Times New Roman" w:hAnsi="Times New Roman" w:cs="Times New Roman"/>
                <w:sz w:val="18"/>
                <w:szCs w:val="18"/>
                <w:lang w:val="ro-RO" w:eastAsia="ro-MD"/>
              </w:rPr>
            </w:pPr>
          </w:p>
          <w:p w14:paraId="178D380B" w14:textId="4906FF55" w:rsidR="006B3BC1" w:rsidRPr="006F5136" w:rsidRDefault="006B3BC1" w:rsidP="006B3BC1">
            <w:pPr>
              <w:pStyle w:val="CM4"/>
              <w:tabs>
                <w:tab w:val="left" w:pos="150"/>
              </w:tabs>
              <w:ind w:left="-36"/>
              <w:rPr>
                <w:rFonts w:ascii="Times New Roman" w:hAnsi="Times New Roman"/>
                <w:sz w:val="18"/>
                <w:szCs w:val="18"/>
                <w:lang w:val="ro-RO" w:eastAsia="ru-RU"/>
              </w:rPr>
            </w:pPr>
            <w:r w:rsidRPr="006F5136">
              <w:rPr>
                <w:rFonts w:ascii="Times New Roman" w:hAnsi="Times New Roman"/>
                <w:i/>
                <w:iCs/>
                <w:sz w:val="18"/>
                <w:szCs w:val="18"/>
                <w:lang w:val="ro-RO" w:eastAsia="ru-RU"/>
              </w:rPr>
              <w:t>Proiectul HCE al BNM privind modificarea Regulamentului nr.111/2018</w:t>
            </w:r>
          </w:p>
        </w:tc>
        <w:tc>
          <w:tcPr>
            <w:tcW w:w="503" w:type="pct"/>
          </w:tcPr>
          <w:p w14:paraId="1FABBF69" w14:textId="77B12C21" w:rsidR="006B3BC1" w:rsidRPr="006F5136" w:rsidDel="00B26998"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ADAE894" w14:textId="62F6E0C7"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30F6DBF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31DD3D8" w14:textId="77777777"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 Obligațiunile garantate pentru care nu este disponibilă o evaluare de credit direct aplicabilă efectuată de o ECAI desemnată primesc o pondere de risc pe baza ponderii de risc atribuite expunerilor cu rang prioritar negarantate față de instituția emitentă. Se aplică următoarea corespondență între ponderile de risc:</w:t>
            </w:r>
          </w:p>
          <w:p w14:paraId="2F678C2A" w14:textId="0AE3F5B3"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în cazul în care expunerile față de instituție primesc o pondere de risc de 20 %, obligațiunea garantată primește o pondere de risc de 10 %;</w:t>
            </w:r>
          </w:p>
          <w:p w14:paraId="7611EB53" w14:textId="5737988B"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(aa) în cazul în care expunerile față de instituție primesc o pondere de risc de 30 %, obligațiunea garantată primește o pondere de risc de 15 %;</w:t>
            </w:r>
          </w:p>
          <w:p w14:paraId="0CA55549" w14:textId="152F6B64"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(ab) în cazul în care expunerile față de instituție primesc o pondere de risc de 40 %, obligațiunea garantată primește o pondere de risc de 20 %;</w:t>
            </w:r>
          </w:p>
          <w:p w14:paraId="48768688" w14:textId="5EEF1617"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în cazul în care expunerile față de instituție primesc o pondere de risc de 50 %, obligațiunea garantată primește o pondere de risc de 25 %;</w:t>
            </w:r>
          </w:p>
          <w:p w14:paraId="0613E5BA" w14:textId="77777777" w:rsidR="006B3BC1" w:rsidRPr="006F5136" w:rsidRDefault="006B3BC1" w:rsidP="006B3BC1">
            <w:pPr>
              <w:pStyle w:val="CM4"/>
              <w:tabs>
                <w:tab w:val="left" w:pos="150"/>
              </w:tabs>
              <w:ind w:left="-43"/>
              <w:jc w:val="both"/>
              <w:rPr>
                <w:rFonts w:ascii="Times New Roman" w:hAnsi="Times New Roman"/>
                <w:iCs/>
                <w:sz w:val="18"/>
                <w:szCs w:val="18"/>
                <w:lang w:val="ro-RO" w:eastAsia="ru-RU"/>
              </w:rPr>
            </w:pPr>
          </w:p>
          <w:p w14:paraId="50BDC17A" w14:textId="66558866"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(ba) în cazul în care expunerile față de instituție primesc o pondere de risc de 75 %, obligațiunea garantată primește o pondere de risc de 35 %;</w:t>
            </w:r>
          </w:p>
          <w:p w14:paraId="5A20DFBA" w14:textId="7A5EAFFB"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 în cazul în care expunerile față de instituție primesc o pondere de risc de 100 %, obligațiunea garantată primește o pondere de risc de 50 %;</w:t>
            </w:r>
          </w:p>
          <w:p w14:paraId="3E27950C" w14:textId="1D9224D9" w:rsidR="006B3BC1" w:rsidRPr="006F5136" w:rsidRDefault="006B3BC1" w:rsidP="006B3BC1">
            <w:pPr>
              <w:pStyle w:val="CM4"/>
              <w:tabs>
                <w:tab w:val="left" w:pos="150"/>
              </w:tabs>
              <w:ind w:left="-43"/>
              <w:jc w:val="both"/>
              <w:rPr>
                <w:rFonts w:ascii="Times New Roman" w:hAnsi="Times New Roman"/>
                <w:i/>
                <w:iCs/>
                <w:sz w:val="18"/>
                <w:szCs w:val="18"/>
                <w:lang w:val="ro-RO" w:eastAsia="ru-RU"/>
              </w:rPr>
            </w:pPr>
            <w:r w:rsidRPr="006F5136">
              <w:rPr>
                <w:rFonts w:ascii="Times New Roman" w:hAnsi="Times New Roman"/>
                <w:iCs/>
                <w:sz w:val="18"/>
                <w:szCs w:val="18"/>
                <w:lang w:val="ro-RO" w:eastAsia="ru-RU"/>
              </w:rPr>
              <w:t>(d) în cazul în care expunerile față de instituție primesc o pondere de risc de 150 %, obligațiunea garantată primește o pondere de risc de 100 %.</w:t>
            </w:r>
          </w:p>
        </w:tc>
        <w:tc>
          <w:tcPr>
            <w:tcW w:w="1661" w:type="pct"/>
            <w:shd w:val="clear" w:color="auto" w:fill="auto"/>
          </w:tcPr>
          <w:p w14:paraId="0FA8BCE5"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b/>
                <w:bCs/>
                <w:sz w:val="18"/>
                <w:szCs w:val="18"/>
                <w:lang w:val="ro-RO" w:eastAsia="ro-MD"/>
              </w:rPr>
              <w:t>75</w:t>
            </w:r>
            <w:r w:rsidRPr="006F5136">
              <w:rPr>
                <w:rFonts w:ascii="Times New Roman" w:eastAsia="Times New Roman" w:hAnsi="Times New Roman" w:cs="Times New Roman"/>
                <w:b/>
                <w:bCs/>
                <w:sz w:val="18"/>
                <w:szCs w:val="18"/>
                <w:vertAlign w:val="superscript"/>
                <w:lang w:val="ro-RO" w:eastAsia="ro-MD"/>
              </w:rPr>
              <w:t>15</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eastAsia="ro-MD"/>
              </w:rPr>
              <w:t xml:space="preserve"> Obligațiunile garantate pentru care nu este disponibilă o evaluare de credit direct aplicabilă efectuată de o ECAI desemnată primesc o pondere de risc pe baza ponderii de risc atribuite expunerilor cu rang prioritar negarantate față de banca emitentă. Se aplică următoarea corespondență între ponderile de risc:</w:t>
            </w:r>
          </w:p>
          <w:p w14:paraId="5763571C"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 xml:space="preserve">1) în cazul în care expunerile față de bancă primesc o pondere de risc de 20 %, obligațiunea garantată primește o pondere de risc de </w:t>
            </w:r>
            <w:proofErr w:type="gramStart"/>
            <w:r w:rsidRPr="006F5136">
              <w:rPr>
                <w:rFonts w:ascii="Times New Roman" w:eastAsia="Times New Roman" w:hAnsi="Times New Roman" w:cs="Times New Roman"/>
                <w:sz w:val="18"/>
                <w:szCs w:val="18"/>
                <w:lang w:eastAsia="ro-MD"/>
              </w:rPr>
              <w:t>10 %;</w:t>
            </w:r>
            <w:proofErr w:type="gramEnd"/>
          </w:p>
          <w:p w14:paraId="1911B6AC"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 xml:space="preserve">2) în cazul în care expunerile față de </w:t>
            </w:r>
            <w:r w:rsidRPr="006F5136">
              <w:rPr>
                <w:rFonts w:ascii="Times New Roman" w:eastAsia="Times New Roman" w:hAnsi="Times New Roman" w:cs="Times New Roman"/>
                <w:sz w:val="18"/>
                <w:szCs w:val="18"/>
                <w:lang w:val="ro-RO" w:eastAsia="ro-MD"/>
              </w:rPr>
              <w:t>bancă</w:t>
            </w:r>
            <w:r w:rsidRPr="006F5136">
              <w:rPr>
                <w:rFonts w:ascii="Times New Roman" w:eastAsia="Times New Roman" w:hAnsi="Times New Roman" w:cs="Times New Roman"/>
                <w:sz w:val="18"/>
                <w:szCs w:val="18"/>
                <w:lang w:eastAsia="ro-MD"/>
              </w:rPr>
              <w:t xml:space="preserve"> primesc o pondere de risc de 30 %, obligațiunea garantată primește o pondere de risc de </w:t>
            </w:r>
            <w:proofErr w:type="gramStart"/>
            <w:r w:rsidRPr="006F5136">
              <w:rPr>
                <w:rFonts w:ascii="Times New Roman" w:eastAsia="Times New Roman" w:hAnsi="Times New Roman" w:cs="Times New Roman"/>
                <w:sz w:val="18"/>
                <w:szCs w:val="18"/>
                <w:lang w:eastAsia="ro-MD"/>
              </w:rPr>
              <w:t>15 %;</w:t>
            </w:r>
            <w:proofErr w:type="gramEnd"/>
          </w:p>
          <w:p w14:paraId="5799B4BB"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 xml:space="preserve">3) în cazul în care expunerile față de </w:t>
            </w:r>
            <w:r w:rsidRPr="006F5136">
              <w:rPr>
                <w:rFonts w:ascii="Times New Roman" w:eastAsia="Times New Roman" w:hAnsi="Times New Roman" w:cs="Times New Roman"/>
                <w:sz w:val="18"/>
                <w:szCs w:val="18"/>
                <w:lang w:val="ro-RO" w:eastAsia="ro-MD"/>
              </w:rPr>
              <w:t>bancă</w:t>
            </w:r>
            <w:r w:rsidRPr="006F5136">
              <w:rPr>
                <w:rFonts w:ascii="Times New Roman" w:eastAsia="Times New Roman" w:hAnsi="Times New Roman" w:cs="Times New Roman"/>
                <w:sz w:val="18"/>
                <w:szCs w:val="18"/>
                <w:lang w:eastAsia="ro-MD"/>
              </w:rPr>
              <w:t xml:space="preserve"> primesc o pondere de risc de 40 %, obligațiunea garantată primește o pondere de risc de </w:t>
            </w:r>
            <w:proofErr w:type="gramStart"/>
            <w:r w:rsidRPr="006F5136">
              <w:rPr>
                <w:rFonts w:ascii="Times New Roman" w:eastAsia="Times New Roman" w:hAnsi="Times New Roman" w:cs="Times New Roman"/>
                <w:sz w:val="18"/>
                <w:szCs w:val="18"/>
                <w:lang w:eastAsia="ro-MD"/>
              </w:rPr>
              <w:t>20 %;</w:t>
            </w:r>
            <w:proofErr w:type="gramEnd"/>
          </w:p>
          <w:p w14:paraId="3EB75861"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 xml:space="preserve">4) în cazul în care expunerile față de </w:t>
            </w:r>
            <w:r w:rsidRPr="006F5136">
              <w:rPr>
                <w:rFonts w:ascii="Times New Roman" w:eastAsia="Times New Roman" w:hAnsi="Times New Roman" w:cs="Times New Roman"/>
                <w:sz w:val="18"/>
                <w:szCs w:val="18"/>
                <w:lang w:val="ro-RO" w:eastAsia="ro-MD"/>
              </w:rPr>
              <w:t>bancă</w:t>
            </w:r>
            <w:r w:rsidRPr="006F5136">
              <w:rPr>
                <w:rFonts w:ascii="Times New Roman" w:eastAsia="Times New Roman" w:hAnsi="Times New Roman" w:cs="Times New Roman"/>
                <w:sz w:val="18"/>
                <w:szCs w:val="18"/>
                <w:lang w:eastAsia="ro-MD"/>
              </w:rPr>
              <w:t xml:space="preserve"> primesc o pondere de risc de 50 %, obligațiunea garantată primește o pondere de risc de </w:t>
            </w:r>
            <w:proofErr w:type="gramStart"/>
            <w:r w:rsidRPr="006F5136">
              <w:rPr>
                <w:rFonts w:ascii="Times New Roman" w:eastAsia="Times New Roman" w:hAnsi="Times New Roman" w:cs="Times New Roman"/>
                <w:sz w:val="18"/>
                <w:szCs w:val="18"/>
                <w:lang w:eastAsia="ro-MD"/>
              </w:rPr>
              <w:t>25 %;</w:t>
            </w:r>
            <w:proofErr w:type="gramEnd"/>
          </w:p>
          <w:p w14:paraId="1AC6510A"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 xml:space="preserve">5) în cazul în care expunerile față de </w:t>
            </w:r>
            <w:r w:rsidRPr="006F5136">
              <w:rPr>
                <w:rFonts w:ascii="Times New Roman" w:eastAsia="Times New Roman" w:hAnsi="Times New Roman" w:cs="Times New Roman"/>
                <w:sz w:val="18"/>
                <w:szCs w:val="18"/>
                <w:lang w:val="ro-RO" w:eastAsia="ro-MD"/>
              </w:rPr>
              <w:t>bancă</w:t>
            </w:r>
            <w:r w:rsidRPr="006F5136">
              <w:rPr>
                <w:rFonts w:ascii="Times New Roman" w:eastAsia="Times New Roman" w:hAnsi="Times New Roman" w:cs="Times New Roman"/>
                <w:sz w:val="18"/>
                <w:szCs w:val="18"/>
                <w:lang w:eastAsia="ro-MD"/>
              </w:rPr>
              <w:t xml:space="preserve"> primesc o pondere de risc de 75 %, obligațiunea garantată primește o pondere de risc de </w:t>
            </w:r>
            <w:proofErr w:type="gramStart"/>
            <w:r w:rsidRPr="006F5136">
              <w:rPr>
                <w:rFonts w:ascii="Times New Roman" w:eastAsia="Times New Roman" w:hAnsi="Times New Roman" w:cs="Times New Roman"/>
                <w:sz w:val="18"/>
                <w:szCs w:val="18"/>
                <w:lang w:eastAsia="ro-MD"/>
              </w:rPr>
              <w:t>35 %;</w:t>
            </w:r>
            <w:proofErr w:type="gramEnd"/>
          </w:p>
          <w:p w14:paraId="451FB144" w14:textId="77777777" w:rsidR="006B3BC1" w:rsidRPr="006F5136" w:rsidRDefault="006B3BC1" w:rsidP="006B3BC1">
            <w:pPr>
              <w:spacing w:after="0" w:line="240" w:lineRule="auto"/>
              <w:jc w:val="both"/>
              <w:rPr>
                <w:rFonts w:ascii="Times New Roman" w:eastAsia="Times New Roman" w:hAnsi="Times New Roman" w:cs="Times New Roman"/>
                <w:sz w:val="18"/>
                <w:szCs w:val="18"/>
                <w:lang w:eastAsia="ro-MD"/>
              </w:rPr>
            </w:pPr>
            <w:r w:rsidRPr="006F5136">
              <w:rPr>
                <w:rFonts w:ascii="Times New Roman" w:eastAsia="Times New Roman" w:hAnsi="Times New Roman" w:cs="Times New Roman"/>
                <w:sz w:val="18"/>
                <w:szCs w:val="18"/>
                <w:lang w:eastAsia="ro-MD"/>
              </w:rPr>
              <w:t xml:space="preserve">6) în cazul în care expunerile față de </w:t>
            </w:r>
            <w:r w:rsidRPr="006F5136">
              <w:rPr>
                <w:rFonts w:ascii="Times New Roman" w:eastAsia="Times New Roman" w:hAnsi="Times New Roman" w:cs="Times New Roman"/>
                <w:sz w:val="18"/>
                <w:szCs w:val="18"/>
                <w:lang w:val="ro-RO" w:eastAsia="ro-MD"/>
              </w:rPr>
              <w:t>bancă</w:t>
            </w:r>
            <w:r w:rsidRPr="006F5136">
              <w:rPr>
                <w:rFonts w:ascii="Times New Roman" w:eastAsia="Times New Roman" w:hAnsi="Times New Roman" w:cs="Times New Roman"/>
                <w:sz w:val="18"/>
                <w:szCs w:val="18"/>
                <w:lang w:eastAsia="ro-MD"/>
              </w:rPr>
              <w:t xml:space="preserve"> primesc o pondere de risc de 100 %, obligațiunea garantată primește o pondere de risc de </w:t>
            </w:r>
            <w:proofErr w:type="gramStart"/>
            <w:r w:rsidRPr="006F5136">
              <w:rPr>
                <w:rFonts w:ascii="Times New Roman" w:eastAsia="Times New Roman" w:hAnsi="Times New Roman" w:cs="Times New Roman"/>
                <w:sz w:val="18"/>
                <w:szCs w:val="18"/>
                <w:lang w:eastAsia="ro-MD"/>
              </w:rPr>
              <w:t>50 %;</w:t>
            </w:r>
            <w:proofErr w:type="gramEnd"/>
          </w:p>
          <w:p w14:paraId="5773C10A" w14:textId="77777777" w:rsidR="006B3BC1" w:rsidRPr="006F5136" w:rsidRDefault="006B3BC1" w:rsidP="006B3BC1">
            <w:pPr>
              <w:pStyle w:val="CM4"/>
              <w:tabs>
                <w:tab w:val="left" w:pos="150"/>
              </w:tabs>
              <w:ind w:left="-36"/>
              <w:rPr>
                <w:rFonts w:ascii="Times New Roman" w:hAnsi="Times New Roman"/>
                <w:sz w:val="18"/>
                <w:szCs w:val="18"/>
                <w:lang w:eastAsia="ro-MD"/>
              </w:rPr>
            </w:pPr>
            <w:r w:rsidRPr="006F5136">
              <w:rPr>
                <w:rFonts w:ascii="Times New Roman" w:hAnsi="Times New Roman"/>
                <w:sz w:val="18"/>
                <w:szCs w:val="18"/>
                <w:lang w:eastAsia="ro-MD"/>
              </w:rPr>
              <w:t xml:space="preserve">7) în cazul în care expunerile față de </w:t>
            </w:r>
            <w:r w:rsidRPr="006F5136">
              <w:rPr>
                <w:rFonts w:ascii="Times New Roman" w:hAnsi="Times New Roman"/>
                <w:sz w:val="18"/>
                <w:szCs w:val="18"/>
                <w:lang w:val="ro-RO" w:eastAsia="ro-MD"/>
              </w:rPr>
              <w:t>bancă</w:t>
            </w:r>
            <w:r w:rsidRPr="006F5136">
              <w:rPr>
                <w:rFonts w:ascii="Times New Roman" w:hAnsi="Times New Roman"/>
                <w:sz w:val="18"/>
                <w:szCs w:val="18"/>
                <w:lang w:eastAsia="ro-MD"/>
              </w:rPr>
              <w:t xml:space="preserve"> primesc o pondere de risc de 150 %, obligațiunea garantată primește o pondere de risc de 100 %.</w:t>
            </w:r>
          </w:p>
          <w:p w14:paraId="0F8DB12C" w14:textId="0EC17786" w:rsidR="006B3BC1" w:rsidRPr="006F5136" w:rsidRDefault="006B3BC1" w:rsidP="006B3BC1">
            <w:pPr>
              <w:spacing w:after="0" w:line="240" w:lineRule="auto"/>
              <w:rPr>
                <w:rFonts w:ascii="Times New Roman" w:hAnsi="Times New Roman" w:cs="Times New Roman"/>
                <w:sz w:val="18"/>
                <w:szCs w:val="18"/>
                <w:lang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49D2A739" w14:textId="336ABF62" w:rsidR="006B3BC1" w:rsidRPr="006F5136" w:rsidDel="00B26998"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3165FF10" w14:textId="213CED31"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74A702B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0C52C9E" w14:textId="77777777" w:rsidR="0027576A" w:rsidRPr="006F5136" w:rsidRDefault="0027576A" w:rsidP="005E4694">
            <w:pPr>
              <w:shd w:val="clear" w:color="auto" w:fill="FFFFFF"/>
              <w:spacing w:after="0" w:line="240" w:lineRule="auto"/>
              <w:rPr>
                <w:rFonts w:ascii="Times New Roman" w:eastAsia="Times New Roman" w:hAnsi="Times New Roman" w:cs="Times New Roman"/>
                <w:b/>
                <w:bCs/>
                <w:color w:val="000000" w:themeColor="text1"/>
                <w:sz w:val="18"/>
                <w:szCs w:val="18"/>
                <w:lang w:eastAsia="ro-MD"/>
              </w:rPr>
            </w:pPr>
            <w:hyperlink r:id="rId26" w:tooltip="32019R2160: REPLACED" w:history="1">
              <w:r w:rsidRPr="006F5136">
                <w:rPr>
                  <w:rFonts w:ascii="Times New Roman" w:eastAsia="Times New Roman" w:hAnsi="Times New Roman" w:cs="Times New Roman"/>
                  <w:b/>
                  <w:bCs/>
                  <w:color w:val="000000" w:themeColor="text1"/>
                  <w:sz w:val="18"/>
                  <w:szCs w:val="18"/>
                  <w:lang w:eastAsia="ro-MD"/>
                </w:rPr>
                <w:t>▼M10</w:t>
              </w:r>
            </w:hyperlink>
          </w:p>
          <w:p w14:paraId="5CECE8CE" w14:textId="77777777" w:rsidR="00F738E0" w:rsidRPr="006F5136" w:rsidRDefault="00F738E0" w:rsidP="005E4694">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(6)   Cerințele prevăzute la alineatele (1), (1a), (3), (3a) și (3b) nu se aplică obligațiunilor garantate emise înainte de 31 decembrie 2007. Aceste obligațiuni sunt eligibile pentru tratamentul preferențial prevăzut la alineatele (4) și (5) până la data scadenței lor.</w:t>
            </w:r>
          </w:p>
          <w:p w14:paraId="4D357514" w14:textId="1331459F" w:rsidR="0027576A" w:rsidRPr="006F5136" w:rsidRDefault="00F738E0" w:rsidP="005E4694">
            <w:pPr>
              <w:shd w:val="clear" w:color="auto" w:fill="FFFFFF"/>
              <w:spacing w:after="0" w:line="240" w:lineRule="auto"/>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(7)   Cerințele prevăzute la alineatele (3a) și (3b) nu se aplică obligațiunilor garantate emise înainte de 8 iulie 2022 care respectă cerințele prevăzute de prezentul regulament aplicabile la data emiterii lor. Aceste obligațiuni sunt eligibile pentru tratamentul preferențial prevăzut la alineatele (4) și (5) până la data scadenței lor.</w:t>
            </w:r>
          </w:p>
        </w:tc>
        <w:tc>
          <w:tcPr>
            <w:tcW w:w="1661" w:type="pct"/>
            <w:shd w:val="clear" w:color="auto" w:fill="auto"/>
          </w:tcPr>
          <w:p w14:paraId="16D96A97"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2DDAF308" w14:textId="2ED350C2" w:rsidR="0027576A" w:rsidRPr="006F5136" w:rsidDel="00B26998"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 xml:space="preserve">Norme UE </w:t>
            </w:r>
            <w:r w:rsidR="00D43722" w:rsidRPr="006F5136">
              <w:rPr>
                <w:rFonts w:ascii="Times New Roman" w:hAnsi="Times New Roman" w:cs="Times New Roman"/>
                <w:sz w:val="18"/>
                <w:szCs w:val="18"/>
                <w:lang w:val="ro-RO"/>
              </w:rPr>
              <w:t>neaplicabile</w:t>
            </w:r>
          </w:p>
        </w:tc>
        <w:tc>
          <w:tcPr>
            <w:tcW w:w="912" w:type="pct"/>
          </w:tcPr>
          <w:p w14:paraId="43AA3B05" w14:textId="3779A3F7" w:rsidR="0027576A" w:rsidRPr="006F5136" w:rsidRDefault="00D43722"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Norma prevede dispozi</w:t>
            </w:r>
            <w:r w:rsidR="0036178A" w:rsidRPr="006F5136">
              <w:rPr>
                <w:rFonts w:ascii="Times New Roman" w:hAnsi="Times New Roman" w:cs="Times New Roman"/>
                <w:sz w:val="18"/>
                <w:szCs w:val="18"/>
                <w:lang w:val="ro-RO"/>
              </w:rPr>
              <w:t>ț</w:t>
            </w:r>
            <w:r w:rsidRPr="006F5136">
              <w:rPr>
                <w:rFonts w:ascii="Times New Roman" w:hAnsi="Times New Roman" w:cs="Times New Roman"/>
                <w:sz w:val="18"/>
                <w:szCs w:val="18"/>
                <w:lang w:val="ro-RO"/>
              </w:rPr>
              <w:t>ii tranzitorii</w:t>
            </w:r>
          </w:p>
        </w:tc>
      </w:tr>
      <w:tr w:rsidR="0027576A" w:rsidRPr="006F5136" w14:paraId="26A0671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A32CC8C" w14:textId="77777777" w:rsidR="0027576A" w:rsidRPr="006F5136" w:rsidRDefault="0027576A" w:rsidP="005E4694">
            <w:pPr>
              <w:pStyle w:val="CM4"/>
              <w:tabs>
                <w:tab w:val="left" w:pos="150"/>
              </w:tabs>
              <w:ind w:left="-43"/>
              <w:jc w:val="both"/>
              <w:rPr>
                <w:rFonts w:ascii="Times New Roman" w:hAnsi="Times New Roman"/>
                <w:b/>
                <w:iCs/>
                <w:sz w:val="18"/>
                <w:szCs w:val="18"/>
                <w:lang w:val="ro-RO" w:eastAsia="ru-RU"/>
              </w:rPr>
            </w:pPr>
            <w:r w:rsidRPr="006F5136">
              <w:rPr>
                <w:rFonts w:ascii="Times New Roman" w:hAnsi="Times New Roman"/>
                <w:i/>
                <w:iCs/>
                <w:sz w:val="18"/>
                <w:szCs w:val="18"/>
                <w:lang w:val="ro-RO" w:eastAsia="ru-RU"/>
              </w:rPr>
              <w:t>Articolul 130</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Elemente reprezentând poziții din securitizare</w:t>
            </w:r>
          </w:p>
          <w:p w14:paraId="69DDEC20"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Cuantumurile ponderate la risc ale expunerilor aferente pozițiilor din securitizare se determină în conformitate cu capitolul 5.</w:t>
            </w:r>
          </w:p>
        </w:tc>
        <w:tc>
          <w:tcPr>
            <w:tcW w:w="1661" w:type="pct"/>
            <w:shd w:val="clear" w:color="auto" w:fill="auto"/>
          </w:tcPr>
          <w:p w14:paraId="1D907517" w14:textId="77777777"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 xml:space="preserve">Secțiunea a 16-a. Elemente reprezentând poziții din securitizare </w:t>
            </w:r>
          </w:p>
          <w:p w14:paraId="49E8AABB"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p w14:paraId="5BC1AA08" w14:textId="77777777" w:rsidR="0027576A" w:rsidRPr="006F5136" w:rsidRDefault="0062072B" w:rsidP="005E4694">
            <w:pPr>
              <w:pStyle w:val="CM4"/>
              <w:tabs>
                <w:tab w:val="left" w:pos="150"/>
              </w:tabs>
              <w:ind w:left="-36"/>
              <w:rPr>
                <w:rFonts w:ascii="Times New Roman" w:hAnsi="Times New Roman"/>
                <w:sz w:val="18"/>
                <w:szCs w:val="18"/>
                <w:lang w:val="ro-RO" w:eastAsia="ro-MD"/>
              </w:rPr>
            </w:pPr>
            <w:r w:rsidRPr="006F5136">
              <w:rPr>
                <w:rFonts w:ascii="Times New Roman" w:hAnsi="Times New Roman"/>
                <w:b/>
                <w:bCs/>
                <w:sz w:val="18"/>
                <w:szCs w:val="18"/>
                <w:lang w:val="ro-RO" w:eastAsia="ro-MD"/>
              </w:rPr>
              <w:t>80.</w:t>
            </w:r>
            <w:r w:rsidRPr="006F5136">
              <w:rPr>
                <w:rFonts w:ascii="Times New Roman" w:hAnsi="Times New Roman"/>
                <w:sz w:val="18"/>
                <w:szCs w:val="18"/>
                <w:lang w:val="ro-RO" w:eastAsia="ro-MD"/>
              </w:rPr>
              <w:t xml:space="preserve"> Expunerilor aferente pozițiilor din securitizare </w:t>
            </w:r>
            <w:r w:rsidRPr="006F5136">
              <w:rPr>
                <w:rFonts w:ascii="Times New Roman" w:hAnsi="Times New Roman"/>
                <w:sz w:val="18"/>
                <w:szCs w:val="18"/>
              </w:rPr>
              <w:t xml:space="preserve"> </w:t>
            </w:r>
            <w:r w:rsidRPr="006F5136">
              <w:rPr>
                <w:rFonts w:ascii="Times New Roman" w:hAnsi="Times New Roman"/>
                <w:sz w:val="18"/>
                <w:szCs w:val="18"/>
                <w:lang w:val="ro-RO" w:eastAsia="ro-MD"/>
              </w:rPr>
              <w:t>se determină în conformitate cu actele normative ale Băncii Naționale a Moldovei cu privire la tratamentul prudențial al securitizărilor.</w:t>
            </w:r>
          </w:p>
          <w:p w14:paraId="7DEA9B53" w14:textId="6079C89C" w:rsidR="0096504C" w:rsidRPr="006F5136" w:rsidRDefault="0096504C" w:rsidP="005E4694">
            <w:pPr>
              <w:spacing w:after="0" w:line="240" w:lineRule="auto"/>
              <w:rPr>
                <w:rFonts w:ascii="Times New Roman" w:hAnsi="Times New Roman" w:cs="Times New Roman"/>
                <w:i/>
                <w:iCs/>
                <w:sz w:val="18"/>
                <w:szCs w:val="18"/>
                <w:lang w:val="ro-RO" w:eastAsia="ro-MD"/>
              </w:rPr>
            </w:pPr>
            <w:r w:rsidRPr="006F5136">
              <w:rPr>
                <w:rFonts w:ascii="Times New Roman" w:hAnsi="Times New Roman" w:cs="Times New Roman"/>
                <w:i/>
                <w:iCs/>
                <w:sz w:val="18"/>
                <w:szCs w:val="18"/>
                <w:lang w:val="ro-RO" w:eastAsia="ro-MD"/>
              </w:rPr>
              <w:t>Modificat prin Proiectul HCE al BNM privind modificarea Regulamentului nr.111/2018.</w:t>
            </w:r>
          </w:p>
        </w:tc>
        <w:tc>
          <w:tcPr>
            <w:tcW w:w="503" w:type="pct"/>
          </w:tcPr>
          <w:p w14:paraId="2C55C5BA" w14:textId="74A1B957" w:rsidR="0027576A" w:rsidRPr="006F5136" w:rsidRDefault="007C2B43"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w:t>
            </w:r>
            <w:r w:rsidR="0027576A" w:rsidRPr="006F5136">
              <w:rPr>
                <w:rFonts w:ascii="Times New Roman" w:hAnsi="Times New Roman" w:cs="Times New Roman"/>
                <w:sz w:val="18"/>
                <w:szCs w:val="18"/>
                <w:lang w:val="ro-RO"/>
              </w:rPr>
              <w:t>ompatibil</w:t>
            </w:r>
          </w:p>
        </w:tc>
        <w:tc>
          <w:tcPr>
            <w:tcW w:w="912" w:type="pct"/>
          </w:tcPr>
          <w:p w14:paraId="718F2CBC" w14:textId="7FDD1E19" w:rsidR="0027576A" w:rsidRPr="006F5136" w:rsidRDefault="0096504C"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1345D73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CFC0E13"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131</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Expuneri față de instituții și societăți cu o evaluare de credit pe termen scurt</w:t>
            </w:r>
          </w:p>
          <w:p w14:paraId="0E6E131D" w14:textId="77777777" w:rsidR="00F738E0" w:rsidRPr="006F5136" w:rsidRDefault="00F738E0" w:rsidP="005E4694">
            <w:pPr>
              <w:pStyle w:val="CM4"/>
              <w:tabs>
                <w:tab w:val="left" w:pos="150"/>
              </w:tabs>
              <w:ind w:left="-43"/>
              <w:rPr>
                <w:rFonts w:ascii="Times New Roman" w:hAnsi="Times New Roman"/>
                <w:iCs/>
                <w:sz w:val="18"/>
                <w:szCs w:val="18"/>
                <w:lang w:val="ro-RO" w:eastAsia="ru-RU"/>
              </w:rPr>
            </w:pPr>
            <w:r w:rsidRPr="006F5136">
              <w:rPr>
                <w:rFonts w:ascii="Times New Roman" w:hAnsi="Times New Roman"/>
                <w:iCs/>
                <w:sz w:val="18"/>
                <w:szCs w:val="18"/>
                <w:lang w:val="ro-RO" w:eastAsia="ru-RU"/>
              </w:rPr>
              <w:t>Expunerile față de instituții și expunerile față de societăți pentru care este disponibilă o evaluare de credit pe termen scurt efectuată de o ECAI desemnată primesc o pondere de risc în conformitate cu tabelul 7, care corespunde evaluării emise de ECAI în conformitate cu articolul 136.</w:t>
            </w:r>
          </w:p>
          <w:p w14:paraId="1BEB10B4" w14:textId="445F1324" w:rsidR="0027576A" w:rsidRPr="006F5136" w:rsidRDefault="0027576A" w:rsidP="005E4694">
            <w:pPr>
              <w:pStyle w:val="CM4"/>
              <w:tabs>
                <w:tab w:val="left" w:pos="150"/>
              </w:tabs>
              <w:ind w:left="-43"/>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                        Tabelul 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251"/>
              <w:gridCol w:w="471"/>
              <w:gridCol w:w="471"/>
              <w:gridCol w:w="564"/>
              <w:gridCol w:w="564"/>
              <w:gridCol w:w="564"/>
              <w:gridCol w:w="564"/>
            </w:tblGrid>
            <w:tr w:rsidR="0027576A" w:rsidRPr="006F5136" w14:paraId="470DDB27" w14:textId="77777777" w:rsidTr="00977E5E">
              <w:trPr>
                <w:jc w:val="center"/>
              </w:trPr>
              <w:tc>
                <w:tcPr>
                  <w:tcW w:w="4270" w:type="dxa"/>
                  <w:shd w:val="clear" w:color="auto" w:fill="FFFFFF"/>
                  <w:tcMar>
                    <w:top w:w="30" w:type="dxa"/>
                    <w:left w:w="75" w:type="dxa"/>
                    <w:bottom w:w="30" w:type="dxa"/>
                    <w:right w:w="30" w:type="dxa"/>
                  </w:tcMar>
                  <w:hideMark/>
                </w:tcPr>
                <w:p w14:paraId="23EC796C"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Nivelul de calitate a creditului</w:t>
                  </w:r>
                </w:p>
              </w:tc>
              <w:tc>
                <w:tcPr>
                  <w:tcW w:w="800" w:type="dxa"/>
                  <w:shd w:val="clear" w:color="auto" w:fill="FFFFFF"/>
                  <w:tcMar>
                    <w:top w:w="30" w:type="dxa"/>
                    <w:left w:w="75" w:type="dxa"/>
                    <w:bottom w:w="30" w:type="dxa"/>
                    <w:right w:w="30" w:type="dxa"/>
                  </w:tcMar>
                  <w:hideMark/>
                </w:tcPr>
                <w:p w14:paraId="41FAE845"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w:t>
                  </w:r>
                </w:p>
              </w:tc>
              <w:tc>
                <w:tcPr>
                  <w:tcW w:w="800" w:type="dxa"/>
                  <w:shd w:val="clear" w:color="auto" w:fill="FFFFFF"/>
                  <w:tcMar>
                    <w:top w:w="30" w:type="dxa"/>
                    <w:left w:w="75" w:type="dxa"/>
                    <w:bottom w:w="30" w:type="dxa"/>
                    <w:right w:w="30" w:type="dxa"/>
                  </w:tcMar>
                  <w:hideMark/>
                </w:tcPr>
                <w:p w14:paraId="51AD7635"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w:t>
                  </w:r>
                </w:p>
              </w:tc>
              <w:tc>
                <w:tcPr>
                  <w:tcW w:w="981" w:type="dxa"/>
                  <w:shd w:val="clear" w:color="auto" w:fill="FFFFFF"/>
                  <w:tcMar>
                    <w:top w:w="30" w:type="dxa"/>
                    <w:left w:w="75" w:type="dxa"/>
                    <w:bottom w:w="30" w:type="dxa"/>
                    <w:right w:w="30" w:type="dxa"/>
                  </w:tcMar>
                  <w:hideMark/>
                </w:tcPr>
                <w:p w14:paraId="069CB29D"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w:t>
                  </w:r>
                </w:p>
              </w:tc>
              <w:tc>
                <w:tcPr>
                  <w:tcW w:w="981" w:type="dxa"/>
                  <w:shd w:val="clear" w:color="auto" w:fill="FFFFFF"/>
                  <w:tcMar>
                    <w:top w:w="30" w:type="dxa"/>
                    <w:left w:w="75" w:type="dxa"/>
                    <w:bottom w:w="30" w:type="dxa"/>
                    <w:right w:w="30" w:type="dxa"/>
                  </w:tcMar>
                  <w:hideMark/>
                </w:tcPr>
                <w:p w14:paraId="447CDEF7"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w:t>
                  </w:r>
                </w:p>
              </w:tc>
              <w:tc>
                <w:tcPr>
                  <w:tcW w:w="981" w:type="dxa"/>
                  <w:shd w:val="clear" w:color="auto" w:fill="FFFFFF"/>
                  <w:tcMar>
                    <w:top w:w="30" w:type="dxa"/>
                    <w:left w:w="75" w:type="dxa"/>
                    <w:bottom w:w="30" w:type="dxa"/>
                    <w:right w:w="30" w:type="dxa"/>
                  </w:tcMar>
                  <w:hideMark/>
                </w:tcPr>
                <w:p w14:paraId="058290D6"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w:t>
                  </w:r>
                </w:p>
              </w:tc>
              <w:tc>
                <w:tcPr>
                  <w:tcW w:w="981" w:type="dxa"/>
                  <w:shd w:val="clear" w:color="auto" w:fill="FFFFFF"/>
                  <w:tcMar>
                    <w:top w:w="30" w:type="dxa"/>
                    <w:left w:w="75" w:type="dxa"/>
                    <w:bottom w:w="30" w:type="dxa"/>
                    <w:right w:w="30" w:type="dxa"/>
                  </w:tcMar>
                  <w:hideMark/>
                </w:tcPr>
                <w:p w14:paraId="7CFB12D1"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6</w:t>
                  </w:r>
                </w:p>
              </w:tc>
            </w:tr>
            <w:tr w:rsidR="0027576A" w:rsidRPr="006F5136" w14:paraId="402B4177" w14:textId="77777777" w:rsidTr="00977E5E">
              <w:trPr>
                <w:jc w:val="center"/>
              </w:trPr>
              <w:tc>
                <w:tcPr>
                  <w:tcW w:w="4270" w:type="dxa"/>
                  <w:shd w:val="clear" w:color="auto" w:fill="FFFFFF"/>
                  <w:tcMar>
                    <w:top w:w="30" w:type="dxa"/>
                    <w:left w:w="75" w:type="dxa"/>
                    <w:bottom w:w="30" w:type="dxa"/>
                    <w:right w:w="30" w:type="dxa"/>
                  </w:tcMar>
                  <w:hideMark/>
                </w:tcPr>
                <w:p w14:paraId="799D517D"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Pondere de risc</w:t>
                  </w:r>
                </w:p>
              </w:tc>
              <w:tc>
                <w:tcPr>
                  <w:tcW w:w="800" w:type="dxa"/>
                  <w:shd w:val="clear" w:color="auto" w:fill="FFFFFF"/>
                  <w:tcMar>
                    <w:top w:w="30" w:type="dxa"/>
                    <w:left w:w="75" w:type="dxa"/>
                    <w:bottom w:w="30" w:type="dxa"/>
                    <w:right w:w="30" w:type="dxa"/>
                  </w:tcMar>
                  <w:hideMark/>
                </w:tcPr>
                <w:p w14:paraId="234C1EF3"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800" w:type="dxa"/>
                  <w:shd w:val="clear" w:color="auto" w:fill="FFFFFF"/>
                  <w:tcMar>
                    <w:top w:w="30" w:type="dxa"/>
                    <w:left w:w="75" w:type="dxa"/>
                    <w:bottom w:w="30" w:type="dxa"/>
                    <w:right w:w="30" w:type="dxa"/>
                  </w:tcMar>
                  <w:hideMark/>
                </w:tcPr>
                <w:p w14:paraId="3A4C118A"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50 %</w:t>
                  </w:r>
                </w:p>
              </w:tc>
              <w:tc>
                <w:tcPr>
                  <w:tcW w:w="981" w:type="dxa"/>
                  <w:shd w:val="clear" w:color="auto" w:fill="FFFFFF"/>
                  <w:tcMar>
                    <w:top w:w="30" w:type="dxa"/>
                    <w:left w:w="75" w:type="dxa"/>
                    <w:bottom w:w="30" w:type="dxa"/>
                    <w:right w:w="30" w:type="dxa"/>
                  </w:tcMar>
                  <w:hideMark/>
                </w:tcPr>
                <w:p w14:paraId="1349BCFE"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981" w:type="dxa"/>
                  <w:shd w:val="clear" w:color="auto" w:fill="FFFFFF"/>
                  <w:tcMar>
                    <w:top w:w="30" w:type="dxa"/>
                    <w:left w:w="75" w:type="dxa"/>
                    <w:bottom w:w="30" w:type="dxa"/>
                    <w:right w:w="30" w:type="dxa"/>
                  </w:tcMar>
                  <w:hideMark/>
                </w:tcPr>
                <w:p w14:paraId="0EE4184B"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c>
                <w:tcPr>
                  <w:tcW w:w="981" w:type="dxa"/>
                  <w:shd w:val="clear" w:color="auto" w:fill="FFFFFF"/>
                  <w:tcMar>
                    <w:top w:w="30" w:type="dxa"/>
                    <w:left w:w="75" w:type="dxa"/>
                    <w:bottom w:w="30" w:type="dxa"/>
                    <w:right w:w="30" w:type="dxa"/>
                  </w:tcMar>
                  <w:hideMark/>
                </w:tcPr>
                <w:p w14:paraId="5F84BBAD"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c>
                <w:tcPr>
                  <w:tcW w:w="981" w:type="dxa"/>
                  <w:shd w:val="clear" w:color="auto" w:fill="FFFFFF"/>
                  <w:tcMar>
                    <w:top w:w="30" w:type="dxa"/>
                    <w:left w:w="75" w:type="dxa"/>
                    <w:bottom w:w="30" w:type="dxa"/>
                    <w:right w:w="30" w:type="dxa"/>
                  </w:tcMar>
                  <w:hideMark/>
                </w:tcPr>
                <w:p w14:paraId="0220D22A"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r>
          </w:tbl>
          <w:p w14:paraId="567B5284"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p>
          <w:p w14:paraId="54196C17" w14:textId="77777777" w:rsidR="0027576A" w:rsidRPr="006F5136" w:rsidRDefault="0027576A" w:rsidP="005E4694">
            <w:pPr>
              <w:spacing w:after="0" w:line="240" w:lineRule="auto"/>
              <w:rPr>
                <w:rFonts w:ascii="Times New Roman" w:hAnsi="Times New Roman" w:cs="Times New Roman"/>
                <w:sz w:val="18"/>
                <w:szCs w:val="18"/>
                <w:lang w:val="ro-RO"/>
              </w:rPr>
            </w:pPr>
          </w:p>
        </w:tc>
        <w:tc>
          <w:tcPr>
            <w:tcW w:w="1661" w:type="pct"/>
            <w:shd w:val="clear" w:color="auto" w:fill="auto"/>
          </w:tcPr>
          <w:p w14:paraId="3EEDB5D3" w14:textId="77777777" w:rsidR="0027576A" w:rsidRPr="006F5136" w:rsidRDefault="0027576A" w:rsidP="005E4694">
            <w:pPr>
              <w:pStyle w:val="CM4"/>
              <w:tabs>
                <w:tab w:val="left" w:pos="150"/>
              </w:tabs>
              <w:ind w:left="-36"/>
              <w:rPr>
                <w:rFonts w:ascii="Times New Roman" w:hAnsi="Times New Roman"/>
                <w:b/>
                <w:bCs/>
                <w:sz w:val="18"/>
                <w:szCs w:val="18"/>
                <w:lang w:val="ro-RO" w:eastAsia="ru-RU"/>
              </w:rPr>
            </w:pPr>
            <w:r w:rsidRPr="006F5136">
              <w:rPr>
                <w:rFonts w:ascii="Times New Roman" w:hAnsi="Times New Roman"/>
                <w:sz w:val="18"/>
                <w:szCs w:val="18"/>
                <w:lang w:val="ro-RO" w:eastAsia="ru-RU"/>
              </w:rPr>
              <w:t xml:space="preserve">Secțiunea a 17-a. </w:t>
            </w:r>
            <w:r w:rsidRPr="006F5136">
              <w:rPr>
                <w:rFonts w:ascii="Times New Roman" w:hAnsi="Times New Roman"/>
                <w:b/>
                <w:bCs/>
                <w:sz w:val="18"/>
                <w:szCs w:val="18"/>
                <w:lang w:val="ro-RO" w:eastAsia="ru-RU"/>
              </w:rPr>
              <w:t xml:space="preserve">Expuneri față de bănci și societăți </w:t>
            </w:r>
          </w:p>
          <w:p w14:paraId="40652F74" w14:textId="77777777" w:rsidR="0027576A" w:rsidRPr="006F5136" w:rsidRDefault="0027576A" w:rsidP="005E4694">
            <w:pPr>
              <w:pStyle w:val="CM4"/>
              <w:tabs>
                <w:tab w:val="left" w:pos="150"/>
              </w:tabs>
              <w:ind w:left="-36"/>
              <w:rPr>
                <w:rFonts w:ascii="Times New Roman" w:hAnsi="Times New Roman"/>
                <w:b/>
                <w:bCs/>
                <w:sz w:val="18"/>
                <w:szCs w:val="18"/>
                <w:lang w:val="ro-RO" w:eastAsia="ru-RU"/>
              </w:rPr>
            </w:pPr>
            <w:r w:rsidRPr="006F5136">
              <w:rPr>
                <w:rFonts w:ascii="Times New Roman" w:hAnsi="Times New Roman"/>
                <w:b/>
                <w:bCs/>
                <w:sz w:val="18"/>
                <w:szCs w:val="18"/>
                <w:lang w:val="ro-RO" w:eastAsia="ru-RU"/>
              </w:rPr>
              <w:t xml:space="preserve">cu o evaluare de credit pe termen scurt </w:t>
            </w:r>
          </w:p>
          <w:p w14:paraId="04DA39C7"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p w14:paraId="42E74974" w14:textId="77777777" w:rsidR="0027576A" w:rsidRPr="006F5136" w:rsidRDefault="0027576A" w:rsidP="005E4694">
            <w:pPr>
              <w:pStyle w:val="CM4"/>
              <w:tabs>
                <w:tab w:val="left" w:pos="150"/>
              </w:tabs>
              <w:ind w:left="-36"/>
              <w:jc w:val="both"/>
              <w:rPr>
                <w:rFonts w:ascii="Times New Roman" w:hAnsi="Times New Roman"/>
                <w:sz w:val="18"/>
                <w:szCs w:val="18"/>
                <w:lang w:val="ro-RO" w:eastAsia="ru-RU"/>
              </w:rPr>
            </w:pPr>
            <w:r w:rsidRPr="006F5136">
              <w:rPr>
                <w:rFonts w:ascii="Times New Roman" w:hAnsi="Times New Roman"/>
                <w:sz w:val="18"/>
                <w:szCs w:val="18"/>
                <w:lang w:val="ro-RO" w:eastAsia="ru-RU"/>
              </w:rPr>
              <w:t>82. Expunerile față de bănci și expunerile față de societăți pentru care este disponibilă o evaluare de credit pe termen scurt realizată de o ECAI desemnată primesc o pondere de risc conform tabelului nr.7, care corespunde evaluării de credit realizate de ECAI, conform concordanței efectuate de Banca Națională a Moldovei în baza punctului 101.</w:t>
            </w:r>
          </w:p>
          <w:p w14:paraId="3DF9CFE4" w14:textId="77777777" w:rsidR="0027576A" w:rsidRPr="006F5136" w:rsidRDefault="0027576A" w:rsidP="005E4694">
            <w:pPr>
              <w:pStyle w:val="CM4"/>
              <w:tabs>
                <w:tab w:val="left" w:pos="150"/>
              </w:tabs>
              <w:ind w:left="-36"/>
              <w:jc w:val="center"/>
              <w:rPr>
                <w:rFonts w:ascii="Times New Roman" w:hAnsi="Times New Roman"/>
                <w:sz w:val="18"/>
                <w:szCs w:val="18"/>
                <w:lang w:val="ro-RO" w:eastAsia="ru-RU"/>
              </w:rPr>
            </w:pPr>
            <w:r w:rsidRPr="006F5136">
              <w:rPr>
                <w:rFonts w:ascii="Times New Roman" w:hAnsi="Times New Roman"/>
                <w:sz w:val="18"/>
                <w:szCs w:val="18"/>
                <w:lang w:val="ro-RO" w:eastAsia="ru-RU"/>
              </w:rPr>
              <w:t>Tabelul 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891"/>
              <w:gridCol w:w="413"/>
              <w:gridCol w:w="412"/>
              <w:gridCol w:w="489"/>
              <w:gridCol w:w="489"/>
              <w:gridCol w:w="489"/>
              <w:gridCol w:w="489"/>
            </w:tblGrid>
            <w:tr w:rsidR="0027576A" w:rsidRPr="006F5136" w14:paraId="197DDBB7" w14:textId="77777777" w:rsidTr="00977E5E">
              <w:trPr>
                <w:jc w:val="center"/>
              </w:trPr>
              <w:tc>
                <w:tcPr>
                  <w:tcW w:w="4270" w:type="dxa"/>
                  <w:shd w:val="clear" w:color="auto" w:fill="FFFFFF"/>
                  <w:tcMar>
                    <w:top w:w="30" w:type="dxa"/>
                    <w:left w:w="75" w:type="dxa"/>
                    <w:bottom w:w="30" w:type="dxa"/>
                    <w:right w:w="30" w:type="dxa"/>
                  </w:tcMar>
                  <w:hideMark/>
                </w:tcPr>
                <w:p w14:paraId="33A9351F"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Nivelul de calitate a creditului</w:t>
                  </w:r>
                </w:p>
              </w:tc>
              <w:tc>
                <w:tcPr>
                  <w:tcW w:w="800" w:type="dxa"/>
                  <w:shd w:val="clear" w:color="auto" w:fill="FFFFFF"/>
                  <w:tcMar>
                    <w:top w:w="30" w:type="dxa"/>
                    <w:left w:w="75" w:type="dxa"/>
                    <w:bottom w:w="30" w:type="dxa"/>
                    <w:right w:w="30" w:type="dxa"/>
                  </w:tcMar>
                  <w:hideMark/>
                </w:tcPr>
                <w:p w14:paraId="7D67B130"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w:t>
                  </w:r>
                </w:p>
              </w:tc>
              <w:tc>
                <w:tcPr>
                  <w:tcW w:w="800" w:type="dxa"/>
                  <w:shd w:val="clear" w:color="auto" w:fill="FFFFFF"/>
                  <w:tcMar>
                    <w:top w:w="30" w:type="dxa"/>
                    <w:left w:w="75" w:type="dxa"/>
                    <w:bottom w:w="30" w:type="dxa"/>
                    <w:right w:w="30" w:type="dxa"/>
                  </w:tcMar>
                  <w:hideMark/>
                </w:tcPr>
                <w:p w14:paraId="0E0570DB"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w:t>
                  </w:r>
                </w:p>
              </w:tc>
              <w:tc>
                <w:tcPr>
                  <w:tcW w:w="981" w:type="dxa"/>
                  <w:shd w:val="clear" w:color="auto" w:fill="FFFFFF"/>
                  <w:tcMar>
                    <w:top w:w="30" w:type="dxa"/>
                    <w:left w:w="75" w:type="dxa"/>
                    <w:bottom w:w="30" w:type="dxa"/>
                    <w:right w:w="30" w:type="dxa"/>
                  </w:tcMar>
                  <w:hideMark/>
                </w:tcPr>
                <w:p w14:paraId="01C74320"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w:t>
                  </w:r>
                </w:p>
              </w:tc>
              <w:tc>
                <w:tcPr>
                  <w:tcW w:w="981" w:type="dxa"/>
                  <w:shd w:val="clear" w:color="auto" w:fill="FFFFFF"/>
                  <w:tcMar>
                    <w:top w:w="30" w:type="dxa"/>
                    <w:left w:w="75" w:type="dxa"/>
                    <w:bottom w:w="30" w:type="dxa"/>
                    <w:right w:w="30" w:type="dxa"/>
                  </w:tcMar>
                  <w:hideMark/>
                </w:tcPr>
                <w:p w14:paraId="5466D3A1"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w:t>
                  </w:r>
                </w:p>
              </w:tc>
              <w:tc>
                <w:tcPr>
                  <w:tcW w:w="981" w:type="dxa"/>
                  <w:shd w:val="clear" w:color="auto" w:fill="FFFFFF"/>
                  <w:tcMar>
                    <w:top w:w="30" w:type="dxa"/>
                    <w:left w:w="75" w:type="dxa"/>
                    <w:bottom w:w="30" w:type="dxa"/>
                    <w:right w:w="30" w:type="dxa"/>
                  </w:tcMar>
                  <w:hideMark/>
                </w:tcPr>
                <w:p w14:paraId="07D19964"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w:t>
                  </w:r>
                </w:p>
              </w:tc>
              <w:tc>
                <w:tcPr>
                  <w:tcW w:w="981" w:type="dxa"/>
                  <w:shd w:val="clear" w:color="auto" w:fill="FFFFFF"/>
                  <w:tcMar>
                    <w:top w:w="30" w:type="dxa"/>
                    <w:left w:w="75" w:type="dxa"/>
                    <w:bottom w:w="30" w:type="dxa"/>
                    <w:right w:w="30" w:type="dxa"/>
                  </w:tcMar>
                  <w:hideMark/>
                </w:tcPr>
                <w:p w14:paraId="0EF649E7"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6</w:t>
                  </w:r>
                </w:p>
              </w:tc>
            </w:tr>
            <w:tr w:rsidR="0027576A" w:rsidRPr="006F5136" w14:paraId="1109D6DD" w14:textId="77777777" w:rsidTr="00977E5E">
              <w:trPr>
                <w:jc w:val="center"/>
              </w:trPr>
              <w:tc>
                <w:tcPr>
                  <w:tcW w:w="4270" w:type="dxa"/>
                  <w:shd w:val="clear" w:color="auto" w:fill="FFFFFF"/>
                  <w:tcMar>
                    <w:top w:w="30" w:type="dxa"/>
                    <w:left w:w="75" w:type="dxa"/>
                    <w:bottom w:w="30" w:type="dxa"/>
                    <w:right w:w="30" w:type="dxa"/>
                  </w:tcMar>
                  <w:hideMark/>
                </w:tcPr>
                <w:p w14:paraId="0C62C92F"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Pondere de risc</w:t>
                  </w:r>
                </w:p>
              </w:tc>
              <w:tc>
                <w:tcPr>
                  <w:tcW w:w="800" w:type="dxa"/>
                  <w:shd w:val="clear" w:color="auto" w:fill="FFFFFF"/>
                  <w:tcMar>
                    <w:top w:w="30" w:type="dxa"/>
                    <w:left w:w="75" w:type="dxa"/>
                    <w:bottom w:w="30" w:type="dxa"/>
                    <w:right w:w="30" w:type="dxa"/>
                  </w:tcMar>
                  <w:hideMark/>
                </w:tcPr>
                <w:p w14:paraId="44CCD169"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800" w:type="dxa"/>
                  <w:shd w:val="clear" w:color="auto" w:fill="FFFFFF"/>
                  <w:tcMar>
                    <w:top w:w="30" w:type="dxa"/>
                    <w:left w:w="75" w:type="dxa"/>
                    <w:bottom w:w="30" w:type="dxa"/>
                    <w:right w:w="30" w:type="dxa"/>
                  </w:tcMar>
                  <w:hideMark/>
                </w:tcPr>
                <w:p w14:paraId="008A91F9"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50 %</w:t>
                  </w:r>
                </w:p>
              </w:tc>
              <w:tc>
                <w:tcPr>
                  <w:tcW w:w="981" w:type="dxa"/>
                  <w:shd w:val="clear" w:color="auto" w:fill="FFFFFF"/>
                  <w:tcMar>
                    <w:top w:w="30" w:type="dxa"/>
                    <w:left w:w="75" w:type="dxa"/>
                    <w:bottom w:w="30" w:type="dxa"/>
                    <w:right w:w="30" w:type="dxa"/>
                  </w:tcMar>
                  <w:hideMark/>
                </w:tcPr>
                <w:p w14:paraId="5F0EB55A"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981" w:type="dxa"/>
                  <w:shd w:val="clear" w:color="auto" w:fill="FFFFFF"/>
                  <w:tcMar>
                    <w:top w:w="30" w:type="dxa"/>
                    <w:left w:w="75" w:type="dxa"/>
                    <w:bottom w:w="30" w:type="dxa"/>
                    <w:right w:w="30" w:type="dxa"/>
                  </w:tcMar>
                  <w:hideMark/>
                </w:tcPr>
                <w:p w14:paraId="52502ADE"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c>
                <w:tcPr>
                  <w:tcW w:w="981" w:type="dxa"/>
                  <w:shd w:val="clear" w:color="auto" w:fill="FFFFFF"/>
                  <w:tcMar>
                    <w:top w:w="30" w:type="dxa"/>
                    <w:left w:w="75" w:type="dxa"/>
                    <w:bottom w:w="30" w:type="dxa"/>
                    <w:right w:w="30" w:type="dxa"/>
                  </w:tcMar>
                  <w:hideMark/>
                </w:tcPr>
                <w:p w14:paraId="68895E8A"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c>
                <w:tcPr>
                  <w:tcW w:w="981" w:type="dxa"/>
                  <w:shd w:val="clear" w:color="auto" w:fill="FFFFFF"/>
                  <w:tcMar>
                    <w:top w:w="30" w:type="dxa"/>
                    <w:left w:w="75" w:type="dxa"/>
                    <w:bottom w:w="30" w:type="dxa"/>
                    <w:right w:w="30" w:type="dxa"/>
                  </w:tcMar>
                  <w:hideMark/>
                </w:tcPr>
                <w:p w14:paraId="78FCB071"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r>
          </w:tbl>
          <w:p w14:paraId="4184A0D8" w14:textId="77777777" w:rsidR="0027576A" w:rsidRPr="006F5136" w:rsidRDefault="0027576A" w:rsidP="005E4694">
            <w:pPr>
              <w:spacing w:after="0" w:line="240" w:lineRule="auto"/>
              <w:rPr>
                <w:rFonts w:ascii="Times New Roman" w:hAnsi="Times New Roman" w:cs="Times New Roman"/>
                <w:sz w:val="18"/>
                <w:szCs w:val="18"/>
                <w:lang w:val="ro-RO"/>
              </w:rPr>
            </w:pPr>
          </w:p>
        </w:tc>
        <w:tc>
          <w:tcPr>
            <w:tcW w:w="503" w:type="pct"/>
          </w:tcPr>
          <w:p w14:paraId="181B6007"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6D3FB30C" w14:textId="3F5F6AF0"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1E9246CE"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F2D8763" w14:textId="32CBE97F" w:rsidR="0027576A" w:rsidRPr="006F5136" w:rsidRDefault="0027576A" w:rsidP="005E4694">
            <w:pPr>
              <w:pStyle w:val="CM4"/>
              <w:tabs>
                <w:tab w:val="left" w:pos="150"/>
              </w:tabs>
              <w:ind w:left="-43"/>
              <w:jc w:val="both"/>
              <w:rPr>
                <w:rFonts w:ascii="Times New Roman" w:hAnsi="Times New Roman"/>
                <w:b/>
                <w:bCs/>
                <w:sz w:val="18"/>
                <w:szCs w:val="18"/>
                <w:lang w:val="ro-RO" w:eastAsia="ru-RU"/>
              </w:rPr>
            </w:pPr>
            <w:r w:rsidRPr="006F5136">
              <w:rPr>
                <w:rFonts w:ascii="Times New Roman" w:hAnsi="Times New Roman"/>
                <w:b/>
                <w:bCs/>
                <w:sz w:val="18"/>
                <w:szCs w:val="18"/>
                <w:lang w:val="ro-RO" w:eastAsia="ru-RU"/>
              </w:rPr>
              <w:t>M8</w:t>
            </w:r>
          </w:p>
          <w:p w14:paraId="22CA33E6" w14:textId="71158802"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132</w:t>
            </w:r>
            <w:r w:rsidRPr="006F5136">
              <w:rPr>
                <w:rFonts w:ascii="Times New Roman" w:hAnsi="Times New Roman"/>
                <w:iCs/>
                <w:sz w:val="18"/>
                <w:szCs w:val="18"/>
                <w:lang w:val="ro-RO" w:eastAsia="ru-RU"/>
              </w:rPr>
              <w:t xml:space="preserve"> </w:t>
            </w:r>
            <w:r w:rsidRPr="006F5136">
              <w:rPr>
                <w:rFonts w:ascii="Times New Roman" w:hAnsi="Times New Roman"/>
                <w:b/>
                <w:bCs/>
                <w:iCs/>
                <w:sz w:val="18"/>
                <w:szCs w:val="18"/>
                <w:lang w:val="ro-RO" w:eastAsia="ru-RU"/>
              </w:rPr>
              <w:t>Cerințele de fonduri proprii pentru</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expunerile sub formă de unități sau acțiuni deținute în OPC-uri</w:t>
            </w:r>
          </w:p>
          <w:p w14:paraId="4235CB6E" w14:textId="54194F0D"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(1) </w:t>
            </w:r>
            <w:r w:rsidR="00A35D21" w:rsidRPr="006F5136">
              <w:rPr>
                <w:rFonts w:ascii="Times New Roman" w:hAnsi="Times New Roman"/>
                <w:iCs/>
                <w:sz w:val="18"/>
                <w:szCs w:val="18"/>
                <w:lang w:val="ro-RO" w:eastAsia="ru-RU"/>
              </w:rPr>
              <w:t>Instituțiile calculează valoarea expunerii ponderate la risc pentru expunerile lor sub formă de unități sau acțiuni deținute într-un OPC prin înmulțirea valorii expunerii ponderate la risc pentru expunerile OPC-ului, calculată în conformitate cu abordările menționate la alineatul (2) primul paragraf, cu procentajul unităților sau acțiunilor deținute de instituțiile respective.</w:t>
            </w:r>
          </w:p>
        </w:tc>
        <w:tc>
          <w:tcPr>
            <w:tcW w:w="1661" w:type="pct"/>
            <w:shd w:val="clear" w:color="auto" w:fill="auto"/>
          </w:tcPr>
          <w:p w14:paraId="79A37616" w14:textId="582BF2C2"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 xml:space="preserve">Secțiunea a 18-a. </w:t>
            </w:r>
            <w:r w:rsidR="00E520CA" w:rsidRPr="006F5136">
              <w:rPr>
                <w:rFonts w:ascii="Times New Roman" w:hAnsi="Times New Roman"/>
                <w:b/>
                <w:bCs/>
                <w:sz w:val="18"/>
                <w:szCs w:val="18"/>
                <w:lang w:val="ro-RO" w:eastAsia="ru-RU"/>
              </w:rPr>
              <w:t>Cerințele de fonduri proprii pentru expunerile sub formă de unități sau acțiuni deținute în OPC-uri</w:t>
            </w:r>
          </w:p>
          <w:p w14:paraId="0EF62A7F"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p w14:paraId="0A952017" w14:textId="77777777" w:rsidR="0027576A" w:rsidRPr="006F5136" w:rsidRDefault="00051CDF"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82. Băncile calculează valoarea expunerii ponderate la risc pentru expunerile lor sub formă de unități sau acțiuni deținute într-un OPC prin înmulțirea valorii expunerii ponderate la risc pentru expunerile OPC-ului, calculată în conformitate cu abordările menționate la punctul 821, cu procentajul unităților sau acțiunilor deținute de băncile respective.</w:t>
            </w:r>
          </w:p>
          <w:p w14:paraId="14C91166" w14:textId="15FCBFFD" w:rsidR="006A58BF" w:rsidRPr="006F5136" w:rsidRDefault="006A58BF" w:rsidP="005E4694">
            <w:pPr>
              <w:spacing w:after="0" w:line="240" w:lineRule="auto"/>
              <w:rPr>
                <w:rFonts w:ascii="Times New Roman" w:hAnsi="Times New Roman" w:cs="Times New Roman"/>
                <w:sz w:val="18"/>
                <w:szCs w:val="18"/>
                <w:lang w:val="ro-RO" w:eastAsia="ru-RU"/>
              </w:rPr>
            </w:pPr>
            <w:r w:rsidRPr="006F5136">
              <w:rPr>
                <w:rFonts w:ascii="Times New Roman" w:hAnsi="Times New Roman" w:cs="Times New Roman"/>
                <w:i/>
                <w:iCs/>
                <w:sz w:val="18"/>
                <w:szCs w:val="18"/>
                <w:lang w:val="ro-RO" w:eastAsia="ro-MD"/>
              </w:rPr>
              <w:t>Modificat prin Proiectul HCE al BNM privind modificarea Regulamentului nr.111/2018.</w:t>
            </w:r>
          </w:p>
        </w:tc>
        <w:tc>
          <w:tcPr>
            <w:tcW w:w="503" w:type="pct"/>
          </w:tcPr>
          <w:p w14:paraId="00AD1F92" w14:textId="3595DE00" w:rsidR="0027576A" w:rsidRPr="006F5136" w:rsidRDefault="006A58BF"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w:t>
            </w:r>
            <w:r w:rsidR="0027576A" w:rsidRPr="006F5136">
              <w:rPr>
                <w:rFonts w:ascii="Times New Roman" w:hAnsi="Times New Roman" w:cs="Times New Roman"/>
                <w:sz w:val="18"/>
                <w:szCs w:val="18"/>
                <w:lang w:val="ro-RO"/>
              </w:rPr>
              <w:t>ompatibil</w:t>
            </w:r>
          </w:p>
        </w:tc>
        <w:tc>
          <w:tcPr>
            <w:tcW w:w="912" w:type="pct"/>
          </w:tcPr>
          <w:p w14:paraId="0CA0C948" w14:textId="47FA10F2"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3668B99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7881625" w14:textId="77777777" w:rsidR="00A35D21"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   În cazul în care sunt îndeplinite condițiile stabilite la alineatul (3) de la prezentul articol, instituțiile pot aplica abordarea de tip look-through, în conformitate cu articolul 132a alineatul (1), sau abordarea pe bază de mandat, în conformitate cu articolul 132a alineatul (2).</w:t>
            </w:r>
          </w:p>
          <w:p w14:paraId="1AC65CEA" w14:textId="77777777" w:rsidR="00A35D21"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În conformitate cu articolul 132b alineatul (2), instituțiile care nu aplică abordarea de tip look-through sau abordarea pe bază de mandat atribuie o pondere de risc de 1 250  % (denumită în continuare „abordarea de rezervă (fall-back)”) expunerilor lor sub formă de unități sau acțiuni deținute într-un OPC.</w:t>
            </w:r>
          </w:p>
          <w:p w14:paraId="46E73DD2" w14:textId="77777777" w:rsidR="00A35D21" w:rsidRPr="006F5136" w:rsidRDefault="00A35D21" w:rsidP="005E4694">
            <w:pPr>
              <w:pStyle w:val="CM4"/>
              <w:tabs>
                <w:tab w:val="left" w:pos="150"/>
              </w:tabs>
              <w:ind w:left="-43"/>
              <w:jc w:val="both"/>
              <w:rPr>
                <w:rFonts w:ascii="Times New Roman" w:hAnsi="Times New Roman"/>
                <w:iCs/>
                <w:sz w:val="18"/>
                <w:szCs w:val="18"/>
                <w:lang w:val="ro-RO" w:eastAsia="ru-RU"/>
              </w:rPr>
            </w:pPr>
          </w:p>
          <w:p w14:paraId="30956BA2" w14:textId="303B7FB3" w:rsidR="0027576A"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Instituțiile pot calcula valoarea expunerilor ponderate la risc pentru expunerile lor sub formă de unități sau acțiuni deținute într-un OPC utilizând o combinație a abordărilor menționate la prezentul alineat, în măsura în care condițiile de utilizare a abordărilor respective sunt îndeplinite.</w:t>
            </w:r>
          </w:p>
        </w:tc>
        <w:tc>
          <w:tcPr>
            <w:tcW w:w="1661" w:type="pct"/>
            <w:shd w:val="clear" w:color="auto" w:fill="auto"/>
          </w:tcPr>
          <w:p w14:paraId="7DC2C40D" w14:textId="70E554BB" w:rsidR="00562EFA" w:rsidRPr="006F5136" w:rsidRDefault="00562EF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1</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În cazul în care sunt îndeplinite condițiile stabilite la punctele 82</w:t>
            </w:r>
            <w:r w:rsidRPr="006F5136">
              <w:rPr>
                <w:rFonts w:ascii="Times New Roman" w:eastAsia="Times New Roman" w:hAnsi="Times New Roman" w:cs="Times New Roman"/>
                <w:sz w:val="18"/>
                <w:szCs w:val="18"/>
                <w:vertAlign w:val="superscript"/>
                <w:lang w:val="ro-RO" w:eastAsia="ro-MD"/>
              </w:rPr>
              <w:t>4</w:t>
            </w:r>
            <w:r w:rsidRPr="006F5136">
              <w:rPr>
                <w:rFonts w:ascii="Times New Roman" w:eastAsia="Times New Roman" w:hAnsi="Times New Roman" w:cs="Times New Roman"/>
                <w:sz w:val="18"/>
                <w:szCs w:val="18"/>
                <w:lang w:val="ro-RO" w:eastAsia="ro-MD"/>
              </w:rPr>
              <w:t>-82</w:t>
            </w:r>
            <w:r w:rsidRPr="006F5136">
              <w:rPr>
                <w:rFonts w:ascii="Times New Roman" w:eastAsia="Times New Roman" w:hAnsi="Times New Roman" w:cs="Times New Roman"/>
                <w:sz w:val="18"/>
                <w:szCs w:val="18"/>
                <w:vertAlign w:val="superscript"/>
                <w:lang w:val="ro-RO" w:eastAsia="ro-MD"/>
              </w:rPr>
              <w:t>7</w:t>
            </w:r>
            <w:r w:rsidRPr="006F5136">
              <w:rPr>
                <w:rFonts w:ascii="Times New Roman" w:eastAsia="Times New Roman" w:hAnsi="Times New Roman" w:cs="Times New Roman"/>
                <w:sz w:val="18"/>
                <w:szCs w:val="18"/>
                <w:lang w:val="ro-RO" w:eastAsia="ro-MD"/>
              </w:rPr>
              <w:t>, băncile pot aplica abordarea de tip look-through, în conformitate cu punctul 82</w:t>
            </w:r>
            <w:r w:rsidRPr="006F5136">
              <w:rPr>
                <w:rFonts w:ascii="Times New Roman" w:eastAsia="Times New Roman" w:hAnsi="Times New Roman" w:cs="Times New Roman"/>
                <w:sz w:val="18"/>
                <w:szCs w:val="18"/>
                <w:vertAlign w:val="superscript"/>
                <w:lang w:val="ro-RO" w:eastAsia="ro-MD"/>
              </w:rPr>
              <w:t>14</w:t>
            </w:r>
            <w:r w:rsidRPr="006F5136">
              <w:rPr>
                <w:rFonts w:ascii="Times New Roman" w:eastAsia="Times New Roman" w:hAnsi="Times New Roman" w:cs="Times New Roman"/>
                <w:sz w:val="18"/>
                <w:szCs w:val="18"/>
                <w:lang w:val="ro-RO" w:eastAsia="ro-MD"/>
              </w:rPr>
              <w:t xml:space="preserve"> , sau abordarea pe bază de mandat, în conformitate cu punctele 82</w:t>
            </w:r>
            <w:r w:rsidRPr="006F5136">
              <w:rPr>
                <w:rFonts w:ascii="Times New Roman" w:eastAsia="Times New Roman" w:hAnsi="Times New Roman" w:cs="Times New Roman"/>
                <w:sz w:val="18"/>
                <w:szCs w:val="18"/>
                <w:vertAlign w:val="superscript"/>
                <w:lang w:val="ro-RO" w:eastAsia="ro-MD"/>
              </w:rPr>
              <w:t>15</w:t>
            </w:r>
            <w:r w:rsidRPr="006F5136">
              <w:rPr>
                <w:rFonts w:ascii="Times New Roman" w:eastAsia="Times New Roman" w:hAnsi="Times New Roman" w:cs="Times New Roman"/>
                <w:sz w:val="18"/>
                <w:szCs w:val="18"/>
                <w:lang w:val="ro-RO" w:eastAsia="ro-MD"/>
              </w:rPr>
              <w:t>-82</w:t>
            </w:r>
            <w:r w:rsidRPr="006F5136">
              <w:rPr>
                <w:rFonts w:ascii="Times New Roman" w:eastAsia="Times New Roman" w:hAnsi="Times New Roman" w:cs="Times New Roman"/>
                <w:sz w:val="18"/>
                <w:szCs w:val="18"/>
                <w:vertAlign w:val="superscript"/>
                <w:lang w:val="ro-RO" w:eastAsia="ro-MD"/>
              </w:rPr>
              <w:t>17</w:t>
            </w:r>
            <w:r w:rsidRPr="006F5136">
              <w:rPr>
                <w:rFonts w:ascii="Times New Roman" w:eastAsia="Times New Roman" w:hAnsi="Times New Roman" w:cs="Times New Roman"/>
                <w:sz w:val="18"/>
                <w:szCs w:val="18"/>
                <w:lang w:val="ro-RO" w:eastAsia="ro-MD"/>
              </w:rPr>
              <w:t>.</w:t>
            </w:r>
          </w:p>
          <w:p w14:paraId="33E82102" w14:textId="2073C033" w:rsidR="00562EFA" w:rsidRPr="006F5136" w:rsidRDefault="00562EF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2</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În conformitate cu punctul 82</w:t>
            </w:r>
            <w:r w:rsidRPr="006F5136">
              <w:rPr>
                <w:rFonts w:ascii="Times New Roman" w:eastAsia="Times New Roman" w:hAnsi="Times New Roman" w:cs="Times New Roman"/>
                <w:sz w:val="18"/>
                <w:szCs w:val="18"/>
                <w:vertAlign w:val="superscript"/>
                <w:lang w:val="ro-RO" w:eastAsia="ro-MD"/>
              </w:rPr>
              <w:t>21</w:t>
            </w:r>
            <w:r w:rsidRPr="006F5136">
              <w:rPr>
                <w:rFonts w:ascii="Times New Roman" w:eastAsia="Times New Roman" w:hAnsi="Times New Roman" w:cs="Times New Roman"/>
                <w:sz w:val="18"/>
                <w:szCs w:val="18"/>
                <w:lang w:val="ro-RO" w:eastAsia="ro-MD"/>
              </w:rPr>
              <w:t>, băncile care nu aplică abordarea de tip look-through sau abordarea pe bază de mandat atribuie o pondere de risc de 1000  % (denumită în continuare „abordarea de rezervă (fall-back)”) expunerilor lor sub formă de unități sau acțiuni deținute într-un OPC.</w:t>
            </w:r>
          </w:p>
          <w:p w14:paraId="29DCBFAD" w14:textId="77777777" w:rsidR="0027576A" w:rsidRPr="006F5136" w:rsidRDefault="00562EFA"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3</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Băncile pot calcula valoarea expunerilor ponderate la risc pentru expunerile lor sub formă de unități sau acțiuni deținute într-un OPC utilizând o combinație a abordărilor menționate la punctele 82</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 xml:space="preserve"> – 82</w:t>
            </w:r>
            <w:r w:rsidRPr="006F5136">
              <w:rPr>
                <w:rFonts w:ascii="Times New Roman" w:eastAsia="Times New Roman" w:hAnsi="Times New Roman" w:cs="Times New Roman"/>
                <w:sz w:val="18"/>
                <w:szCs w:val="18"/>
                <w:vertAlign w:val="superscript"/>
                <w:lang w:val="ro-RO" w:eastAsia="ro-MD"/>
              </w:rPr>
              <w:t>2</w:t>
            </w:r>
            <w:r w:rsidRPr="006F5136">
              <w:rPr>
                <w:rFonts w:ascii="Times New Roman" w:eastAsia="Times New Roman" w:hAnsi="Times New Roman" w:cs="Times New Roman"/>
                <w:sz w:val="18"/>
                <w:szCs w:val="18"/>
                <w:lang w:val="ro-RO" w:eastAsia="ro-MD"/>
              </w:rPr>
              <w:t>, în măsura în care condițiile de utilizare a abordărilor respective sunt îndeplinite.</w:t>
            </w:r>
          </w:p>
          <w:p w14:paraId="7879D5B4" w14:textId="14B221E6" w:rsidR="00562EFA" w:rsidRPr="006F5136" w:rsidRDefault="00562EF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75085FFC" w14:textId="3348F6F3" w:rsidR="0027576A" w:rsidRPr="006F5136" w:rsidRDefault="00562EF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w:t>
            </w:r>
            <w:r w:rsidR="0027576A" w:rsidRPr="006F5136">
              <w:rPr>
                <w:rFonts w:ascii="Times New Roman" w:hAnsi="Times New Roman" w:cs="Times New Roman"/>
                <w:sz w:val="18"/>
                <w:szCs w:val="18"/>
                <w:lang w:val="ro-RO"/>
              </w:rPr>
              <w:t>ompatibil</w:t>
            </w:r>
          </w:p>
        </w:tc>
        <w:tc>
          <w:tcPr>
            <w:tcW w:w="912" w:type="pct"/>
          </w:tcPr>
          <w:p w14:paraId="5D5741A7" w14:textId="44A21EE7"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736CBAA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1"/>
        </w:trPr>
        <w:tc>
          <w:tcPr>
            <w:tcW w:w="1924" w:type="pct"/>
          </w:tcPr>
          <w:p w14:paraId="376426A8" w14:textId="77777777" w:rsidR="00A35D21"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(3) </w:t>
            </w:r>
            <w:r w:rsidR="00A35D21" w:rsidRPr="006F5136">
              <w:rPr>
                <w:rFonts w:ascii="Times New Roman" w:hAnsi="Times New Roman"/>
                <w:iCs/>
                <w:sz w:val="18"/>
                <w:szCs w:val="18"/>
                <w:lang w:val="ro-RO" w:eastAsia="ru-RU"/>
              </w:rPr>
              <w:t>Instituțiile pot stabili valoarea expunerii ponderate la risc pentru expunerile unui OPC în conformitate cu abordările prevăzute la articolul 132a în cazul în care sunt îndeplinite cumulativ următoarele condiții:</w:t>
            </w:r>
          </w:p>
          <w:p w14:paraId="61C960C1" w14:textId="60F95F04" w:rsidR="00A35D21"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OPC-ul este unul dintre următoarele:</w:t>
            </w:r>
          </w:p>
          <w:p w14:paraId="06522E40" w14:textId="3379C14C" w:rsidR="00A35D21"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 un organism de plasament colectiv în valori mobiliare (OPCVM), reglementat de Directiva 2009/65/CE;</w:t>
            </w:r>
          </w:p>
          <w:p w14:paraId="4B89EFC5" w14:textId="1AB882AC" w:rsidR="00A35D21"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(ii) un FIA administrat de un AFIA din UE înregistrat în temeiul articolului 3 alineatul (3) din Directiva 2011/61/UE;</w:t>
            </w:r>
          </w:p>
          <w:p w14:paraId="35570DC7" w14:textId="6A60B2CE" w:rsidR="00A35D21"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(iii) un FIA administrat de un AFIA din UE autorizat în temeiul articolului 6 din Directiva 2011/61/UE;</w:t>
            </w:r>
          </w:p>
          <w:p w14:paraId="6CD273C6" w14:textId="337353C0" w:rsidR="00A35D21"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(iv) un FIA administrat de un AFIA din afara UE autorizat în temeiul articolului 37 din Directiva 2011/61/UE;</w:t>
            </w:r>
          </w:p>
          <w:p w14:paraId="43320168" w14:textId="37B4F04C" w:rsidR="00A35D21"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(v) un FIA din afara UE administrat de un AFIA din afara UE și distribuit în conformitate cu articolul 42 din Directiva 2011/61/UE;</w:t>
            </w:r>
          </w:p>
          <w:p w14:paraId="2E3EECAC" w14:textId="0FBF4489" w:rsidR="00A35D21"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(vi) un FIA din afara UE care nu este distribuit în Uniune și este administrat de un AFIA din afara UE cu sediul într-o țară terță, care face obiectul unui act delegat menționat la articolul 67 alineatul (6) din Directiva 2011/61/UE;</w:t>
            </w:r>
          </w:p>
          <w:p w14:paraId="46E08EB7" w14:textId="4292AB37" w:rsidR="00A35D21"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prospectul de emisiune al OPC-ului sau documentul echivalent include următoarele:</w:t>
            </w:r>
          </w:p>
          <w:p w14:paraId="025D2A91" w14:textId="6E839B3F" w:rsidR="00A35D21"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 categoriile de active în care OPC-ul este autorizat să investească;</w:t>
            </w:r>
          </w:p>
          <w:p w14:paraId="4066A505" w14:textId="49E7C4F6" w:rsidR="00A35D21"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(ii) dacă se aplică limite în ceea ce privește investițiile, limitele relative și metodologiile de calcul al acestora;</w:t>
            </w:r>
          </w:p>
          <w:p w14:paraId="09E2068D" w14:textId="5B7BDB9F" w:rsidR="00A35D21"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 raportarea realizată pentru instituție de către OPC sau de societatea de administrare a OPC-ului respectă următoarele cerințe:</w:t>
            </w:r>
          </w:p>
          <w:p w14:paraId="05D59835" w14:textId="39A53CD4" w:rsidR="00A35D21"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 expunerile OPC-ului sunt raportate cel puțin la fel de frecvent ca cele ale instituției;</w:t>
            </w:r>
          </w:p>
          <w:p w14:paraId="566BE2A1" w14:textId="131B513B" w:rsidR="00A35D21"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(ii) nivelul de detaliu al informațiilor financiare este suficient pentru a permite instituției să calculeze valoarea expunerii ponderate la risc OPC-ului în conformitate cu abordarea aleasă de instituție;</w:t>
            </w:r>
          </w:p>
          <w:p w14:paraId="2D2FDB85" w14:textId="1A081176" w:rsidR="0027576A" w:rsidRPr="006F5136" w:rsidRDefault="00A35D21"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(iii) în cazul în care instituția aplică abordarea de tip look-through, informațiile privind expunerile-suport sunt verificate de o parte terță independentă.</w:t>
            </w:r>
          </w:p>
        </w:tc>
        <w:tc>
          <w:tcPr>
            <w:tcW w:w="1661" w:type="pct"/>
            <w:shd w:val="clear" w:color="auto" w:fill="auto"/>
          </w:tcPr>
          <w:p w14:paraId="712EFD11" w14:textId="77777777" w:rsidR="0019110C" w:rsidRPr="006F5136" w:rsidRDefault="0019110C"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4</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Băncile pot stabili valoarea expunerii ponderate la risc pentru expunerile unui OPC în conformitate cu abordările prevăzute la punctele 82</w:t>
            </w:r>
            <w:r w:rsidRPr="006F5136">
              <w:rPr>
                <w:rFonts w:ascii="Times New Roman" w:eastAsia="Times New Roman" w:hAnsi="Times New Roman" w:cs="Times New Roman"/>
                <w:sz w:val="18"/>
                <w:szCs w:val="18"/>
                <w:vertAlign w:val="superscript"/>
                <w:lang w:val="ro-RO" w:eastAsia="ro-MD"/>
              </w:rPr>
              <w:t xml:space="preserve">14 </w:t>
            </w:r>
            <w:r w:rsidRPr="006F5136">
              <w:rPr>
                <w:rFonts w:ascii="Times New Roman" w:eastAsia="Times New Roman" w:hAnsi="Times New Roman" w:cs="Times New Roman"/>
                <w:sz w:val="18"/>
                <w:szCs w:val="18"/>
                <w:lang w:val="ro-RO" w:eastAsia="ro-MD"/>
              </w:rPr>
              <w:t>- 82</w:t>
            </w:r>
            <w:r w:rsidRPr="006F5136">
              <w:rPr>
                <w:rFonts w:ascii="Times New Roman" w:eastAsia="Times New Roman" w:hAnsi="Times New Roman" w:cs="Times New Roman"/>
                <w:sz w:val="18"/>
                <w:szCs w:val="18"/>
                <w:vertAlign w:val="superscript"/>
                <w:lang w:val="ro-RO" w:eastAsia="ro-MD"/>
              </w:rPr>
              <w:t>19</w:t>
            </w:r>
            <w:r w:rsidRPr="006F5136">
              <w:rPr>
                <w:rFonts w:ascii="Times New Roman" w:eastAsia="Times New Roman" w:hAnsi="Times New Roman" w:cs="Times New Roman"/>
                <w:sz w:val="18"/>
                <w:szCs w:val="18"/>
                <w:lang w:val="ro-RO" w:eastAsia="ro-MD"/>
              </w:rPr>
              <w:t xml:space="preserve"> în cazul în care sunt îndeplinite cumulativ următoarele condiții:</w:t>
            </w:r>
          </w:p>
          <w:p w14:paraId="32AF583B" w14:textId="77777777" w:rsidR="0019110C" w:rsidRPr="006F5136" w:rsidRDefault="0019110C"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prospectul de emisiune al OPC-ului sau documentul echivalent include următoarele:</w:t>
            </w:r>
          </w:p>
          <w:p w14:paraId="0BD8AE5F" w14:textId="77777777" w:rsidR="0019110C" w:rsidRPr="006F5136" w:rsidRDefault="0019110C"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categoriile de active în care OPC-ul este autorizat să investească;</w:t>
            </w:r>
          </w:p>
          <w:p w14:paraId="12A62B4F" w14:textId="77777777" w:rsidR="0019110C" w:rsidRPr="006F5136" w:rsidRDefault="0019110C"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b) dacă se aplică limite în ceea ce privește investițiile, limitele relative și metodologiile de calcul al acestora;</w:t>
            </w:r>
          </w:p>
          <w:p w14:paraId="0BD84367" w14:textId="77777777" w:rsidR="0019110C" w:rsidRPr="006F5136" w:rsidRDefault="0019110C"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raportarea realizată pentru bancă de către OPC sau de societatea de administrare a OPC-ului respectă următoarele cerințe:</w:t>
            </w:r>
          </w:p>
          <w:p w14:paraId="029E87C2" w14:textId="77777777" w:rsidR="0019110C" w:rsidRPr="006F5136" w:rsidRDefault="0019110C"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expunerile OPC-ului sunt raportate cel puțin la fel de frecvent ca cele ale băncii;</w:t>
            </w:r>
          </w:p>
          <w:p w14:paraId="16CADFF1" w14:textId="77777777" w:rsidR="0019110C" w:rsidRPr="006F5136" w:rsidRDefault="0019110C"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b) nivelul de detaliu al informațiilor financiare este suficient pentru a permite băncii să calculeze valoarea expunerii ponderate la risc OPC-ului în conformitate cu abordarea aleasă de bancă;</w:t>
            </w:r>
          </w:p>
          <w:p w14:paraId="7FFDD872" w14:textId="1A559CDC" w:rsidR="0019110C" w:rsidRPr="006F5136" w:rsidRDefault="0019110C"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c) în cazul în care banca aplică abordarea de tip look-through, informațiile privind expunerile-suport sunt verificate de o parte terță independentă.</w:t>
            </w:r>
          </w:p>
          <w:p w14:paraId="086EC563" w14:textId="796E28CA" w:rsidR="00C65862" w:rsidRPr="006F5136" w:rsidRDefault="00C65862" w:rsidP="005E4694">
            <w:pPr>
              <w:spacing w:after="0" w:line="240" w:lineRule="auto"/>
              <w:jc w:val="both"/>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6CC14881" w14:textId="77777777" w:rsidR="0027576A" w:rsidRPr="006F5136" w:rsidRDefault="0027576A" w:rsidP="005E4694">
            <w:pPr>
              <w:spacing w:after="0" w:line="240" w:lineRule="auto"/>
              <w:rPr>
                <w:rFonts w:ascii="Times New Roman" w:hAnsi="Times New Roman" w:cs="Times New Roman"/>
                <w:sz w:val="18"/>
                <w:szCs w:val="18"/>
                <w:lang w:val="ro-RO"/>
              </w:rPr>
            </w:pPr>
          </w:p>
          <w:p w14:paraId="79C6EF18" w14:textId="60481315" w:rsidR="0027576A" w:rsidRPr="006F5136" w:rsidRDefault="00C65862"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Parțial compatibil</w:t>
            </w:r>
          </w:p>
        </w:tc>
        <w:tc>
          <w:tcPr>
            <w:tcW w:w="912" w:type="pct"/>
          </w:tcPr>
          <w:p w14:paraId="4A1FC602" w14:textId="488A4A26" w:rsidR="0027576A" w:rsidRPr="006F5136" w:rsidRDefault="0027576A" w:rsidP="005E4694">
            <w:pPr>
              <w:spacing w:after="0" w:line="240" w:lineRule="auto"/>
              <w:jc w:val="both"/>
              <w:rPr>
                <w:rFonts w:ascii="Times New Roman" w:hAnsi="Times New Roman" w:cs="Times New Roman"/>
                <w:sz w:val="18"/>
                <w:szCs w:val="18"/>
                <w:lang w:val="ro-RO"/>
              </w:rPr>
            </w:pPr>
          </w:p>
          <w:p w14:paraId="55C26597" w14:textId="1DC03896" w:rsidR="001414D9" w:rsidRDefault="001414D9" w:rsidP="005E4694">
            <w:pPr>
              <w:spacing w:after="0" w:line="240" w:lineRule="auto"/>
              <w:jc w:val="both"/>
              <w:rPr>
                <w:rFonts w:ascii="Times New Roman" w:hAnsi="Times New Roman" w:cs="Times New Roman"/>
                <w:sz w:val="20"/>
                <w:szCs w:val="20"/>
                <w:lang w:val="ro-RO"/>
              </w:rPr>
            </w:pPr>
            <w:r w:rsidRPr="00CB3F3F">
              <w:rPr>
                <w:rFonts w:ascii="Times New Roman" w:hAnsi="Times New Roman" w:cs="Times New Roman"/>
                <w:sz w:val="20"/>
                <w:szCs w:val="20"/>
                <w:lang w:val="ro-RO"/>
              </w:rPr>
              <w:t>Regulamentul nr.111/2018</w:t>
            </w:r>
          </w:p>
          <w:p w14:paraId="3D166AD4" w14:textId="77777777" w:rsidR="001414D9" w:rsidRDefault="001414D9" w:rsidP="005E4694">
            <w:pPr>
              <w:spacing w:after="0" w:line="240" w:lineRule="auto"/>
              <w:jc w:val="both"/>
              <w:rPr>
                <w:rFonts w:ascii="Times New Roman" w:hAnsi="Times New Roman" w:cs="Times New Roman"/>
                <w:sz w:val="18"/>
                <w:szCs w:val="18"/>
                <w:lang w:val="ro-RO"/>
              </w:rPr>
            </w:pPr>
          </w:p>
          <w:p w14:paraId="3FFC243A" w14:textId="73030421" w:rsidR="0027576A" w:rsidRPr="006F5136" w:rsidRDefault="00C65862"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 xml:space="preserve">Prevederile aferente FIA administrat de un AFIA din UE autorizat și din afara UE autorizat conform Directivei 2011/61/UE </w:t>
            </w:r>
            <w:r w:rsidR="002946D4" w:rsidRPr="006F5136">
              <w:rPr>
                <w:rFonts w:ascii="Times New Roman" w:hAnsi="Times New Roman" w:cs="Times New Roman"/>
                <w:sz w:val="18"/>
                <w:szCs w:val="18"/>
                <w:lang w:val="ro-RO"/>
              </w:rPr>
              <w:t>urmează a fi transpuse ulterior, cu dezvoltarea cadrului de transpunere a Directivei 2011/61/UE</w:t>
            </w:r>
            <w:r w:rsidRPr="006F5136">
              <w:rPr>
                <w:rFonts w:ascii="Times New Roman" w:hAnsi="Times New Roman" w:cs="Times New Roman"/>
                <w:sz w:val="18"/>
                <w:szCs w:val="18"/>
                <w:lang w:val="ro-RO"/>
              </w:rPr>
              <w:t>.</w:t>
            </w:r>
          </w:p>
          <w:p w14:paraId="47069552" w14:textId="77777777" w:rsidR="0027576A" w:rsidRPr="006F5136" w:rsidRDefault="0027576A" w:rsidP="005E4694">
            <w:pPr>
              <w:spacing w:after="0" w:line="240" w:lineRule="auto"/>
              <w:jc w:val="both"/>
              <w:rPr>
                <w:rFonts w:ascii="Times New Roman" w:hAnsi="Times New Roman" w:cs="Times New Roman"/>
                <w:sz w:val="18"/>
                <w:szCs w:val="18"/>
                <w:lang w:val="ro-RO"/>
              </w:rPr>
            </w:pPr>
          </w:p>
          <w:p w14:paraId="629B32DE" w14:textId="77777777" w:rsidR="0027576A" w:rsidRPr="006F5136" w:rsidRDefault="0027576A" w:rsidP="005E4694">
            <w:pPr>
              <w:spacing w:after="0" w:line="240" w:lineRule="auto"/>
              <w:jc w:val="both"/>
              <w:rPr>
                <w:rFonts w:ascii="Times New Roman" w:hAnsi="Times New Roman" w:cs="Times New Roman"/>
                <w:sz w:val="18"/>
                <w:szCs w:val="18"/>
                <w:lang w:val="ro-RO"/>
              </w:rPr>
            </w:pPr>
          </w:p>
          <w:p w14:paraId="76FB64CF" w14:textId="77777777" w:rsidR="0027576A" w:rsidRPr="006F5136" w:rsidRDefault="0027576A" w:rsidP="005E4694">
            <w:pPr>
              <w:spacing w:after="0" w:line="240" w:lineRule="auto"/>
              <w:jc w:val="both"/>
              <w:rPr>
                <w:rFonts w:ascii="Times New Roman" w:hAnsi="Times New Roman" w:cs="Times New Roman"/>
                <w:sz w:val="18"/>
                <w:szCs w:val="18"/>
                <w:lang w:val="ro-RO"/>
              </w:rPr>
            </w:pPr>
          </w:p>
        </w:tc>
      </w:tr>
      <w:tr w:rsidR="00061310" w:rsidRPr="006F5136" w14:paraId="20432AC7"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1"/>
        </w:trPr>
        <w:tc>
          <w:tcPr>
            <w:tcW w:w="1924" w:type="pct"/>
          </w:tcPr>
          <w:p w14:paraId="6271218B"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Prin derogare de la primul paragraf litera (a) din prezentul alineat, băncile multilaterale și bilaterale de dezvoltare și alte instituții care investesc într-un OPC împreună cu bănci multilaterale sau bilaterale de dezvoltare pot determina valoarea expunerii ponderate la risc pentru expunerile respectivului OPC în conformitate cu abordările prevăzute la articolul 132a, cu condiția îndeplinirii condițiilor prevăzute la primul paragraf literele (b) și (c) din prezentul alineat și cu condiția ca mandatul de investiții al OPC-ului să limiteze tipurile de active în care OPC-ul poate investi la active care promovează dezvoltarea durabilă în țările în curs de dezvoltare.</w:t>
            </w:r>
          </w:p>
          <w:p w14:paraId="2920AFC2"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p>
          <w:p w14:paraId="66036C48"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Instituțiile notifică autorității lor competente OPC-urile cărora le aplică tratamentul menționat la al doilea paragraf.</w:t>
            </w:r>
          </w:p>
          <w:p w14:paraId="2C5DF8F3"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p>
          <w:p w14:paraId="55AE9FD1" w14:textId="2C24403F" w:rsidR="00061310" w:rsidRPr="006F5136" w:rsidRDefault="00061310" w:rsidP="00061310">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Prin derogare de la primul paragraf litera (c) punctul (i), în cazul în care instituția stabilește valoarea expunerii ponderate la risc pentru expunerile unui OPC în conformitate cu abordarea pe bază de mandat, raportarea realizată pentru instituție de către OPC sau de societatea de administrare a OPC-ului poate fi limitată la mandatul de investiții al OPC-ului și la eventualele modificări ale acestuia și poate fi efectuată numai atunci când instituția înregistrează pentru prima dată expunerea față de OPC și când are loc o modificare în mandatul de investiții al OPC-ului.</w:t>
            </w:r>
          </w:p>
        </w:tc>
        <w:tc>
          <w:tcPr>
            <w:tcW w:w="1661" w:type="pct"/>
            <w:shd w:val="clear" w:color="auto" w:fill="auto"/>
          </w:tcPr>
          <w:p w14:paraId="378B5A6E" w14:textId="77777777" w:rsidR="00061310" w:rsidRPr="006F5136" w:rsidRDefault="00061310" w:rsidP="00061310">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5</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Prin derogare de la punctul 82</w:t>
            </w:r>
            <w:r w:rsidRPr="006F5136">
              <w:rPr>
                <w:rFonts w:ascii="Times New Roman" w:eastAsia="Times New Roman" w:hAnsi="Times New Roman" w:cs="Times New Roman"/>
                <w:sz w:val="18"/>
                <w:szCs w:val="18"/>
                <w:vertAlign w:val="superscript"/>
                <w:lang w:val="ro-RO" w:eastAsia="ro-MD"/>
              </w:rPr>
              <w:t xml:space="preserve">4  </w:t>
            </w:r>
            <w:r w:rsidRPr="006F5136">
              <w:rPr>
                <w:rFonts w:ascii="Times New Roman" w:eastAsia="Times New Roman" w:hAnsi="Times New Roman" w:cs="Times New Roman"/>
                <w:sz w:val="18"/>
                <w:szCs w:val="18"/>
                <w:lang w:val="ro-RO" w:eastAsia="ro-MD"/>
              </w:rPr>
              <w:t>subpunctul 1), băncile multilaterale și bilaterale de dezvoltare și alte bănci care investesc într-un OPC împreună cu bănci multilaterale sau bilaterale de dezvoltare pot determina valoarea expunerii ponderate la risc pentru expunerile respectivului OPC în conformitate cu abordările prevăzute la punctele 82</w:t>
            </w:r>
            <w:r w:rsidRPr="006F5136">
              <w:rPr>
                <w:rFonts w:ascii="Times New Roman" w:eastAsia="Times New Roman" w:hAnsi="Times New Roman" w:cs="Times New Roman"/>
                <w:sz w:val="18"/>
                <w:szCs w:val="18"/>
                <w:vertAlign w:val="superscript"/>
                <w:lang w:val="ro-RO" w:eastAsia="ro-MD"/>
              </w:rPr>
              <w:t>14</w:t>
            </w:r>
            <w:r w:rsidRPr="006F5136">
              <w:rPr>
                <w:rFonts w:ascii="Times New Roman" w:eastAsia="Times New Roman" w:hAnsi="Times New Roman" w:cs="Times New Roman"/>
                <w:sz w:val="18"/>
                <w:szCs w:val="18"/>
                <w:lang w:val="ro-RO" w:eastAsia="ro-MD"/>
              </w:rPr>
              <w:t>-82</w:t>
            </w:r>
            <w:r w:rsidRPr="006F5136">
              <w:rPr>
                <w:rFonts w:ascii="Times New Roman" w:eastAsia="Times New Roman" w:hAnsi="Times New Roman" w:cs="Times New Roman"/>
                <w:sz w:val="18"/>
                <w:szCs w:val="18"/>
                <w:vertAlign w:val="superscript"/>
                <w:lang w:val="ro-RO" w:eastAsia="ro-MD"/>
              </w:rPr>
              <w:t>19</w:t>
            </w:r>
            <w:r w:rsidRPr="006F5136">
              <w:rPr>
                <w:rFonts w:ascii="Times New Roman" w:eastAsia="Times New Roman" w:hAnsi="Times New Roman" w:cs="Times New Roman"/>
                <w:sz w:val="18"/>
                <w:szCs w:val="18"/>
                <w:lang w:val="ro-RO" w:eastAsia="ro-MD"/>
              </w:rPr>
              <w:t>, cu condiția îndeplinirii condițiilor prevăzute la punctul 82</w:t>
            </w:r>
            <w:r w:rsidRPr="006F5136">
              <w:rPr>
                <w:rFonts w:ascii="Times New Roman" w:eastAsia="Times New Roman" w:hAnsi="Times New Roman" w:cs="Times New Roman"/>
                <w:sz w:val="18"/>
                <w:szCs w:val="18"/>
                <w:vertAlign w:val="superscript"/>
                <w:lang w:val="ro-RO" w:eastAsia="ro-MD"/>
              </w:rPr>
              <w:t xml:space="preserve">4  </w:t>
            </w:r>
            <w:r w:rsidRPr="006F5136">
              <w:rPr>
                <w:rFonts w:ascii="Times New Roman" w:eastAsia="Times New Roman" w:hAnsi="Times New Roman" w:cs="Times New Roman"/>
                <w:sz w:val="18"/>
                <w:szCs w:val="18"/>
                <w:lang w:val="ro-RO" w:eastAsia="ro-MD"/>
              </w:rPr>
              <w:t>subpunctele 2) și 3) și cu condiția ca mandatul de investiții al OPC-ului să limiteze tipurile de active în care OPC-ul poate investi la active care promovează dezvoltarea durabilă în țările în curs de dezvoltare.</w:t>
            </w:r>
          </w:p>
          <w:p w14:paraId="7818F810" w14:textId="77777777" w:rsidR="00061310" w:rsidRPr="006F5136" w:rsidRDefault="00061310" w:rsidP="00061310">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6</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Băncile notifică, în scris, imediat, Băncii Naționale a Moldovei OPC-urile cărora le aplică tratamentul menționat la punctul 82</w:t>
            </w:r>
            <w:r w:rsidRPr="006F5136">
              <w:rPr>
                <w:rFonts w:ascii="Times New Roman" w:eastAsia="Times New Roman" w:hAnsi="Times New Roman" w:cs="Times New Roman"/>
                <w:sz w:val="18"/>
                <w:szCs w:val="18"/>
                <w:vertAlign w:val="superscript"/>
                <w:lang w:val="ro-RO" w:eastAsia="ro-MD"/>
              </w:rPr>
              <w:t>5</w:t>
            </w:r>
            <w:r w:rsidRPr="006F5136">
              <w:rPr>
                <w:rFonts w:ascii="Times New Roman" w:eastAsia="Times New Roman" w:hAnsi="Times New Roman" w:cs="Times New Roman"/>
                <w:sz w:val="18"/>
                <w:szCs w:val="18"/>
                <w:lang w:val="ro-RO" w:eastAsia="ro-MD"/>
              </w:rPr>
              <w:t>.</w:t>
            </w:r>
          </w:p>
          <w:p w14:paraId="6E25B3F1" w14:textId="77777777" w:rsidR="00061310" w:rsidRPr="006F5136" w:rsidRDefault="00061310" w:rsidP="00061310">
            <w:pPr>
              <w:pStyle w:val="CM4"/>
              <w:tabs>
                <w:tab w:val="left" w:pos="150"/>
              </w:tabs>
              <w:ind w:left="-36"/>
              <w:rPr>
                <w:rFonts w:ascii="Times New Roman" w:hAnsi="Times New Roman"/>
                <w:sz w:val="18"/>
                <w:szCs w:val="18"/>
                <w:lang w:val="ro-RO" w:eastAsia="ro-MD"/>
              </w:rPr>
            </w:pPr>
            <w:r w:rsidRPr="006F5136">
              <w:rPr>
                <w:rFonts w:ascii="Times New Roman" w:hAnsi="Times New Roman"/>
                <w:b/>
                <w:bCs/>
                <w:sz w:val="18"/>
                <w:szCs w:val="18"/>
                <w:lang w:val="ro-RO" w:eastAsia="ro-MD"/>
              </w:rPr>
              <w:t>82</w:t>
            </w:r>
            <w:r w:rsidRPr="006F5136">
              <w:rPr>
                <w:rFonts w:ascii="Times New Roman" w:hAnsi="Times New Roman"/>
                <w:b/>
                <w:bCs/>
                <w:sz w:val="18"/>
                <w:szCs w:val="18"/>
                <w:vertAlign w:val="superscript"/>
                <w:lang w:val="ro-RO" w:eastAsia="ro-MD"/>
              </w:rPr>
              <w:t>7</w:t>
            </w:r>
            <w:r w:rsidRPr="006F5136">
              <w:rPr>
                <w:rFonts w:ascii="Times New Roman" w:hAnsi="Times New Roman"/>
                <w:b/>
                <w:bCs/>
                <w:sz w:val="18"/>
                <w:szCs w:val="18"/>
                <w:lang w:val="ro-RO" w:eastAsia="ro-MD"/>
              </w:rPr>
              <w:t xml:space="preserve">. </w:t>
            </w:r>
            <w:r w:rsidRPr="006F5136">
              <w:rPr>
                <w:rFonts w:ascii="Times New Roman" w:hAnsi="Times New Roman"/>
                <w:sz w:val="18"/>
                <w:szCs w:val="18"/>
                <w:lang w:val="ro-RO" w:eastAsia="ro-MD"/>
              </w:rPr>
              <w:t>Prin derogare de la punctul 82</w:t>
            </w:r>
            <w:r w:rsidRPr="006F5136">
              <w:rPr>
                <w:rFonts w:ascii="Times New Roman" w:hAnsi="Times New Roman"/>
                <w:sz w:val="18"/>
                <w:szCs w:val="18"/>
                <w:vertAlign w:val="superscript"/>
                <w:lang w:val="ro-RO" w:eastAsia="ro-MD"/>
              </w:rPr>
              <w:t xml:space="preserve">4 </w:t>
            </w:r>
            <w:r w:rsidRPr="006F5136">
              <w:rPr>
                <w:rFonts w:ascii="Times New Roman" w:hAnsi="Times New Roman"/>
                <w:sz w:val="18"/>
                <w:szCs w:val="18"/>
                <w:lang w:val="ro-RO" w:eastAsia="ro-MD"/>
              </w:rPr>
              <w:t>subpunctul 3) litera a), în cazul în care banca stabilește valoarea expunerii ponderate la risc pentru expunerile unui OPC în conformitate cu abordarea pe bază de mandat, raportarea realizată pentru bancă de către OPC sau de societatea de administrare a OPC-ului poate fi limitată la mandatul de investiții al OPC-ului și la eventualele modificări ale acestuia și poate fi efectuată numai atunci când banca înregistrează pentru prima dată expunerea față de OPC și când are loc o modificare în mandatul de investiții al OPC-ului.</w:t>
            </w:r>
          </w:p>
          <w:p w14:paraId="27360864" w14:textId="37751DC9" w:rsidR="00061310" w:rsidRPr="006F5136" w:rsidRDefault="00061310" w:rsidP="00061310">
            <w:pPr>
              <w:pStyle w:val="CM4"/>
              <w:tabs>
                <w:tab w:val="left" w:pos="150"/>
              </w:tabs>
              <w:ind w:left="-36"/>
              <w:rPr>
                <w:rFonts w:ascii="Times New Roman" w:hAnsi="Times New Roman"/>
                <w:sz w:val="18"/>
                <w:szCs w:val="18"/>
                <w:lang w:val="ro-RO" w:eastAsia="ru-RU"/>
              </w:rPr>
            </w:pPr>
            <w:r w:rsidRPr="006F5136">
              <w:rPr>
                <w:rFonts w:ascii="Times New Roman" w:hAnsi="Times New Roman"/>
                <w:i/>
                <w:iCs/>
                <w:sz w:val="18"/>
                <w:szCs w:val="18"/>
                <w:lang w:val="ro-RO" w:eastAsia="ro-MD"/>
              </w:rPr>
              <w:t>Proiectul HCE al BNM privind modificarea Regulamentului nr.111/2018</w:t>
            </w:r>
          </w:p>
        </w:tc>
        <w:tc>
          <w:tcPr>
            <w:tcW w:w="503" w:type="pct"/>
          </w:tcPr>
          <w:p w14:paraId="5EECBAA5" w14:textId="4FB504AA" w:rsidR="00061310" w:rsidRPr="006F5136" w:rsidRDefault="00061310" w:rsidP="00061310">
            <w:pPr>
              <w:spacing w:after="0" w:line="240" w:lineRule="auto"/>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3AC12F5F" w14:textId="6E80C160"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061310" w:rsidRPr="006F5136" w14:paraId="055E2C7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122ACCD"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 Instituțiile care nu dispun de date sau informații adecvate pentru a calcula valoarea expunerii ponderate la risc pentru expunerile unui OPC în conformitate cu abordările descrise la articolul 132a se pot baza pe calculele efectuate de o parte terță, dacă sunt îndeplinite cumulativ următoarele condiții:</w:t>
            </w:r>
          </w:p>
          <w:p w14:paraId="3A25A872" w14:textId="22B642B6" w:rsidR="00061310" w:rsidRPr="006F5136" w:rsidRDefault="00061310" w:rsidP="00061310">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partea terță este:</w:t>
            </w:r>
          </w:p>
          <w:p w14:paraId="51BBFB7C"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p>
          <w:p w14:paraId="5CFC9ACB" w14:textId="7E627883" w:rsidR="00061310" w:rsidRPr="006F5136" w:rsidRDefault="00061310" w:rsidP="00061310">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 instituția depozitară sau instituția financiară depozitară a OPC-ului, cu condiția ca OPC-ul să investească exclusiv în titluri de valoare și să depoziteze toate titlurile de valoare la această instituție depozitară sau instituție financiară depozitară;</w:t>
            </w:r>
          </w:p>
          <w:p w14:paraId="61CB5661"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p>
          <w:p w14:paraId="50BDB203"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(ii) </w:t>
            </w:r>
          </w:p>
          <w:p w14:paraId="1862F0B6"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pentru OPC-urile care nu se încadrează la punctul (i) de la prezenta literă, societatea de administrare a OPC-ului, cu condiția ca această societate să îndeplinească condiția prevăzută la alineatul (3) litera (a);</w:t>
            </w:r>
          </w:p>
          <w:p w14:paraId="26B944DE"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p>
          <w:p w14:paraId="3D71FD6B" w14:textId="452A032E" w:rsidR="00061310" w:rsidRPr="006F5136" w:rsidRDefault="00061310" w:rsidP="00061310">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partea terță efectuează calculul în conformitate cu abordările prevăzute la articolul 132a alineatul (1), (2) sau (3), după caz;</w:t>
            </w:r>
          </w:p>
          <w:p w14:paraId="5913D560"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p>
          <w:p w14:paraId="000A38AC" w14:textId="77C8C4FD" w:rsidR="00061310" w:rsidRPr="006F5136" w:rsidRDefault="00061310" w:rsidP="00061310">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 un auditor extern a confirmat corectitudinea calculului efectuat de partea terță.</w:t>
            </w:r>
          </w:p>
          <w:p w14:paraId="232CD050"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p>
          <w:p w14:paraId="09405EE4"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Instituțiile care se bazează pe calcule efectuate de terți înmulțesc valoarea expunerii ponderate la risc pentru expunerile unui OPC rezultată în urma acestor calcule cu un factor de 1,2.</w:t>
            </w:r>
          </w:p>
          <w:p w14:paraId="0584F912"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p>
          <w:p w14:paraId="566C39C3" w14:textId="5953C968" w:rsidR="00061310" w:rsidRPr="006F5136" w:rsidRDefault="00061310" w:rsidP="00061310">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Prin derogare de la al doilea paragraf, în cazul în care instituția dispune de acces nerestricționat la calculele detaliate efectuate de partea terță, nu se aplică factorul de 1,2. Instituția furnizează, la cerere, calculele respective autorității competente.</w:t>
            </w:r>
          </w:p>
        </w:tc>
        <w:tc>
          <w:tcPr>
            <w:tcW w:w="1661" w:type="pct"/>
            <w:shd w:val="clear" w:color="auto" w:fill="auto"/>
          </w:tcPr>
          <w:p w14:paraId="6AC7572F" w14:textId="77777777" w:rsidR="00061310" w:rsidRPr="006F5136" w:rsidRDefault="00061310" w:rsidP="00061310">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8</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Băncile care nu dispun de date sau informații adecvate pentru a calcula valoarea expunerii ponderate la risc pentru expunerile unui OPC în conformitate cu abordările descrise la punctele 82</w:t>
            </w:r>
            <w:r w:rsidRPr="006F5136">
              <w:rPr>
                <w:rFonts w:ascii="Times New Roman" w:eastAsia="Times New Roman" w:hAnsi="Times New Roman" w:cs="Times New Roman"/>
                <w:sz w:val="18"/>
                <w:szCs w:val="18"/>
                <w:vertAlign w:val="superscript"/>
                <w:lang w:val="ro-RO" w:eastAsia="ro-MD"/>
              </w:rPr>
              <w:t>14</w:t>
            </w:r>
            <w:r w:rsidRPr="006F5136">
              <w:rPr>
                <w:rFonts w:ascii="Times New Roman" w:eastAsia="Times New Roman" w:hAnsi="Times New Roman" w:cs="Times New Roman"/>
                <w:sz w:val="18"/>
                <w:szCs w:val="18"/>
                <w:lang w:val="ro-RO" w:eastAsia="ro-MD"/>
              </w:rPr>
              <w:t>-82</w:t>
            </w:r>
            <w:r w:rsidRPr="006F5136">
              <w:rPr>
                <w:rFonts w:ascii="Times New Roman" w:eastAsia="Times New Roman" w:hAnsi="Times New Roman" w:cs="Times New Roman"/>
                <w:sz w:val="18"/>
                <w:szCs w:val="18"/>
                <w:vertAlign w:val="superscript"/>
                <w:lang w:val="ro-RO" w:eastAsia="ro-MD"/>
              </w:rPr>
              <w:t>19</w:t>
            </w:r>
            <w:r w:rsidRPr="006F5136">
              <w:rPr>
                <w:rFonts w:ascii="Times New Roman" w:eastAsia="Times New Roman" w:hAnsi="Times New Roman" w:cs="Times New Roman"/>
                <w:sz w:val="18"/>
                <w:szCs w:val="18"/>
                <w:lang w:val="ro-RO" w:eastAsia="ro-MD"/>
              </w:rPr>
              <w:t xml:space="preserve"> se pot baza pe calculele efectuate de o parte terță, dacă sunt îndeplinite cumulativ următoarele condiții:</w:t>
            </w:r>
          </w:p>
          <w:p w14:paraId="7C689171" w14:textId="77777777" w:rsidR="00061310" w:rsidRPr="006F5136" w:rsidRDefault="00061310" w:rsidP="00061310">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partea terță este:</w:t>
            </w:r>
          </w:p>
          <w:p w14:paraId="52A0A77E" w14:textId="77777777" w:rsidR="00061310" w:rsidRPr="006F5136" w:rsidRDefault="00061310" w:rsidP="00061310">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banca depozitară sau societatea financiară nonbancară depozitară a OPC-ului, cu condiția ca OPC-ul să investească exclusiv în titluri de valoare și să depoziteze toate titlurile de valoare la această bancă depozitară sau societate financiară nonbancară depozitară;</w:t>
            </w:r>
          </w:p>
          <w:p w14:paraId="784667F5" w14:textId="77777777" w:rsidR="00061310" w:rsidRPr="006F5136" w:rsidRDefault="00061310" w:rsidP="00061310">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xml:space="preserve">b) pentru OPC-urile care nu se încadrează la litera a), societatea de administrare a OPC-ului, cu condiția ca această societate să îndeplinească condiția prevăzută la punctul </w:t>
            </w: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4</w:t>
            </w:r>
            <w:r w:rsidRPr="006F5136">
              <w:rPr>
                <w:rFonts w:ascii="Times New Roman" w:eastAsia="Times New Roman" w:hAnsi="Times New Roman" w:cs="Times New Roman"/>
                <w:sz w:val="18"/>
                <w:szCs w:val="18"/>
                <w:lang w:val="ro-RO" w:eastAsia="ro-MD"/>
              </w:rPr>
              <w:t xml:space="preserve"> subpunctul 1);</w:t>
            </w:r>
          </w:p>
          <w:p w14:paraId="400F2461" w14:textId="77777777" w:rsidR="00061310" w:rsidRPr="006F5136" w:rsidRDefault="00061310" w:rsidP="00061310">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partea terță efectuează calculul în conformitate cu abordările prevăzute la punctele 82</w:t>
            </w:r>
            <w:r w:rsidRPr="006F5136">
              <w:rPr>
                <w:rFonts w:ascii="Times New Roman" w:eastAsia="Times New Roman" w:hAnsi="Times New Roman" w:cs="Times New Roman"/>
                <w:sz w:val="18"/>
                <w:szCs w:val="18"/>
                <w:vertAlign w:val="superscript"/>
                <w:lang w:val="ro-RO" w:eastAsia="ro-MD"/>
              </w:rPr>
              <w:t xml:space="preserve">14 </w:t>
            </w:r>
            <w:r w:rsidRPr="006F5136">
              <w:rPr>
                <w:rFonts w:ascii="Times New Roman" w:eastAsia="Times New Roman" w:hAnsi="Times New Roman" w:cs="Times New Roman"/>
                <w:sz w:val="18"/>
                <w:szCs w:val="18"/>
                <w:lang w:val="ro-RO" w:eastAsia="ro-MD"/>
              </w:rPr>
              <w:t>- 82</w:t>
            </w:r>
            <w:r w:rsidRPr="006F5136">
              <w:rPr>
                <w:rFonts w:ascii="Times New Roman" w:eastAsia="Times New Roman" w:hAnsi="Times New Roman" w:cs="Times New Roman"/>
                <w:sz w:val="18"/>
                <w:szCs w:val="18"/>
                <w:vertAlign w:val="superscript"/>
                <w:lang w:val="ro-RO" w:eastAsia="ro-MD"/>
              </w:rPr>
              <w:t>19</w:t>
            </w:r>
            <w:r w:rsidRPr="006F5136">
              <w:rPr>
                <w:rFonts w:ascii="Times New Roman" w:eastAsia="Times New Roman" w:hAnsi="Times New Roman" w:cs="Times New Roman"/>
                <w:sz w:val="18"/>
                <w:szCs w:val="18"/>
                <w:lang w:val="ro-RO" w:eastAsia="ro-MD"/>
              </w:rPr>
              <w:t>, după caz;</w:t>
            </w:r>
          </w:p>
          <w:p w14:paraId="1FF3792D" w14:textId="20E59895" w:rsidR="00061310" w:rsidRPr="006F5136" w:rsidRDefault="00061310" w:rsidP="00061310">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un auditor extern a confirmat corectitudinea calculului efectuat de partea terță.</w:t>
            </w:r>
          </w:p>
          <w:p w14:paraId="5A7C8851" w14:textId="2C4D18AF" w:rsidR="00061310" w:rsidRPr="006F5136" w:rsidRDefault="00061310" w:rsidP="00061310">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9</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 xml:space="preserve">Băncile care se bazează pe calcule efectuate de terți înmulțesc valoarea expunerii ponderate la risc pentru expunerile unui OPC rezultată în urma acestor calcule cu un factor de 1,2. </w:t>
            </w:r>
          </w:p>
          <w:p w14:paraId="37BFEDCF" w14:textId="77777777" w:rsidR="00061310" w:rsidRPr="006F5136" w:rsidRDefault="00061310" w:rsidP="00061310">
            <w:pPr>
              <w:pStyle w:val="CM4"/>
              <w:tabs>
                <w:tab w:val="left" w:pos="150"/>
              </w:tabs>
              <w:ind w:left="-36"/>
              <w:rPr>
                <w:rFonts w:ascii="Times New Roman" w:hAnsi="Times New Roman"/>
                <w:sz w:val="18"/>
                <w:szCs w:val="18"/>
                <w:lang w:val="ro-RO" w:eastAsia="ro-MD"/>
              </w:rPr>
            </w:pPr>
            <w:r w:rsidRPr="006F5136">
              <w:rPr>
                <w:rFonts w:ascii="Times New Roman" w:hAnsi="Times New Roman"/>
                <w:b/>
                <w:bCs/>
                <w:sz w:val="18"/>
                <w:szCs w:val="18"/>
                <w:lang w:val="ro-RO" w:eastAsia="ro-MD"/>
              </w:rPr>
              <w:t>82</w:t>
            </w:r>
            <w:r w:rsidRPr="006F5136">
              <w:rPr>
                <w:rFonts w:ascii="Times New Roman" w:hAnsi="Times New Roman"/>
                <w:b/>
                <w:bCs/>
                <w:sz w:val="18"/>
                <w:szCs w:val="18"/>
                <w:vertAlign w:val="superscript"/>
                <w:lang w:val="ro-RO" w:eastAsia="ro-MD"/>
              </w:rPr>
              <w:t>10</w:t>
            </w:r>
            <w:r w:rsidRPr="006F5136">
              <w:rPr>
                <w:rFonts w:ascii="Times New Roman" w:hAnsi="Times New Roman"/>
                <w:b/>
                <w:bCs/>
                <w:sz w:val="18"/>
                <w:szCs w:val="18"/>
                <w:lang w:val="ro-RO" w:eastAsia="ro-MD"/>
              </w:rPr>
              <w:t xml:space="preserve">. </w:t>
            </w:r>
            <w:r w:rsidRPr="006F5136">
              <w:rPr>
                <w:rFonts w:ascii="Times New Roman" w:hAnsi="Times New Roman"/>
                <w:sz w:val="18"/>
                <w:szCs w:val="18"/>
                <w:lang w:val="ro-RO" w:eastAsia="ro-MD"/>
              </w:rPr>
              <w:t>Prin derogare de la punctul 82</w:t>
            </w:r>
            <w:r w:rsidRPr="006F5136">
              <w:rPr>
                <w:rFonts w:ascii="Times New Roman" w:hAnsi="Times New Roman"/>
                <w:sz w:val="18"/>
                <w:szCs w:val="18"/>
                <w:vertAlign w:val="superscript"/>
                <w:lang w:val="ro-RO" w:eastAsia="ro-MD"/>
              </w:rPr>
              <w:t>9</w:t>
            </w:r>
            <w:r w:rsidRPr="006F5136">
              <w:rPr>
                <w:rFonts w:ascii="Times New Roman" w:hAnsi="Times New Roman"/>
                <w:sz w:val="18"/>
                <w:szCs w:val="18"/>
                <w:lang w:val="ro-RO" w:eastAsia="ro-MD"/>
              </w:rPr>
              <w:t>, în cazul în care banca dispune de acces nerestricționat la calculele detaliate efectuate de partea terță, nu se aplică factorul de 1,2. Banca furnizează, la cererea Băncii Naționale a Moldovei, calculele respective.</w:t>
            </w:r>
          </w:p>
          <w:p w14:paraId="10F0E43B" w14:textId="5912FB42" w:rsidR="00061310" w:rsidRPr="006F5136" w:rsidRDefault="00061310" w:rsidP="00061310">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04705E9D" w14:textId="10487BC5" w:rsidR="00061310" w:rsidRPr="006F5136" w:rsidRDefault="00061310" w:rsidP="00061310">
            <w:pPr>
              <w:spacing w:after="0" w:line="240" w:lineRule="auto"/>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65EA62D5" w14:textId="47C0E9B1"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061310" w:rsidRPr="006F5136" w14:paraId="12F888E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4763263"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(5) În cazul în care o instituție aplică abordările menționate la articolul 132a pentru a calcula valoarea expunerii ponderate la risc pentru expunerile unui OPC (denumit în continuare „OPC de nivel 1”) și oricare dintre expunerile-suport ale OPC-ului de nivel 1 este o expunere sub formă de unități sau acțiuni deținute într-un alt OPC (denumit în continuare „OPC de nivel 2”), valoarea expunerii ponderate la risc pentru expunerile OPC-ului de nivel 2 poate fi calculată utilizând oricare dintre cele trei abordări descrise la alineatul (2) din prezentul articol. Instituția poate utiliza abordarea de tip look-through pentru a calcula valorile expunerilor ponderate la risc pentru expunerile OPC-urilor de nivel 3 și de orice nivel ulterior numai în cazul în care a utilizat această abordare și pentru calculul de la nivelul anterior. În orice alt caz, instituția utilizează abordarea de rezervă (fall-back). </w:t>
            </w:r>
          </w:p>
          <w:p w14:paraId="7418FD75" w14:textId="48753015" w:rsidR="00061310" w:rsidRPr="006F5136" w:rsidRDefault="00061310" w:rsidP="00061310">
            <w:pPr>
              <w:spacing w:after="0" w:line="240" w:lineRule="auto"/>
              <w:jc w:val="both"/>
              <w:rPr>
                <w:rFonts w:ascii="Times New Roman" w:hAnsi="Times New Roman" w:cs="Times New Roman"/>
                <w:iCs/>
                <w:sz w:val="18"/>
                <w:szCs w:val="18"/>
                <w:lang w:val="ro-MD" w:eastAsia="ru-RU"/>
              </w:rPr>
            </w:pPr>
          </w:p>
        </w:tc>
        <w:tc>
          <w:tcPr>
            <w:tcW w:w="1661" w:type="pct"/>
            <w:shd w:val="clear" w:color="auto" w:fill="auto"/>
          </w:tcPr>
          <w:p w14:paraId="7294DAB8" w14:textId="77777777" w:rsidR="00061310" w:rsidRPr="006F5136" w:rsidRDefault="00061310" w:rsidP="00061310">
            <w:pPr>
              <w:pStyle w:val="CM4"/>
              <w:tabs>
                <w:tab w:val="left" w:pos="150"/>
              </w:tabs>
              <w:ind w:left="-36"/>
              <w:jc w:val="both"/>
              <w:rPr>
                <w:rFonts w:ascii="Times New Roman" w:hAnsi="Times New Roman"/>
                <w:sz w:val="18"/>
                <w:szCs w:val="18"/>
                <w:lang w:val="ro-RO" w:eastAsia="ro-MD"/>
              </w:rPr>
            </w:pPr>
            <w:r w:rsidRPr="006F5136">
              <w:rPr>
                <w:rFonts w:ascii="Times New Roman" w:hAnsi="Times New Roman"/>
                <w:b/>
                <w:bCs/>
                <w:sz w:val="18"/>
                <w:szCs w:val="18"/>
                <w:lang w:val="ro-RO" w:eastAsia="ro-MD"/>
              </w:rPr>
              <w:t>82</w:t>
            </w:r>
            <w:r w:rsidRPr="006F5136">
              <w:rPr>
                <w:rFonts w:ascii="Times New Roman" w:hAnsi="Times New Roman"/>
                <w:b/>
                <w:bCs/>
                <w:sz w:val="18"/>
                <w:szCs w:val="18"/>
                <w:vertAlign w:val="superscript"/>
                <w:lang w:val="ro-RO" w:eastAsia="ro-MD"/>
              </w:rPr>
              <w:t>11</w:t>
            </w:r>
            <w:r w:rsidRPr="006F5136">
              <w:rPr>
                <w:rFonts w:ascii="Times New Roman" w:hAnsi="Times New Roman"/>
                <w:b/>
                <w:bCs/>
                <w:sz w:val="18"/>
                <w:szCs w:val="18"/>
                <w:lang w:val="ro-RO" w:eastAsia="ro-MD"/>
              </w:rPr>
              <w:t xml:space="preserve">. </w:t>
            </w:r>
            <w:r w:rsidRPr="006F5136">
              <w:rPr>
                <w:rFonts w:ascii="Times New Roman" w:hAnsi="Times New Roman"/>
                <w:sz w:val="18"/>
                <w:szCs w:val="18"/>
                <w:lang w:val="ro-RO" w:eastAsia="ro-MD"/>
              </w:rPr>
              <w:t>În cazul în care o bancă aplică abordările menționate la punctele 82</w:t>
            </w:r>
            <w:r w:rsidRPr="006F5136">
              <w:rPr>
                <w:rFonts w:ascii="Times New Roman" w:hAnsi="Times New Roman"/>
                <w:sz w:val="18"/>
                <w:szCs w:val="18"/>
                <w:vertAlign w:val="superscript"/>
                <w:lang w:val="ro-RO" w:eastAsia="ro-MD"/>
              </w:rPr>
              <w:t>14</w:t>
            </w:r>
            <w:r w:rsidRPr="006F5136">
              <w:rPr>
                <w:rFonts w:ascii="Times New Roman" w:hAnsi="Times New Roman"/>
                <w:sz w:val="18"/>
                <w:szCs w:val="18"/>
                <w:lang w:val="ro-RO" w:eastAsia="ro-MD"/>
              </w:rPr>
              <w:t>-82</w:t>
            </w:r>
            <w:r w:rsidRPr="006F5136">
              <w:rPr>
                <w:rFonts w:ascii="Times New Roman" w:hAnsi="Times New Roman"/>
                <w:sz w:val="18"/>
                <w:szCs w:val="18"/>
                <w:vertAlign w:val="superscript"/>
                <w:lang w:val="ro-RO" w:eastAsia="ro-MD"/>
              </w:rPr>
              <w:t xml:space="preserve">19 </w:t>
            </w:r>
            <w:r w:rsidRPr="006F5136">
              <w:rPr>
                <w:rFonts w:ascii="Times New Roman" w:hAnsi="Times New Roman"/>
                <w:sz w:val="18"/>
                <w:szCs w:val="18"/>
                <w:lang w:val="ro-RO" w:eastAsia="ro-MD"/>
              </w:rPr>
              <w:t>pentru a calcula valoarea expunerii ponderate la risc pentru expunerile unui OPC (denumit în continuare „OPC de nivel 1”) și oricare dintre expunerile-suport ale OPC-ului de nivel 1 este o expunere sub formă de unități sau acțiuni deținute într-un alt OPC (denumit în continuare „OPC de nivel 2”), valoarea expunerii ponderate la risc pentru expunerile OPC-ului de nivel 2 poate fi calculată utilizând oricare dintre cele trei abordări descrise la punctele 82</w:t>
            </w:r>
            <w:r w:rsidRPr="006F5136">
              <w:rPr>
                <w:rFonts w:ascii="Times New Roman" w:hAnsi="Times New Roman"/>
                <w:sz w:val="18"/>
                <w:szCs w:val="18"/>
                <w:vertAlign w:val="superscript"/>
                <w:lang w:val="ro-RO" w:eastAsia="ro-MD"/>
              </w:rPr>
              <w:t>1</w:t>
            </w:r>
            <w:r w:rsidRPr="006F5136">
              <w:rPr>
                <w:rFonts w:ascii="Times New Roman" w:hAnsi="Times New Roman"/>
                <w:sz w:val="18"/>
                <w:szCs w:val="18"/>
                <w:lang w:val="ro-RO" w:eastAsia="ro-MD"/>
              </w:rPr>
              <w:t>-82</w:t>
            </w:r>
            <w:r w:rsidRPr="006F5136">
              <w:rPr>
                <w:rFonts w:ascii="Times New Roman" w:hAnsi="Times New Roman"/>
                <w:sz w:val="18"/>
                <w:szCs w:val="18"/>
                <w:vertAlign w:val="superscript"/>
                <w:lang w:val="ro-RO" w:eastAsia="ro-MD"/>
              </w:rPr>
              <w:t>3</w:t>
            </w:r>
            <w:r w:rsidRPr="006F5136">
              <w:rPr>
                <w:rFonts w:ascii="Times New Roman" w:hAnsi="Times New Roman"/>
                <w:sz w:val="18"/>
                <w:szCs w:val="18"/>
                <w:lang w:val="ro-RO" w:eastAsia="ro-MD"/>
              </w:rPr>
              <w:t>. Banca poate utiliza abordarea de tip look-through pentru a calcula valorile expunerilor ponderate la risc pentru expunerile OPC-urilor de nivel 3 și de orice nivel ulterior numai în cazul în care a utilizat această abordare și pentru calculul de la nivelul anterior. În orice alt caz, banca utilizează abordarea de rezervă (fall-back).</w:t>
            </w:r>
          </w:p>
          <w:p w14:paraId="57FFBF4B" w14:textId="797CA462" w:rsidR="00061310" w:rsidRPr="006F5136" w:rsidRDefault="00061310" w:rsidP="00061310">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095A8E78" w14:textId="421122CB"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72184C7C" w14:textId="267098FE"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061310" w:rsidRPr="006F5136" w14:paraId="47B4EC5D"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8AB7604" w14:textId="77777777" w:rsidR="00061310" w:rsidRPr="006F5136" w:rsidRDefault="00061310" w:rsidP="00061310">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hAnsi="Times New Roman" w:cs="Times New Roman"/>
                <w:iCs/>
                <w:sz w:val="18"/>
                <w:szCs w:val="18"/>
                <w:lang w:val="ro-RO" w:eastAsia="ru-RU"/>
              </w:rPr>
              <w:t xml:space="preserve">(6)   </w:t>
            </w:r>
            <w:r w:rsidRPr="006F5136">
              <w:rPr>
                <w:rFonts w:ascii="Times New Roman" w:eastAsia="Times New Roman" w:hAnsi="Times New Roman" w:cs="Times New Roman"/>
                <w:iCs/>
                <w:sz w:val="18"/>
                <w:szCs w:val="18"/>
                <w:lang w:val="ro-RO" w:eastAsia="ru-RU"/>
              </w:rPr>
              <w:t xml:space="preserve">Valoarea expunerii ponderate la risc a pentru expunerile unui OPC, calculată în conformitate cu abordarea de tip look-through și cu abordarea pe bază de mandat prevăzută la articolul 132a alineatele (1) și (2) este plafonată la nivelul valorii ponderate la risc al expunerilor respectivului OPC calculate în conformitate cu abordarea de rezervă (fall-back). </w:t>
            </w:r>
          </w:p>
          <w:p w14:paraId="3100CD3E"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p>
        </w:tc>
        <w:tc>
          <w:tcPr>
            <w:tcW w:w="1661" w:type="pct"/>
            <w:shd w:val="clear" w:color="auto" w:fill="auto"/>
          </w:tcPr>
          <w:p w14:paraId="366C0629" w14:textId="77777777" w:rsidR="00061310" w:rsidRPr="006F5136" w:rsidRDefault="00061310" w:rsidP="00061310">
            <w:pPr>
              <w:pStyle w:val="CM4"/>
              <w:tabs>
                <w:tab w:val="left" w:pos="150"/>
              </w:tabs>
              <w:ind w:left="-36"/>
              <w:jc w:val="both"/>
              <w:rPr>
                <w:rFonts w:ascii="Times New Roman" w:hAnsi="Times New Roman"/>
                <w:sz w:val="18"/>
                <w:szCs w:val="18"/>
                <w:lang w:val="ro-RO" w:eastAsia="ro-MD"/>
              </w:rPr>
            </w:pPr>
            <w:r w:rsidRPr="006F5136">
              <w:rPr>
                <w:rFonts w:ascii="Times New Roman" w:hAnsi="Times New Roman"/>
                <w:b/>
                <w:bCs/>
                <w:sz w:val="18"/>
                <w:szCs w:val="18"/>
                <w:lang w:val="ro-RO" w:eastAsia="ro-MD"/>
              </w:rPr>
              <w:t>82</w:t>
            </w:r>
            <w:r w:rsidRPr="006F5136">
              <w:rPr>
                <w:rFonts w:ascii="Times New Roman" w:hAnsi="Times New Roman"/>
                <w:b/>
                <w:bCs/>
                <w:sz w:val="18"/>
                <w:szCs w:val="18"/>
                <w:vertAlign w:val="superscript"/>
                <w:lang w:val="ro-RO" w:eastAsia="ro-MD"/>
              </w:rPr>
              <w:t>12</w:t>
            </w:r>
            <w:r w:rsidRPr="006F5136">
              <w:rPr>
                <w:rFonts w:ascii="Times New Roman" w:hAnsi="Times New Roman"/>
                <w:b/>
                <w:bCs/>
                <w:sz w:val="18"/>
                <w:szCs w:val="18"/>
                <w:lang w:val="ro-RO" w:eastAsia="ro-MD"/>
              </w:rPr>
              <w:t>.</w:t>
            </w:r>
            <w:r w:rsidRPr="006F5136">
              <w:rPr>
                <w:rFonts w:ascii="Times New Roman" w:hAnsi="Times New Roman"/>
                <w:sz w:val="18"/>
                <w:szCs w:val="18"/>
                <w:lang w:val="ro-RO" w:eastAsia="ro-MD"/>
              </w:rPr>
              <w:t xml:space="preserve"> Valoarea expunerii ponderate la risc pentru expunerile unui OPC, calculată în conformitate cu abordarea de tip look-through și cu abordarea pe bază de mandat prevăzută la punctele 82</w:t>
            </w:r>
            <w:r w:rsidRPr="006F5136">
              <w:rPr>
                <w:rFonts w:ascii="Times New Roman" w:hAnsi="Times New Roman"/>
                <w:sz w:val="18"/>
                <w:szCs w:val="18"/>
                <w:vertAlign w:val="superscript"/>
                <w:lang w:val="ro-RO" w:eastAsia="ro-MD"/>
              </w:rPr>
              <w:t>14</w:t>
            </w:r>
            <w:r w:rsidRPr="006F5136">
              <w:rPr>
                <w:rFonts w:ascii="Times New Roman" w:hAnsi="Times New Roman"/>
                <w:sz w:val="18"/>
                <w:szCs w:val="18"/>
                <w:lang w:val="ro-RO" w:eastAsia="ro-MD"/>
              </w:rPr>
              <w:t>-82</w:t>
            </w:r>
            <w:r w:rsidRPr="006F5136">
              <w:rPr>
                <w:rFonts w:ascii="Times New Roman" w:hAnsi="Times New Roman"/>
                <w:sz w:val="18"/>
                <w:szCs w:val="18"/>
                <w:vertAlign w:val="superscript"/>
                <w:lang w:val="ro-RO" w:eastAsia="ro-MD"/>
              </w:rPr>
              <w:t>17</w:t>
            </w:r>
            <w:r w:rsidRPr="006F5136">
              <w:rPr>
                <w:rFonts w:ascii="Times New Roman" w:hAnsi="Times New Roman"/>
                <w:sz w:val="18"/>
                <w:szCs w:val="18"/>
                <w:lang w:val="ro-RO" w:eastAsia="ro-MD"/>
              </w:rPr>
              <w:t xml:space="preserve"> este plafonată la nivelul valorii ponderate la risc al expunerilor respectivului OPC calculate în conformitate cu abordarea de rezervă (fall-back).</w:t>
            </w:r>
          </w:p>
          <w:p w14:paraId="06CE9AF9" w14:textId="6935198D" w:rsidR="00061310" w:rsidRPr="006F5136" w:rsidRDefault="00061310" w:rsidP="00061310">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3F1BE599" w14:textId="17B896B1"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2C43FFB1" w14:textId="1F79C50B"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061310" w:rsidRPr="006F5136" w14:paraId="44045040"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3C2BAF0" w14:textId="77777777" w:rsidR="00061310" w:rsidRPr="006F5136" w:rsidRDefault="00061310" w:rsidP="00061310">
            <w:pPr>
              <w:spacing w:after="0" w:line="240" w:lineRule="auto"/>
              <w:rPr>
                <w:rFonts w:ascii="Times New Roman" w:eastAsia="Times New Roman" w:hAnsi="Times New Roman" w:cs="Times New Roman"/>
                <w:sz w:val="18"/>
                <w:szCs w:val="18"/>
                <w:lang w:val="ro-MD" w:eastAsia="ro-MD"/>
              </w:rPr>
            </w:pPr>
            <w:r w:rsidRPr="006F5136">
              <w:rPr>
                <w:rFonts w:ascii="Times New Roman" w:eastAsia="Times New Roman" w:hAnsi="Times New Roman" w:cs="Times New Roman"/>
                <w:iCs/>
                <w:sz w:val="18"/>
                <w:szCs w:val="18"/>
                <w:lang w:val="ro-RO" w:eastAsia="ru-RU"/>
              </w:rPr>
              <w:t xml:space="preserve">(7)   </w:t>
            </w:r>
            <w:r w:rsidRPr="006F5136">
              <w:rPr>
                <w:rFonts w:ascii="Times New Roman" w:eastAsia="Arial Unicode MS" w:hAnsi="Times New Roman" w:cs="Times New Roman"/>
                <w:sz w:val="18"/>
                <w:szCs w:val="18"/>
                <w:shd w:val="clear" w:color="auto" w:fill="FFFFFF"/>
                <w:lang w:val="ro-MD" w:eastAsia="ro-MD"/>
              </w:rPr>
              <w:t>Prin derogare de la alineatul (1) din prezentul articol, instituțiile care aplică abordarea de tip look-through în conformitate cu articolul 132a alineatul (1) pot calcula valoarea expunerii ponderate la risc pentru expunerile lor sub formă de unități sau acțiuni deținute într-un OPC înmulțind valorile expunerilor pentru expunerile respective, calculate în conformitate cu articolul 111, cu ponderea de risc (</w:t>
            </w:r>
          </w:p>
          <w:p w14:paraId="208A698C" w14:textId="77777777" w:rsidR="00061310" w:rsidRPr="00A35D21" w:rsidRDefault="00061310" w:rsidP="00061310">
            <w:pPr>
              <w:shd w:val="clear" w:color="auto" w:fill="FFFFFF"/>
              <w:spacing w:after="0" w:line="240" w:lineRule="auto"/>
              <w:jc w:val="center"/>
              <w:rPr>
                <w:rFonts w:ascii="Times New Roman" w:eastAsia="Arial Unicode MS" w:hAnsi="Times New Roman" w:cs="Times New Roman"/>
                <w:sz w:val="18"/>
                <w:szCs w:val="18"/>
                <w:lang w:val="ro-MD" w:eastAsia="ro-MD"/>
              </w:rPr>
            </w:pPr>
            <w:r w:rsidRPr="006F5136">
              <w:rPr>
                <w:rFonts w:ascii="Times New Roman" w:eastAsia="Times New Roman" w:hAnsi="Times New Roman" w:cs="Times New Roman"/>
                <w:iCs/>
                <w:noProof/>
                <w:sz w:val="18"/>
                <w:szCs w:val="18"/>
                <w:lang w:val="ro-RO" w:eastAsia="ru-RU"/>
              </w:rPr>
              <w:drawing>
                <wp:inline distT="0" distB="0" distL="0" distR="0" wp14:anchorId="2C302984" wp14:editId="4EB58358">
                  <wp:extent cx="581025" cy="38100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1025" cy="381000"/>
                          </a:xfrm>
                          <a:prstGeom prst="rect">
                            <a:avLst/>
                          </a:prstGeom>
                          <a:noFill/>
                          <a:ln>
                            <a:noFill/>
                          </a:ln>
                        </pic:spPr>
                      </pic:pic>
                    </a:graphicData>
                  </a:graphic>
                </wp:inline>
              </w:drawing>
            </w:r>
          </w:p>
          <w:p w14:paraId="78FFE9F6" w14:textId="77777777" w:rsidR="00061310" w:rsidRPr="00A35D21" w:rsidRDefault="00061310" w:rsidP="00061310">
            <w:pPr>
              <w:spacing w:after="0" w:line="240" w:lineRule="auto"/>
              <w:rPr>
                <w:rFonts w:ascii="Times New Roman" w:eastAsia="Times New Roman" w:hAnsi="Times New Roman" w:cs="Times New Roman"/>
                <w:sz w:val="18"/>
                <w:szCs w:val="18"/>
                <w:lang w:val="ro-MD" w:eastAsia="ro-MD"/>
              </w:rPr>
            </w:pPr>
            <w:r w:rsidRPr="00A35D21">
              <w:rPr>
                <w:rFonts w:ascii="Times New Roman" w:eastAsia="Arial Unicode MS" w:hAnsi="Times New Roman" w:cs="Times New Roman"/>
                <w:sz w:val="18"/>
                <w:szCs w:val="18"/>
                <w:shd w:val="clear" w:color="auto" w:fill="FFFFFF"/>
                <w:lang w:val="ro-MD" w:eastAsia="ro-MD"/>
              </w:rPr>
              <w:t>) calculată în conformitate cu formula prevăzută la articolul 132c, dacă sunt îndeplinite următoarele condiții:</w:t>
            </w:r>
          </w:p>
          <w:p w14:paraId="0CBF74DC" w14:textId="77777777" w:rsidR="00061310" w:rsidRPr="00A35D21" w:rsidRDefault="00061310" w:rsidP="00061310">
            <w:pPr>
              <w:shd w:val="clear" w:color="auto" w:fill="FFFFFF"/>
              <w:spacing w:after="0" w:line="240" w:lineRule="auto"/>
              <w:jc w:val="both"/>
              <w:rPr>
                <w:rFonts w:ascii="Times New Roman" w:eastAsia="Arial Unicode MS" w:hAnsi="Times New Roman" w:cs="Times New Roman"/>
                <w:sz w:val="18"/>
                <w:szCs w:val="18"/>
                <w:lang w:val="ro-MD" w:eastAsia="ro-MD"/>
              </w:rPr>
            </w:pPr>
            <w:r w:rsidRPr="00A35D21">
              <w:rPr>
                <w:rFonts w:ascii="Times New Roman" w:eastAsia="Arial Unicode MS" w:hAnsi="Times New Roman" w:cs="Times New Roman"/>
                <w:sz w:val="18"/>
                <w:szCs w:val="18"/>
                <w:lang w:val="ro-MD" w:eastAsia="ro-MD"/>
              </w:rPr>
              <w:t>(a) instituțiile măsoară valoarea deținerilor lor de unități sau acțiuni într-un OPC la costul istoric, dar măsoară valoarea activelor subiacente ale OPC-ului la valoarea justă dacă aplică abordarea de tip look-through;</w:t>
            </w:r>
          </w:p>
          <w:p w14:paraId="27F2E461" w14:textId="77777777" w:rsidR="00061310" w:rsidRPr="00A35D21" w:rsidRDefault="00061310" w:rsidP="00061310">
            <w:pPr>
              <w:shd w:val="clear" w:color="auto" w:fill="FFFFFF"/>
              <w:spacing w:after="0" w:line="240" w:lineRule="auto"/>
              <w:jc w:val="both"/>
              <w:rPr>
                <w:rFonts w:ascii="Times New Roman" w:eastAsia="Arial Unicode MS" w:hAnsi="Times New Roman" w:cs="Times New Roman"/>
                <w:sz w:val="18"/>
                <w:szCs w:val="18"/>
                <w:lang w:val="ro-MD" w:eastAsia="ro-MD"/>
              </w:rPr>
            </w:pPr>
            <w:r w:rsidRPr="00A35D21">
              <w:rPr>
                <w:rFonts w:ascii="Times New Roman" w:eastAsia="Arial Unicode MS" w:hAnsi="Times New Roman" w:cs="Times New Roman"/>
                <w:sz w:val="18"/>
                <w:szCs w:val="18"/>
                <w:lang w:val="ro-MD" w:eastAsia="ro-MD"/>
              </w:rPr>
              <w:t>(b) o modificare a valorii de piață a unităților sau a acțiunilor pentru care instituțiile măsoară valoarea la costul istoric nu modifică nici cuantumul fondurilor proprii ale instituțiilor respective, nici valoarea expunerii asociată deținerilor respective.</w:t>
            </w:r>
          </w:p>
          <w:p w14:paraId="25473C35" w14:textId="77777777" w:rsidR="00061310" w:rsidRPr="006F5136" w:rsidRDefault="00061310" w:rsidP="00061310">
            <w:pPr>
              <w:pStyle w:val="CM4"/>
              <w:tabs>
                <w:tab w:val="left" w:pos="150"/>
              </w:tabs>
              <w:ind w:left="-43"/>
              <w:jc w:val="both"/>
              <w:rPr>
                <w:rFonts w:ascii="Times New Roman" w:hAnsi="Times New Roman"/>
                <w:iCs/>
                <w:sz w:val="18"/>
                <w:szCs w:val="18"/>
                <w:lang w:val="ro-RO" w:eastAsia="ru-RU"/>
              </w:rPr>
            </w:pPr>
          </w:p>
        </w:tc>
        <w:tc>
          <w:tcPr>
            <w:tcW w:w="1661" w:type="pct"/>
            <w:shd w:val="clear" w:color="auto" w:fill="auto"/>
          </w:tcPr>
          <w:p w14:paraId="4E6DF083" w14:textId="77777777" w:rsidR="00061310" w:rsidRPr="006F5136" w:rsidRDefault="00061310" w:rsidP="00061310">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13</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Prin derogare de la punctul 82, băncile care aplică abordarea de tip look-through în conformitate cu punctul 82</w:t>
            </w:r>
            <w:r w:rsidRPr="006F5136">
              <w:rPr>
                <w:rFonts w:ascii="Times New Roman" w:eastAsia="Times New Roman" w:hAnsi="Times New Roman" w:cs="Times New Roman"/>
                <w:sz w:val="18"/>
                <w:szCs w:val="18"/>
                <w:vertAlign w:val="superscript"/>
                <w:lang w:val="ro-RO" w:eastAsia="ro-MD"/>
              </w:rPr>
              <w:t>14</w:t>
            </w:r>
            <w:r w:rsidRPr="006F5136">
              <w:rPr>
                <w:rFonts w:ascii="Times New Roman" w:eastAsia="Times New Roman" w:hAnsi="Times New Roman" w:cs="Times New Roman"/>
                <w:sz w:val="18"/>
                <w:szCs w:val="18"/>
                <w:lang w:val="ro-RO" w:eastAsia="ro-MD"/>
              </w:rPr>
              <w:t xml:space="preserve"> pot calcula valoarea expunerii ponderate la risc pentru expunerile lor sub formă de unități sau acțiuni deținute într-un OPC înmulțind valorile expunerilor pentru expunerile respective, calculate în conformitate cu punctele 5-10 din Regulamentul nr.111/2018, cu ponderea de risc </w:t>
            </w:r>
            <w:r w:rsidRPr="006F5136">
              <w:rPr>
                <w:rFonts w:ascii="Times New Roman" w:hAnsi="Times New Roman" w:cs="Times New Roman"/>
                <w:noProof/>
                <w:sz w:val="18"/>
                <w:szCs w:val="18"/>
              </w:rPr>
              <w:drawing>
                <wp:inline distT="0" distB="0" distL="0" distR="0" wp14:anchorId="3D301660" wp14:editId="78D72D4C">
                  <wp:extent cx="432100" cy="233917"/>
                  <wp:effectExtent l="0" t="0" r="635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4286" cy="240514"/>
                          </a:xfrm>
                          <a:prstGeom prst="rect">
                            <a:avLst/>
                          </a:prstGeom>
                          <a:noFill/>
                          <a:ln>
                            <a:noFill/>
                          </a:ln>
                        </pic:spPr>
                      </pic:pic>
                    </a:graphicData>
                  </a:graphic>
                </wp:inline>
              </w:drawing>
            </w:r>
            <w:r w:rsidRPr="006F5136">
              <w:rPr>
                <w:rFonts w:ascii="Times New Roman" w:eastAsia="Times New Roman" w:hAnsi="Times New Roman" w:cs="Times New Roman"/>
                <w:sz w:val="18"/>
                <w:szCs w:val="18"/>
                <w:lang w:val="ro-RO" w:eastAsia="ro-MD"/>
              </w:rPr>
              <w:t>calculată în conformitate cu formula prevăzută la punctele 82</w:t>
            </w:r>
            <w:r w:rsidRPr="006F5136">
              <w:rPr>
                <w:rFonts w:ascii="Times New Roman" w:eastAsia="Times New Roman" w:hAnsi="Times New Roman" w:cs="Times New Roman"/>
                <w:sz w:val="18"/>
                <w:szCs w:val="18"/>
                <w:vertAlign w:val="superscript"/>
                <w:lang w:val="ro-RO" w:eastAsia="ro-MD"/>
              </w:rPr>
              <w:t>22</w:t>
            </w:r>
            <w:r w:rsidRPr="006F5136">
              <w:rPr>
                <w:rFonts w:ascii="Times New Roman" w:eastAsia="Times New Roman" w:hAnsi="Times New Roman" w:cs="Times New Roman"/>
                <w:sz w:val="18"/>
                <w:szCs w:val="18"/>
                <w:lang w:val="ro-RO" w:eastAsia="ro-MD"/>
              </w:rPr>
              <w:t>-82</w:t>
            </w:r>
            <w:r w:rsidRPr="006F5136">
              <w:rPr>
                <w:rFonts w:ascii="Times New Roman" w:eastAsia="Times New Roman" w:hAnsi="Times New Roman" w:cs="Times New Roman"/>
                <w:sz w:val="18"/>
                <w:szCs w:val="18"/>
                <w:vertAlign w:val="superscript"/>
                <w:lang w:val="ro-RO" w:eastAsia="ro-MD"/>
              </w:rPr>
              <w:t>25</w:t>
            </w:r>
            <w:r w:rsidRPr="006F5136">
              <w:rPr>
                <w:rFonts w:ascii="Times New Roman" w:eastAsia="Times New Roman" w:hAnsi="Times New Roman" w:cs="Times New Roman"/>
                <w:sz w:val="18"/>
                <w:szCs w:val="18"/>
                <w:lang w:val="ro-RO" w:eastAsia="ro-MD"/>
              </w:rPr>
              <w:t>, dacă sunt îndeplinite următoarele condiții:</w:t>
            </w:r>
          </w:p>
          <w:p w14:paraId="6AB0BA6A" w14:textId="77777777" w:rsidR="00061310" w:rsidRPr="006F5136" w:rsidRDefault="00061310" w:rsidP="00061310">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băncile măsoară valoarea deținerilor lor de unități sau acțiuni într-un OPC la costul istoric, dar măsoară valoarea activelor subiacente ale OPC-ului la valoarea justă dacă aplică abordarea de tip look-through;</w:t>
            </w:r>
          </w:p>
          <w:p w14:paraId="1762E465" w14:textId="77777777" w:rsidR="00061310" w:rsidRPr="006F5136" w:rsidRDefault="00061310" w:rsidP="00061310">
            <w:pPr>
              <w:pStyle w:val="CM4"/>
              <w:tabs>
                <w:tab w:val="left" w:pos="150"/>
              </w:tabs>
              <w:ind w:left="-36"/>
              <w:jc w:val="both"/>
              <w:rPr>
                <w:rFonts w:ascii="Times New Roman" w:hAnsi="Times New Roman"/>
                <w:sz w:val="18"/>
                <w:szCs w:val="18"/>
                <w:lang w:val="ro-RO" w:eastAsia="ro-MD"/>
              </w:rPr>
            </w:pPr>
            <w:r w:rsidRPr="006F5136">
              <w:rPr>
                <w:rFonts w:ascii="Times New Roman" w:hAnsi="Times New Roman"/>
                <w:sz w:val="18"/>
                <w:szCs w:val="18"/>
                <w:lang w:val="ro-RO" w:eastAsia="ro-MD"/>
              </w:rPr>
              <w:t>2) o modificare a valorii de piață a unităților sau a acțiunilor pentru care băncile măsoară valoarea la costul istoric nu modifică nici cuantumul fondurilor proprii ale băncilor respective, nici valoarea expunerii asociată deținerilor respective.</w:t>
            </w:r>
          </w:p>
          <w:p w14:paraId="38DD8BB4" w14:textId="47E0B974" w:rsidR="00061310" w:rsidRPr="006F5136" w:rsidRDefault="00061310" w:rsidP="00061310">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2645590D" w14:textId="1D88E814"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4D760756" w14:textId="283BF9C5"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061310" w:rsidRPr="006F5136" w14:paraId="019C52A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EF0F1F4" w14:textId="77777777" w:rsidR="00061310" w:rsidRPr="006F5136" w:rsidRDefault="00061310" w:rsidP="00061310">
            <w:pPr>
              <w:pStyle w:val="CM4"/>
              <w:tabs>
                <w:tab w:val="left" w:pos="150"/>
              </w:tabs>
              <w:ind w:left="-43"/>
              <w:jc w:val="both"/>
              <w:rPr>
                <w:rFonts w:ascii="Times New Roman" w:hAnsi="Times New Roman"/>
                <w:b/>
                <w:bCs/>
                <w:iCs/>
                <w:sz w:val="18"/>
                <w:szCs w:val="18"/>
                <w:lang w:val="ro-RO" w:eastAsia="ru-RU"/>
              </w:rPr>
            </w:pPr>
            <w:r w:rsidRPr="006F5136">
              <w:rPr>
                <w:rFonts w:ascii="Times New Roman" w:hAnsi="Times New Roman"/>
                <w:b/>
                <w:bCs/>
                <w:iCs/>
                <w:sz w:val="18"/>
                <w:szCs w:val="18"/>
                <w:lang w:val="ro-RO" w:eastAsia="ru-RU"/>
              </w:rPr>
              <w:t>M8</w:t>
            </w:r>
          </w:p>
          <w:p w14:paraId="22049F7B" w14:textId="0A393DB3" w:rsidR="00061310" w:rsidRPr="006F5136" w:rsidRDefault="00061310" w:rsidP="00061310">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
                <w:sz w:val="18"/>
                <w:szCs w:val="18"/>
                <w:lang w:val="ro-RO" w:eastAsia="ru-RU"/>
              </w:rPr>
              <w:t>Articolul 132a</w:t>
            </w:r>
            <w:r w:rsidRPr="006F5136">
              <w:rPr>
                <w:rFonts w:ascii="Times New Roman" w:eastAsia="Times New Roman" w:hAnsi="Times New Roman" w:cs="Times New Roman"/>
                <w:iCs/>
                <w:sz w:val="18"/>
                <w:szCs w:val="18"/>
                <w:lang w:val="ro-RO" w:eastAsia="ru-RU"/>
              </w:rPr>
              <w:t xml:space="preserve"> </w:t>
            </w:r>
            <w:r w:rsidRPr="006F5136">
              <w:rPr>
                <w:rFonts w:ascii="Times New Roman" w:eastAsia="Times New Roman" w:hAnsi="Times New Roman" w:cs="Times New Roman"/>
                <w:b/>
                <w:bCs/>
                <w:iCs/>
                <w:sz w:val="18"/>
                <w:szCs w:val="18"/>
                <w:lang w:val="ro-RO" w:eastAsia="ru-RU"/>
              </w:rPr>
              <w:t>Abordări pentru calcularea valorilor expunerilor ponderate la risc ale pentru OPC-uri</w:t>
            </w:r>
          </w:p>
          <w:p w14:paraId="4CA016DA" w14:textId="77777777" w:rsidR="00061310" w:rsidRPr="006F5136" w:rsidRDefault="00061310" w:rsidP="00061310">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(1)   În cazul în care sunt îndeplinite condițiile prevăzute la articolul 132 alineatul (3), instituțiile care dispun de suficiente informații cu privire la expunerile-suport individuale ale unui OPC țin seama de aceste expuneri pentru a calcula valoarea expunerii ponderate la risc pentru OPC, ponderând la risc toate expunerile-suport ale OPC-ului ca și cum ar fi deținute direct de instituțiile în cauză.</w:t>
            </w:r>
          </w:p>
          <w:p w14:paraId="3499880E" w14:textId="77777777" w:rsidR="00061310" w:rsidRPr="006F5136" w:rsidRDefault="00061310" w:rsidP="00061310">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(2)   În cazul în care sunt îndeplinite condițiile prevăzute la articolul 132 alineatul (3), instituțiile care nu dispun de suficiente informații cu privire la expunerile-suport individuale ale unui OPC pentru a utiliza abordarea transparentă de tip look-through pot calcula valoarea expunerii ponderate la risc pentru expunerile respective în conformitate cu limitele stabilite în mandatul OPC-ului și în dreptul relevant.</w:t>
            </w:r>
          </w:p>
          <w:p w14:paraId="01055948" w14:textId="77777777" w:rsidR="00061310" w:rsidRPr="006F5136" w:rsidRDefault="00061310" w:rsidP="00061310">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Instituțiile efectuează calculele menționate la primul paragraf presupunând că OPC-ul își asumă în primul rând expuneri care atrag cea mai mare cerință de fonduri proprii, în limitele maxime permise în temeiul mandatului său sau al dreptului relevant, după care continuă să își asume expuneri în ordine descrescătoare, până când este atinsă limita totală maximă de expunere, și că OPC-ul aplică efectul de levier în limitele maxime permise în temeiul mandatului său sau al dreptului relevant, după caz.</w:t>
            </w:r>
          </w:p>
          <w:p w14:paraId="14EFD05E" w14:textId="77777777" w:rsidR="00061310" w:rsidRPr="006F5136" w:rsidRDefault="00061310" w:rsidP="00061310">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Instituțiile efectuează calculele menționate la primul paragraf în conformitate cu metodele prevăzute în prezentul capitol, în capitolul 5 și în capitolul 6 secțiunea 3, 4 sau 5 din prezentul titlu.</w:t>
            </w:r>
          </w:p>
          <w:p w14:paraId="07DBC301" w14:textId="77777777" w:rsidR="00061310" w:rsidRPr="006F5136" w:rsidRDefault="00061310" w:rsidP="00061310">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(3)   ►M17   Prin derogare de la articolul 92 alineatul (4) litera (e), instituțiile care calculează cuantumul expunerii ponderate la risc pentru expunerile unui OPC în conformitate cu alineatul (1) sau (2) de la prezentul articol pot calcula cerința de fonduri proprii pentru riscul aferent ajustărilor evaluării creditului pentru expunerile din instrumente financiare derivate ale respectivului OPC ca un cuantum egal cu 50 % din cerința de fonduri proprii pentru expunerile din instrumentele financiare derivate respective, calculată în conformitate cu capitolul 6 secțiunea 3, 4 sau 5 din prezentul titlu, după caz. ◄</w:t>
            </w:r>
          </w:p>
          <w:p w14:paraId="037DD6CB" w14:textId="14D4BC28" w:rsidR="00061310" w:rsidRPr="006F5136" w:rsidDel="00592E54" w:rsidRDefault="00061310" w:rsidP="00061310">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Prin derogare de la primul paragraf, o instituție poate să excludă din calculul cerinței de fonduri proprii pentru riscul aferent ajustărilor evaluării creditului expunerile din instrumente financiare derivate care nu ar fi supuse acestei cerințe dacă ar fi asumate direct de instituție.</w:t>
            </w:r>
          </w:p>
        </w:tc>
        <w:tc>
          <w:tcPr>
            <w:tcW w:w="1661" w:type="pct"/>
            <w:shd w:val="clear" w:color="auto" w:fill="auto"/>
          </w:tcPr>
          <w:p w14:paraId="7A1C655B" w14:textId="49E58374" w:rsidR="00061310" w:rsidRPr="006F5136" w:rsidRDefault="00061310" w:rsidP="00061310">
            <w:pPr>
              <w:spacing w:after="0" w:line="240" w:lineRule="auto"/>
              <w:rPr>
                <w:rFonts w:ascii="Times New Roman" w:eastAsia="Times New Roman" w:hAnsi="Times New Roman" w:cs="Times New Roman"/>
                <w:b/>
                <w:bCs/>
                <w:i/>
                <w:iCs/>
                <w:sz w:val="18"/>
                <w:szCs w:val="18"/>
                <w:lang w:val="ro-RO" w:eastAsia="ro-MD"/>
              </w:rPr>
            </w:pPr>
            <w:r w:rsidRPr="006F5136">
              <w:rPr>
                <w:rFonts w:ascii="Times New Roman" w:eastAsia="Times New Roman" w:hAnsi="Times New Roman" w:cs="Times New Roman"/>
                <w:i/>
                <w:iCs/>
                <w:sz w:val="18"/>
                <w:szCs w:val="18"/>
                <w:lang w:val="ro-RO" w:eastAsia="ro-MD"/>
              </w:rPr>
              <w:t>Secțiunea a 18</w:t>
            </w:r>
            <w:r w:rsidRPr="006F5136">
              <w:rPr>
                <w:rFonts w:ascii="Times New Roman" w:eastAsia="Times New Roman" w:hAnsi="Times New Roman" w:cs="Times New Roman"/>
                <w:i/>
                <w:iCs/>
                <w:sz w:val="18"/>
                <w:szCs w:val="18"/>
                <w:vertAlign w:val="superscript"/>
                <w:lang w:val="ro-RO" w:eastAsia="ro-MD"/>
              </w:rPr>
              <w:t>1</w:t>
            </w:r>
            <w:r w:rsidRPr="006F5136">
              <w:rPr>
                <w:rFonts w:ascii="Times New Roman" w:eastAsia="Times New Roman" w:hAnsi="Times New Roman" w:cs="Times New Roman"/>
                <w:i/>
                <w:iCs/>
                <w:sz w:val="18"/>
                <w:szCs w:val="18"/>
                <w:lang w:val="ro-RO" w:eastAsia="ro-MD"/>
              </w:rPr>
              <w:t>-a</w:t>
            </w:r>
            <w:r w:rsidRPr="006F5136">
              <w:rPr>
                <w:rFonts w:ascii="Times New Roman" w:eastAsia="Times New Roman" w:hAnsi="Times New Roman" w:cs="Times New Roman"/>
                <w:b/>
                <w:bCs/>
                <w:i/>
                <w:iCs/>
                <w:sz w:val="18"/>
                <w:szCs w:val="18"/>
                <w:lang w:val="ro-RO" w:eastAsia="ro-MD"/>
              </w:rPr>
              <w:t xml:space="preserve"> Abordări pentru calcularea valorilor expunerilor ponderate la risc ale OPC-urilor</w:t>
            </w:r>
          </w:p>
          <w:p w14:paraId="2E6954DD" w14:textId="4EDC5E8F" w:rsidR="00061310" w:rsidRPr="006F5136" w:rsidRDefault="00061310" w:rsidP="00061310">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14</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În cazul în care sunt îndeplinite condițiile prevăzute la punctele 82</w:t>
            </w:r>
            <w:r w:rsidRPr="006F5136">
              <w:rPr>
                <w:rFonts w:ascii="Times New Roman" w:eastAsia="Times New Roman" w:hAnsi="Times New Roman" w:cs="Times New Roman"/>
                <w:sz w:val="18"/>
                <w:szCs w:val="18"/>
                <w:vertAlign w:val="superscript"/>
                <w:lang w:val="ro-RO" w:eastAsia="ro-MD"/>
              </w:rPr>
              <w:t>4</w:t>
            </w:r>
            <w:r w:rsidRPr="006F5136">
              <w:rPr>
                <w:rFonts w:ascii="Times New Roman" w:eastAsia="Times New Roman" w:hAnsi="Times New Roman" w:cs="Times New Roman"/>
                <w:sz w:val="18"/>
                <w:szCs w:val="18"/>
                <w:lang w:val="ro-RO" w:eastAsia="ro-MD"/>
              </w:rPr>
              <w:t>-82</w:t>
            </w:r>
            <w:r w:rsidRPr="006F5136">
              <w:rPr>
                <w:rFonts w:ascii="Times New Roman" w:eastAsia="Times New Roman" w:hAnsi="Times New Roman" w:cs="Times New Roman"/>
                <w:sz w:val="18"/>
                <w:szCs w:val="18"/>
                <w:vertAlign w:val="superscript"/>
                <w:lang w:val="ro-RO" w:eastAsia="ro-MD"/>
              </w:rPr>
              <w:t>7</w:t>
            </w:r>
            <w:r w:rsidRPr="006F5136">
              <w:rPr>
                <w:rFonts w:ascii="Times New Roman" w:eastAsia="Times New Roman" w:hAnsi="Times New Roman" w:cs="Times New Roman"/>
                <w:sz w:val="18"/>
                <w:szCs w:val="18"/>
                <w:lang w:val="ro-RO" w:eastAsia="ro-MD"/>
              </w:rPr>
              <w:t>, băncile care dispun de suficiente informații cu privire la expunerile-suport individuale ale unui OPC țin seama de aceste expuneri pentru a calcula valoarea expunerii ponderate la risc pentru OPC, ponderând la risc toate expunerile-suport ale OPC-ului ca și cum ar fi deținute direct de băncile în cauză.</w:t>
            </w:r>
          </w:p>
          <w:p w14:paraId="19E95F0E" w14:textId="589073CC" w:rsidR="00061310" w:rsidRPr="006F5136" w:rsidRDefault="00061310" w:rsidP="00061310">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15</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În cazul în care sunt îndeplinite condițiile prevăzute la punctele 82</w:t>
            </w:r>
            <w:r w:rsidRPr="006F5136">
              <w:rPr>
                <w:rFonts w:ascii="Times New Roman" w:eastAsia="Times New Roman" w:hAnsi="Times New Roman" w:cs="Times New Roman"/>
                <w:sz w:val="18"/>
                <w:szCs w:val="18"/>
                <w:vertAlign w:val="superscript"/>
                <w:lang w:val="ro-RO" w:eastAsia="ro-MD"/>
              </w:rPr>
              <w:t>4</w:t>
            </w:r>
            <w:r w:rsidRPr="006F5136">
              <w:rPr>
                <w:rFonts w:ascii="Times New Roman" w:eastAsia="Times New Roman" w:hAnsi="Times New Roman" w:cs="Times New Roman"/>
                <w:sz w:val="18"/>
                <w:szCs w:val="18"/>
                <w:lang w:val="ro-RO" w:eastAsia="ro-MD"/>
              </w:rPr>
              <w:t>-82</w:t>
            </w:r>
            <w:r w:rsidRPr="006F5136">
              <w:rPr>
                <w:rFonts w:ascii="Times New Roman" w:eastAsia="Times New Roman" w:hAnsi="Times New Roman" w:cs="Times New Roman"/>
                <w:sz w:val="18"/>
                <w:szCs w:val="18"/>
                <w:vertAlign w:val="superscript"/>
                <w:lang w:val="ro-RO" w:eastAsia="ro-MD"/>
              </w:rPr>
              <w:t>7</w:t>
            </w:r>
            <w:r w:rsidRPr="006F5136">
              <w:rPr>
                <w:rFonts w:ascii="Times New Roman" w:eastAsia="Times New Roman" w:hAnsi="Times New Roman" w:cs="Times New Roman"/>
                <w:sz w:val="18"/>
                <w:szCs w:val="18"/>
                <w:lang w:val="ro-RO" w:eastAsia="ro-MD"/>
              </w:rPr>
              <w:t>, băncile care nu dispun de suficiente informații cu privire la expunerile-suport individuale ale unui OPC pentru a utiliza abordarea transparentă de tip look-through pot calcula valoarea expunerii ponderate la risc pentru expunerile respective în conformitate cu limitele stabilite în mandatul OPC-ului și în dreptul relevant.</w:t>
            </w:r>
          </w:p>
          <w:p w14:paraId="28F05B7A" w14:textId="15FA8F30" w:rsidR="00061310" w:rsidRPr="006F5136" w:rsidRDefault="00061310" w:rsidP="00061310">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16</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Băncile efectuează calculele menționate la punctul 82</w:t>
            </w:r>
            <w:r w:rsidRPr="006F5136">
              <w:rPr>
                <w:rFonts w:ascii="Times New Roman" w:eastAsia="Times New Roman" w:hAnsi="Times New Roman" w:cs="Times New Roman"/>
                <w:sz w:val="18"/>
                <w:szCs w:val="18"/>
                <w:vertAlign w:val="superscript"/>
                <w:lang w:val="ro-RO" w:eastAsia="ro-MD"/>
              </w:rPr>
              <w:t>15</w:t>
            </w:r>
            <w:r w:rsidRPr="006F5136">
              <w:rPr>
                <w:rFonts w:ascii="Times New Roman" w:eastAsia="Times New Roman" w:hAnsi="Times New Roman" w:cs="Times New Roman"/>
                <w:sz w:val="18"/>
                <w:szCs w:val="18"/>
                <w:lang w:val="ro-RO" w:eastAsia="ro-MD"/>
              </w:rPr>
              <w:t xml:space="preserve"> presupunând că OPC-ul își asumă în primul rând expuneri care atrag cea mai mare cerință de fonduri proprii, în limitele maxime permise în temeiul mandatului său sau al dreptului relevant, după care continuă să își asume expuneri în ordine descrescătoare, până când este atinsă limita totală maximă de expunere, și că OPC-ul aplică efectul de levier în limitele maxime permise în temeiul mandatului său sau al dreptului relevant, după caz.</w:t>
            </w:r>
          </w:p>
          <w:p w14:paraId="27F2246C" w14:textId="6652A67A" w:rsidR="00061310" w:rsidRPr="006F5136" w:rsidRDefault="00061310" w:rsidP="00061310">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17</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Băncile efectuează calculele menționate la punctul 82</w:t>
            </w:r>
            <w:r w:rsidRPr="006F5136">
              <w:rPr>
                <w:rFonts w:ascii="Times New Roman" w:eastAsia="Times New Roman" w:hAnsi="Times New Roman" w:cs="Times New Roman"/>
                <w:sz w:val="18"/>
                <w:szCs w:val="18"/>
                <w:vertAlign w:val="superscript"/>
                <w:lang w:val="ro-RO" w:eastAsia="ro-MD"/>
              </w:rPr>
              <w:t>15</w:t>
            </w:r>
            <w:r w:rsidRPr="006F5136">
              <w:rPr>
                <w:rFonts w:ascii="Times New Roman" w:eastAsia="Times New Roman" w:hAnsi="Times New Roman" w:cs="Times New Roman"/>
                <w:sz w:val="18"/>
                <w:szCs w:val="18"/>
                <w:lang w:val="ro-RO" w:eastAsia="ro-MD"/>
              </w:rPr>
              <w:t xml:space="preserve"> primul paragraf în conformitate cu metodele prevăzute în prezentul regulament capitol, în actele normative ale Băncii Naționale a Moldovei cu privire la tratamentul prudențial al securitizărilor și cu privire la tratamentul riscului de credit al contrapărții.</w:t>
            </w:r>
          </w:p>
          <w:p w14:paraId="0F6C198E" w14:textId="22A5794B" w:rsidR="00061310" w:rsidRPr="006F5136" w:rsidRDefault="00061310" w:rsidP="00061310">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18</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Prin derogare de la calculul expunerii totale ponderate la risc din Regulamentul nr. 109/2018, băncile care calculează cuantumul expunerii ponderate la risc pentru expunerile unui OPC în conformitate cu  punctul 82</w:t>
            </w:r>
            <w:r w:rsidRPr="006F5136">
              <w:rPr>
                <w:rFonts w:ascii="Times New Roman" w:eastAsia="Times New Roman" w:hAnsi="Times New Roman" w:cs="Times New Roman"/>
                <w:sz w:val="18"/>
                <w:szCs w:val="18"/>
                <w:vertAlign w:val="superscript"/>
                <w:lang w:val="ro-RO" w:eastAsia="ro-MD"/>
              </w:rPr>
              <w:t>14</w:t>
            </w:r>
            <w:r w:rsidRPr="006F5136">
              <w:rPr>
                <w:rFonts w:ascii="Times New Roman" w:eastAsia="Times New Roman" w:hAnsi="Times New Roman" w:cs="Times New Roman"/>
                <w:sz w:val="18"/>
                <w:szCs w:val="18"/>
                <w:lang w:val="ro-RO" w:eastAsia="ro-MD"/>
              </w:rPr>
              <w:t xml:space="preserve"> sau punctele 82</w:t>
            </w:r>
            <w:r w:rsidRPr="006F5136">
              <w:rPr>
                <w:rFonts w:ascii="Times New Roman" w:eastAsia="Times New Roman" w:hAnsi="Times New Roman" w:cs="Times New Roman"/>
                <w:sz w:val="18"/>
                <w:szCs w:val="18"/>
                <w:vertAlign w:val="superscript"/>
                <w:lang w:val="ro-RO" w:eastAsia="ro-MD"/>
              </w:rPr>
              <w:t>15</w:t>
            </w:r>
            <w:r w:rsidRPr="006F5136">
              <w:rPr>
                <w:rFonts w:ascii="Times New Roman" w:eastAsia="Times New Roman" w:hAnsi="Times New Roman" w:cs="Times New Roman"/>
                <w:sz w:val="18"/>
                <w:szCs w:val="18"/>
                <w:lang w:val="ro-RO" w:eastAsia="ro-MD"/>
              </w:rPr>
              <w:t>-82</w:t>
            </w:r>
            <w:r w:rsidRPr="006F5136">
              <w:rPr>
                <w:rFonts w:ascii="Times New Roman" w:eastAsia="Times New Roman" w:hAnsi="Times New Roman" w:cs="Times New Roman"/>
                <w:sz w:val="18"/>
                <w:szCs w:val="18"/>
                <w:vertAlign w:val="superscript"/>
                <w:lang w:val="ro-RO" w:eastAsia="ro-MD"/>
              </w:rPr>
              <w:t>17</w:t>
            </w:r>
            <w:r w:rsidRPr="006F5136">
              <w:rPr>
                <w:rFonts w:ascii="Times New Roman" w:eastAsia="Times New Roman" w:hAnsi="Times New Roman" w:cs="Times New Roman"/>
                <w:sz w:val="18"/>
                <w:szCs w:val="18"/>
                <w:lang w:val="ro-RO" w:eastAsia="ro-MD"/>
              </w:rPr>
              <w:t xml:space="preserve"> pot calcula cerința de fonduri proprii pentru riscul aferent ajustărilor evaluării creditului pentru expunerile din instrumente financiare derivate ale respectivului OPC ca un cuantum egal cu 50 % din cerința de fonduri proprii pentru expunerile din instrumentele financiare derivate respective, calculată în conformitate cu actele normative ale Băncii Naționale a Moldovei cu privire la tratamentul riscului de credit al contrapărții.</w:t>
            </w:r>
          </w:p>
          <w:p w14:paraId="2D4244F7" w14:textId="77777777" w:rsidR="00061310" w:rsidRPr="006F5136" w:rsidRDefault="00061310" w:rsidP="00061310">
            <w:pPr>
              <w:pStyle w:val="CM4"/>
              <w:tabs>
                <w:tab w:val="left" w:pos="150"/>
              </w:tabs>
              <w:ind w:left="-36"/>
              <w:rPr>
                <w:rFonts w:ascii="Times New Roman" w:hAnsi="Times New Roman"/>
                <w:sz w:val="18"/>
                <w:szCs w:val="18"/>
                <w:lang w:val="ro-RO" w:eastAsia="ro-MD"/>
              </w:rPr>
            </w:pPr>
            <w:r w:rsidRPr="006F5136">
              <w:rPr>
                <w:rFonts w:ascii="Times New Roman" w:hAnsi="Times New Roman"/>
                <w:b/>
                <w:bCs/>
                <w:sz w:val="18"/>
                <w:szCs w:val="18"/>
                <w:lang w:val="ro-RO" w:eastAsia="ro-MD"/>
              </w:rPr>
              <w:t>82</w:t>
            </w:r>
            <w:r w:rsidRPr="006F5136">
              <w:rPr>
                <w:rFonts w:ascii="Times New Roman" w:hAnsi="Times New Roman"/>
                <w:b/>
                <w:bCs/>
                <w:sz w:val="18"/>
                <w:szCs w:val="18"/>
                <w:vertAlign w:val="superscript"/>
                <w:lang w:val="ro-RO" w:eastAsia="ro-MD"/>
              </w:rPr>
              <w:t>19</w:t>
            </w:r>
            <w:r w:rsidRPr="006F5136">
              <w:rPr>
                <w:rFonts w:ascii="Times New Roman" w:hAnsi="Times New Roman"/>
                <w:b/>
                <w:bCs/>
                <w:sz w:val="18"/>
                <w:szCs w:val="18"/>
                <w:lang w:val="ro-RO" w:eastAsia="ro-MD"/>
              </w:rPr>
              <w:t xml:space="preserve">. </w:t>
            </w:r>
            <w:r w:rsidRPr="006F5136">
              <w:rPr>
                <w:rFonts w:ascii="Times New Roman" w:hAnsi="Times New Roman"/>
                <w:sz w:val="18"/>
                <w:szCs w:val="18"/>
                <w:lang w:val="ro-RO" w:eastAsia="ro-MD"/>
              </w:rPr>
              <w:t>Prin derogare de la punctul 82</w:t>
            </w:r>
            <w:r w:rsidRPr="006F5136">
              <w:rPr>
                <w:rFonts w:ascii="Times New Roman" w:hAnsi="Times New Roman"/>
                <w:sz w:val="18"/>
                <w:szCs w:val="18"/>
                <w:vertAlign w:val="superscript"/>
                <w:lang w:val="ro-RO" w:eastAsia="ro-MD"/>
              </w:rPr>
              <w:t>18</w:t>
            </w:r>
            <w:r w:rsidRPr="006F5136">
              <w:rPr>
                <w:rFonts w:ascii="Times New Roman" w:hAnsi="Times New Roman"/>
                <w:sz w:val="18"/>
                <w:szCs w:val="18"/>
                <w:lang w:val="ro-RO" w:eastAsia="ro-MD"/>
              </w:rPr>
              <w:t>, banca poate să excludă din calculul cerinței de fonduri proprii pentru riscul aferent ajustărilor evaluării creditului expunerile din instrumente financiare derivate care nu ar fi supuse acestei cerințe dacă ar fi asumate direct de bancă.</w:t>
            </w:r>
          </w:p>
          <w:p w14:paraId="0DA5EBC3" w14:textId="625C7F0F" w:rsidR="00061310" w:rsidRPr="006F5136" w:rsidRDefault="00061310" w:rsidP="00061310">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31524C4A" w14:textId="45024FFD" w:rsidR="00061310" w:rsidRPr="006F5136" w:rsidRDefault="00061310" w:rsidP="00061310">
            <w:pPr>
              <w:spacing w:after="0" w:line="240" w:lineRule="auto"/>
              <w:rPr>
                <w:rFonts w:ascii="Times New Roman" w:hAnsi="Times New Roman" w:cs="Times New Roman"/>
                <w:sz w:val="18"/>
                <w:szCs w:val="18"/>
                <w:lang w:val="ro-RO"/>
              </w:rPr>
            </w:pPr>
            <w:r w:rsidRPr="00CB3F3F">
              <w:rPr>
                <w:rFonts w:ascii="Times New Roman" w:hAnsi="Times New Roman" w:cs="Times New Roman"/>
                <w:sz w:val="20"/>
                <w:szCs w:val="20"/>
                <w:lang w:val="ro-RO"/>
              </w:rPr>
              <w:t>Compatibil</w:t>
            </w:r>
          </w:p>
        </w:tc>
        <w:tc>
          <w:tcPr>
            <w:tcW w:w="912" w:type="pct"/>
          </w:tcPr>
          <w:p w14:paraId="3D45926B" w14:textId="04C36931" w:rsidR="00061310" w:rsidRPr="006F5136" w:rsidRDefault="00061310" w:rsidP="00061310">
            <w:pPr>
              <w:spacing w:after="0" w:line="240" w:lineRule="auto"/>
              <w:jc w:val="both"/>
              <w:rPr>
                <w:rFonts w:ascii="Times New Roman" w:hAnsi="Times New Roman" w:cs="Times New Roman"/>
                <w:sz w:val="18"/>
                <w:szCs w:val="18"/>
                <w:lang w:val="ro-RO"/>
              </w:rPr>
            </w:pPr>
            <w:r w:rsidRPr="00CB3F3F">
              <w:rPr>
                <w:rFonts w:ascii="Times New Roman" w:hAnsi="Times New Roman" w:cs="Times New Roman"/>
                <w:sz w:val="20"/>
                <w:szCs w:val="20"/>
                <w:lang w:val="ro-RO"/>
              </w:rPr>
              <w:t>Regulamentul nr.111/2018</w:t>
            </w:r>
          </w:p>
        </w:tc>
      </w:tr>
      <w:tr w:rsidR="0027576A" w:rsidRPr="006F5136" w14:paraId="245E55B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FB10D26" w14:textId="77777777" w:rsidR="0027576A" w:rsidRPr="006F5136" w:rsidRDefault="0027576A" w:rsidP="005E4694">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(4)   ABE elaborează proiecte de standarde tehnice de reglementare pentru a specifica modul în care instituțiile calculează valoarea expunerii ponderate la risc menționată la alineatul (2) în cazul în care una sau mai multe dintre datele de intrare utilizate pentru acest calcul sunt indisponibile.</w:t>
            </w:r>
          </w:p>
          <w:p w14:paraId="165235E3" w14:textId="77777777" w:rsidR="0027576A" w:rsidRPr="006F5136" w:rsidRDefault="0027576A" w:rsidP="005E4694">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ABE prezintă Comisiei aceste proiecte de standarde tehnice de reglementare până la 28 martie 2020.</w:t>
            </w:r>
          </w:p>
          <w:p w14:paraId="582BF95B" w14:textId="6AEA0497" w:rsidR="0027576A" w:rsidRPr="006F5136" w:rsidRDefault="0027576A" w:rsidP="005E4694">
            <w:pPr>
              <w:pStyle w:val="CM4"/>
              <w:tabs>
                <w:tab w:val="left" w:pos="150"/>
              </w:tabs>
              <w:ind w:left="-43"/>
              <w:jc w:val="both"/>
              <w:rPr>
                <w:rFonts w:ascii="Times New Roman" w:hAnsi="Times New Roman"/>
                <w:b/>
                <w:bCs/>
                <w:iCs/>
                <w:sz w:val="18"/>
                <w:szCs w:val="18"/>
                <w:lang w:val="ro-RO" w:eastAsia="ru-RU"/>
              </w:rPr>
            </w:pPr>
            <w:r w:rsidRPr="006F5136">
              <w:rPr>
                <w:rFonts w:ascii="Times New Roman" w:hAnsi="Times New Roman"/>
                <w:iCs/>
                <w:sz w:val="18"/>
                <w:szCs w:val="18"/>
                <w:lang w:val="ro-RO" w:eastAsia="ru-RU"/>
              </w:rPr>
              <w:t>Se deleagă Comisiei competența de a completa prezentul regulament prin adoptarea standardelor tehnice de reglementare menționate la primul paragraf în conformitate cu articolele 10-14 din Regulamentul (UE) nr. 1093/2010.</w:t>
            </w:r>
          </w:p>
        </w:tc>
        <w:tc>
          <w:tcPr>
            <w:tcW w:w="1661" w:type="pct"/>
            <w:shd w:val="clear" w:color="auto" w:fill="auto"/>
          </w:tcPr>
          <w:p w14:paraId="2A09F80B"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5B7D8B9F" w14:textId="3EA30AED"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Norme UE neaplicabile</w:t>
            </w:r>
          </w:p>
        </w:tc>
        <w:tc>
          <w:tcPr>
            <w:tcW w:w="912" w:type="pct"/>
          </w:tcPr>
          <w:p w14:paraId="7A62337E" w14:textId="77777777" w:rsidR="0027576A" w:rsidRPr="006F5136" w:rsidRDefault="0027576A" w:rsidP="005E4694">
            <w:pPr>
              <w:spacing w:after="0" w:line="240" w:lineRule="auto"/>
              <w:jc w:val="both"/>
              <w:rPr>
                <w:rFonts w:ascii="Times New Roman" w:hAnsi="Times New Roman" w:cs="Times New Roman"/>
                <w:sz w:val="18"/>
                <w:szCs w:val="18"/>
                <w:lang w:val="ro-RO"/>
              </w:rPr>
            </w:pPr>
          </w:p>
        </w:tc>
      </w:tr>
      <w:tr w:rsidR="006B3BC1" w:rsidRPr="006F5136" w14:paraId="3946CBB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86DFAFB" w14:textId="136FFEF1" w:rsidR="006B3BC1" w:rsidRPr="006F5136" w:rsidRDefault="006B3BC1" w:rsidP="006B3BC1">
            <w:pPr>
              <w:pStyle w:val="CM4"/>
              <w:tabs>
                <w:tab w:val="left" w:pos="150"/>
              </w:tabs>
              <w:ind w:left="-43"/>
              <w:jc w:val="both"/>
              <w:rPr>
                <w:rFonts w:ascii="Times New Roman" w:hAnsi="Times New Roman"/>
                <w:b/>
                <w:bCs/>
                <w:iCs/>
                <w:sz w:val="18"/>
                <w:szCs w:val="18"/>
                <w:lang w:val="ro-RO" w:eastAsia="ru-RU"/>
              </w:rPr>
            </w:pPr>
            <w:r w:rsidRPr="006F5136">
              <w:rPr>
                <w:rFonts w:ascii="Times New Roman" w:hAnsi="Times New Roman"/>
                <w:i/>
                <w:sz w:val="18"/>
                <w:szCs w:val="18"/>
                <w:lang w:val="ro-RO" w:eastAsia="ru-RU"/>
              </w:rPr>
              <w:t>Articolul 132b</w:t>
            </w:r>
            <w:r w:rsidRPr="006F5136">
              <w:rPr>
                <w:rFonts w:ascii="Times New Roman" w:hAnsi="Times New Roman"/>
                <w:b/>
                <w:bCs/>
                <w:iCs/>
                <w:sz w:val="18"/>
                <w:szCs w:val="18"/>
                <w:lang w:val="ro-RO" w:eastAsia="ru-RU"/>
              </w:rPr>
              <w:t xml:space="preserve"> Excluderi de la abordările pentru calcularea valorilor expunerilor ponderate la risc pentru OPC-uri</w:t>
            </w:r>
          </w:p>
          <w:p w14:paraId="2E425DA1" w14:textId="77777777" w:rsidR="006B3BC1" w:rsidRPr="006F5136" w:rsidRDefault="006B3BC1" w:rsidP="006B3BC1">
            <w:pPr>
              <w:pStyle w:val="CM4"/>
              <w:tabs>
                <w:tab w:val="left" w:pos="150"/>
              </w:tabs>
              <w:ind w:left="-43"/>
              <w:jc w:val="both"/>
              <w:rPr>
                <w:rFonts w:ascii="Times New Roman" w:hAnsi="Times New Roman"/>
                <w:b/>
                <w:bCs/>
                <w:iCs/>
                <w:sz w:val="18"/>
                <w:szCs w:val="18"/>
                <w:lang w:val="ro-RO" w:eastAsia="ru-RU"/>
              </w:rPr>
            </w:pPr>
          </w:p>
          <w:p w14:paraId="3524E589" w14:textId="77777777" w:rsidR="006B3BC1" w:rsidRPr="006F5136" w:rsidRDefault="006B3BC1" w:rsidP="006B3BC1">
            <w:pPr>
              <w:pStyle w:val="CM4"/>
              <w:tabs>
                <w:tab w:val="left" w:pos="150"/>
              </w:tabs>
              <w:ind w:left="-45"/>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   Instituțiile pot exclude din calculele menționate la articolul 132 instrumentele de fonduri proprii de nivel 1 de bază, instrumentele de fonduri proprii de nivel 1 suplimentar, instrumentele de fonduri proprii de nivel 2 și instrumentele de pasive eligibile deținute de un OPC pe care instituțiile le deduc în conformitate cu articolul 36 alineatul (1) și cu articolele 56, 66 și, respectiv, 72e.</w:t>
            </w:r>
          </w:p>
          <w:p w14:paraId="638690BC" w14:textId="77777777" w:rsidR="006B3BC1" w:rsidRPr="006F5136" w:rsidRDefault="006B3BC1" w:rsidP="006B3BC1">
            <w:pPr>
              <w:pStyle w:val="CM4"/>
              <w:tabs>
                <w:tab w:val="left" w:pos="150"/>
              </w:tabs>
              <w:ind w:left="-45"/>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▼M17</w:t>
            </w:r>
          </w:p>
          <w:p w14:paraId="0BD9C06B" w14:textId="7E3E7E17" w:rsidR="006B3BC1" w:rsidRPr="006F5136" w:rsidRDefault="006B3BC1" w:rsidP="006B3BC1">
            <w:pPr>
              <w:pStyle w:val="CM4"/>
              <w:tabs>
                <w:tab w:val="left" w:pos="150"/>
              </w:tabs>
              <w:ind w:left="-45"/>
              <w:jc w:val="both"/>
              <w:rPr>
                <w:rFonts w:ascii="Times New Roman" w:hAnsi="Times New Roman"/>
                <w:b/>
                <w:bCs/>
                <w:iCs/>
                <w:sz w:val="18"/>
                <w:szCs w:val="18"/>
                <w:lang w:val="ro-RO" w:eastAsia="ru-RU"/>
              </w:rPr>
            </w:pPr>
            <w:r w:rsidRPr="006F5136">
              <w:rPr>
                <w:rFonts w:ascii="Times New Roman" w:hAnsi="Times New Roman"/>
                <w:iCs/>
                <w:sz w:val="18"/>
                <w:szCs w:val="18"/>
                <w:lang w:val="ro-RO" w:eastAsia="ru-RU"/>
              </w:rPr>
              <w:t>(2)   Instituțiile pot să excludă din calculele menționate la articolul 132 expunerile provenind din titluri de capital care servesc drept suport pentru expuneri sub formă de unități sau acțiuni deținute în OPC-uri față de entități ale căror obligații din credite primesc o pondere de risc de 0 % în temeiul prezentului capitol, inclusiv față de entitățile finanțate public în cazul cărora se poate aplica o pondere de risc de 0 %, și expunerile provenind din titluri de capital menționate la articolul 133 alineatul (5) și să aplice, în schimb, respectivelor expuneri provenind din titluri de capital tratamentul prevăzut la articolul 133.</w:t>
            </w:r>
          </w:p>
        </w:tc>
        <w:tc>
          <w:tcPr>
            <w:tcW w:w="1661" w:type="pct"/>
            <w:shd w:val="clear" w:color="auto" w:fill="auto"/>
          </w:tcPr>
          <w:p w14:paraId="6DC2B56B" w14:textId="48FBC94B" w:rsidR="006B3BC1" w:rsidRPr="006F5136" w:rsidRDefault="006B3BC1" w:rsidP="006B3BC1">
            <w:pPr>
              <w:spacing w:after="0" w:line="240" w:lineRule="auto"/>
              <w:rPr>
                <w:rFonts w:ascii="Times New Roman" w:eastAsia="Times New Roman" w:hAnsi="Times New Roman" w:cs="Times New Roman"/>
                <w:b/>
                <w:bCs/>
                <w:i/>
                <w:iCs/>
                <w:sz w:val="18"/>
                <w:szCs w:val="18"/>
                <w:lang w:val="ro-RO" w:eastAsia="ro-MD"/>
              </w:rPr>
            </w:pPr>
            <w:r w:rsidRPr="006F5136">
              <w:rPr>
                <w:rFonts w:ascii="Times New Roman" w:eastAsia="Times New Roman" w:hAnsi="Times New Roman" w:cs="Times New Roman"/>
                <w:i/>
                <w:iCs/>
                <w:sz w:val="18"/>
                <w:szCs w:val="18"/>
                <w:lang w:val="ro-RO" w:eastAsia="ro-MD"/>
              </w:rPr>
              <w:t>Secțiunea a 18</w:t>
            </w:r>
            <w:r w:rsidRPr="006F5136">
              <w:rPr>
                <w:rFonts w:ascii="Times New Roman" w:eastAsia="Times New Roman" w:hAnsi="Times New Roman" w:cs="Times New Roman"/>
                <w:i/>
                <w:iCs/>
                <w:sz w:val="18"/>
                <w:szCs w:val="18"/>
                <w:vertAlign w:val="superscript"/>
                <w:lang w:val="ro-RO" w:eastAsia="ro-MD"/>
              </w:rPr>
              <w:t>2</w:t>
            </w:r>
            <w:r w:rsidRPr="006F5136">
              <w:rPr>
                <w:rFonts w:ascii="Times New Roman" w:eastAsia="Times New Roman" w:hAnsi="Times New Roman" w:cs="Times New Roman"/>
                <w:i/>
                <w:iCs/>
                <w:sz w:val="18"/>
                <w:szCs w:val="18"/>
                <w:lang w:val="ro-RO" w:eastAsia="ro-MD"/>
              </w:rPr>
              <w:t>-a</w:t>
            </w:r>
            <w:r w:rsidRPr="006F5136">
              <w:rPr>
                <w:rFonts w:ascii="Times New Roman" w:eastAsia="Times New Roman" w:hAnsi="Times New Roman" w:cs="Times New Roman"/>
                <w:b/>
                <w:bCs/>
                <w:i/>
                <w:iCs/>
                <w:sz w:val="18"/>
                <w:szCs w:val="18"/>
                <w:lang w:val="ro-RO" w:eastAsia="ro-MD"/>
              </w:rPr>
              <w:t xml:space="preserve"> Excluderi de la abordările pentru calcularea valorilor expunerilor ponderate la risc pentru OPC-uri</w:t>
            </w:r>
          </w:p>
          <w:p w14:paraId="61B6AEF3" w14:textId="4B3B0A3E" w:rsidR="006B3BC1" w:rsidRPr="006F5136" w:rsidRDefault="006B3BC1" w:rsidP="006B3BC1">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20</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Băncile pot exclude din calculele menționate la punctele 82-82</w:t>
            </w:r>
            <w:r w:rsidRPr="006F5136">
              <w:rPr>
                <w:rFonts w:ascii="Times New Roman" w:eastAsia="Times New Roman" w:hAnsi="Times New Roman" w:cs="Times New Roman"/>
                <w:sz w:val="18"/>
                <w:szCs w:val="18"/>
                <w:vertAlign w:val="superscript"/>
                <w:lang w:val="ro-RO" w:eastAsia="ro-MD"/>
              </w:rPr>
              <w:t>7</w:t>
            </w:r>
            <w:r w:rsidRPr="006F5136">
              <w:rPr>
                <w:rFonts w:ascii="Times New Roman" w:eastAsia="Times New Roman" w:hAnsi="Times New Roman" w:cs="Times New Roman"/>
                <w:sz w:val="18"/>
                <w:szCs w:val="18"/>
                <w:lang w:val="ro-RO" w:eastAsia="ro-MD"/>
              </w:rPr>
              <w:t xml:space="preserve"> instrumentele de fonduri proprii de nivel 1 de bază, instrumentele de fonduri proprii de nivel 1 suplimentar, instrumentele de fonduri proprii de nivel 2 și instrumentele de pasive eligibile deținute de un OPC pe care băncile le deduc în conformitate cu Regulamentul nr.109/2018.</w:t>
            </w:r>
          </w:p>
          <w:p w14:paraId="56E1EA7C" w14:textId="77777777" w:rsidR="006B3BC1" w:rsidRPr="006F5136" w:rsidRDefault="006B3BC1" w:rsidP="006B3BC1">
            <w:pPr>
              <w:pStyle w:val="CM4"/>
              <w:tabs>
                <w:tab w:val="left" w:pos="150"/>
              </w:tabs>
              <w:ind w:left="-36"/>
              <w:rPr>
                <w:rFonts w:ascii="Times New Roman" w:hAnsi="Times New Roman"/>
                <w:sz w:val="18"/>
                <w:szCs w:val="18"/>
                <w:lang w:val="ro-RO" w:eastAsia="ro-MD"/>
              </w:rPr>
            </w:pPr>
            <w:r w:rsidRPr="006F5136">
              <w:rPr>
                <w:rFonts w:ascii="Times New Roman" w:hAnsi="Times New Roman"/>
                <w:b/>
                <w:bCs/>
                <w:sz w:val="18"/>
                <w:szCs w:val="18"/>
                <w:lang w:val="ro-RO" w:eastAsia="ro-MD"/>
              </w:rPr>
              <w:t>82</w:t>
            </w:r>
            <w:r w:rsidRPr="006F5136">
              <w:rPr>
                <w:rFonts w:ascii="Times New Roman" w:hAnsi="Times New Roman"/>
                <w:b/>
                <w:bCs/>
                <w:sz w:val="18"/>
                <w:szCs w:val="18"/>
                <w:vertAlign w:val="superscript"/>
                <w:lang w:val="ro-RO" w:eastAsia="ro-MD"/>
              </w:rPr>
              <w:t>21</w:t>
            </w:r>
            <w:r w:rsidRPr="006F5136">
              <w:rPr>
                <w:rFonts w:ascii="Times New Roman" w:hAnsi="Times New Roman"/>
                <w:b/>
                <w:bCs/>
                <w:sz w:val="18"/>
                <w:szCs w:val="18"/>
                <w:lang w:val="ro-RO" w:eastAsia="ro-MD"/>
              </w:rPr>
              <w:t>.</w:t>
            </w:r>
            <w:r w:rsidRPr="006F5136">
              <w:rPr>
                <w:rFonts w:ascii="Times New Roman" w:hAnsi="Times New Roman"/>
                <w:sz w:val="18"/>
                <w:szCs w:val="18"/>
                <w:lang w:val="ro-RO" w:eastAsia="ro-MD"/>
              </w:rPr>
              <w:t xml:space="preserve"> Băncile pot să excludă din calculele menționate la punctele 82-82</w:t>
            </w:r>
            <w:r w:rsidRPr="006F5136">
              <w:rPr>
                <w:rFonts w:ascii="Times New Roman" w:hAnsi="Times New Roman"/>
                <w:sz w:val="18"/>
                <w:szCs w:val="18"/>
                <w:vertAlign w:val="superscript"/>
                <w:lang w:val="ro-RO" w:eastAsia="ro-MD"/>
              </w:rPr>
              <w:t>7</w:t>
            </w:r>
            <w:r w:rsidRPr="006F5136">
              <w:rPr>
                <w:rFonts w:ascii="Times New Roman" w:hAnsi="Times New Roman"/>
                <w:sz w:val="18"/>
                <w:szCs w:val="18"/>
                <w:lang w:val="ro-RO" w:eastAsia="ro-MD"/>
              </w:rPr>
              <w:t xml:space="preserve"> expunerile provenind din titluri de capital care servesc drept suport pentru expuneri sub formă de unități sau acțiuni deținute în OPC-uri față de entități ale căror obligații din credite primesc o pondere de risc de 0 % în temeiul prezentului capitol, inclusiv față de entitățile finanțate public în cazul cărora se poate aplica o pondere de risc de 0 %, și expunerile provenind din titluri de capital menționate la punctul 86</w:t>
            </w:r>
            <w:r w:rsidRPr="006F5136">
              <w:rPr>
                <w:rFonts w:ascii="Times New Roman" w:hAnsi="Times New Roman"/>
                <w:sz w:val="18"/>
                <w:szCs w:val="18"/>
                <w:vertAlign w:val="superscript"/>
                <w:lang w:val="ro-RO" w:eastAsia="ro-MD"/>
              </w:rPr>
              <w:t>3</w:t>
            </w:r>
            <w:r w:rsidRPr="006F5136">
              <w:rPr>
                <w:rFonts w:ascii="Times New Roman" w:hAnsi="Times New Roman"/>
                <w:sz w:val="18"/>
                <w:szCs w:val="18"/>
                <w:lang w:val="ro-RO" w:eastAsia="ro-MD"/>
              </w:rPr>
              <w:t xml:space="preserve"> și să aplice, în schimb, respectivelor expuneri provenind din titluri de capital tratamentul prevăzut la punctele 84-86</w:t>
            </w:r>
            <w:r w:rsidRPr="006F5136">
              <w:rPr>
                <w:rFonts w:ascii="Times New Roman" w:hAnsi="Times New Roman"/>
                <w:sz w:val="18"/>
                <w:szCs w:val="18"/>
                <w:vertAlign w:val="superscript"/>
                <w:lang w:val="ro-RO" w:eastAsia="ro-MD"/>
              </w:rPr>
              <w:t>5</w:t>
            </w:r>
            <w:r w:rsidRPr="006F5136">
              <w:rPr>
                <w:rFonts w:ascii="Times New Roman" w:hAnsi="Times New Roman"/>
                <w:sz w:val="18"/>
                <w:szCs w:val="18"/>
                <w:lang w:val="ro-RO" w:eastAsia="ro-MD"/>
              </w:rPr>
              <w:t>.</w:t>
            </w:r>
          </w:p>
          <w:p w14:paraId="3BB79287" w14:textId="7BD9D780" w:rsidR="006B3BC1" w:rsidRPr="006F5136" w:rsidRDefault="006B3BC1" w:rsidP="006B3BC1">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0C7D0DBA" w14:textId="1C6670D4"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34845364" w14:textId="210332E9"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66DBFDF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E9564B8" w14:textId="171B66CD"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
                <w:sz w:val="18"/>
                <w:szCs w:val="18"/>
                <w:lang w:val="ro-RO" w:eastAsia="ru-RU"/>
              </w:rPr>
              <w:t>Articolul 132c</w:t>
            </w:r>
            <w:r w:rsidRPr="006F5136">
              <w:rPr>
                <w:rFonts w:ascii="Times New Roman" w:eastAsia="Times New Roman" w:hAnsi="Times New Roman" w:cs="Times New Roman"/>
                <w:iCs/>
                <w:sz w:val="18"/>
                <w:szCs w:val="18"/>
                <w:lang w:val="ro-RO" w:eastAsia="ru-RU"/>
              </w:rPr>
              <w:t xml:space="preserve"> </w:t>
            </w:r>
            <w:r w:rsidRPr="006F5136">
              <w:rPr>
                <w:rFonts w:ascii="Times New Roman" w:eastAsia="Times New Roman" w:hAnsi="Times New Roman" w:cs="Times New Roman"/>
                <w:b/>
                <w:bCs/>
                <w:iCs/>
                <w:sz w:val="18"/>
                <w:szCs w:val="18"/>
                <w:lang w:val="ro-RO" w:eastAsia="ru-RU"/>
              </w:rPr>
              <w:t>Tratamentul expunerilor extrabilanțiere față de OPC-uri</w:t>
            </w:r>
          </w:p>
          <w:p w14:paraId="4E4C584F" w14:textId="43677A35"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(1) Instituțiile calculează valoarea expunerii ponderate la risc a pentru elementele lor extrabilanțiere care au potențialul de a fi convertite în expuneri sub formă de unități sau acțiuni deținute într-un OPC, înmulțind valorile expunerilor pentru expunerile respective, calculate în conformitate cu articolul 111, cu următoarea pondere de risc:</w:t>
            </w:r>
          </w:p>
          <w:p w14:paraId="1A25BEB3" w14:textId="630ADAF4"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(a) pentru toate expunerile pentru care instituțiile utilizează una dintre abordările prevăzute la articolul 132a:</w:t>
            </w:r>
          </w:p>
          <w:p w14:paraId="35118C94" w14:textId="51B1D8C0"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noProof/>
                <w:sz w:val="18"/>
                <w:szCs w:val="18"/>
                <w:lang w:val="ro-RO"/>
              </w:rPr>
              <w:drawing>
                <wp:inline distT="0" distB="0" distL="0" distR="0" wp14:anchorId="02948ADD" wp14:editId="79F2B32D">
                  <wp:extent cx="1216549" cy="353637"/>
                  <wp:effectExtent l="0" t="0" r="3175"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1876" cy="355186"/>
                          </a:xfrm>
                          <a:prstGeom prst="rect">
                            <a:avLst/>
                          </a:prstGeom>
                          <a:noFill/>
                          <a:ln>
                            <a:noFill/>
                          </a:ln>
                        </pic:spPr>
                      </pic:pic>
                    </a:graphicData>
                  </a:graphic>
                </wp:inline>
              </w:drawing>
            </w:r>
          </w:p>
          <w:p w14:paraId="7D4AE267"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unde:</w:t>
            </w:r>
          </w:p>
          <w:tbl>
            <w:tblPr>
              <w:tblW w:w="5000" w:type="pct"/>
              <w:tblLayout w:type="fixed"/>
              <w:tblCellMar>
                <w:left w:w="0" w:type="dxa"/>
                <w:right w:w="0" w:type="dxa"/>
              </w:tblCellMar>
              <w:tblLook w:val="04A0" w:firstRow="1" w:lastRow="0" w:firstColumn="1" w:lastColumn="0" w:noHBand="0" w:noVBand="1"/>
            </w:tblPr>
            <w:tblGrid>
              <w:gridCol w:w="124"/>
              <w:gridCol w:w="236"/>
              <w:gridCol w:w="1496"/>
              <w:gridCol w:w="289"/>
              <w:gridCol w:w="3314"/>
            </w:tblGrid>
            <w:tr w:rsidR="006B3BC1" w:rsidRPr="006F5136" w14:paraId="476ADB45" w14:textId="77777777" w:rsidTr="00CF56FC">
              <w:tc>
                <w:tcPr>
                  <w:tcW w:w="1407" w:type="dxa"/>
                  <w:gridSpan w:val="3"/>
                  <w:shd w:val="clear" w:color="auto" w:fill="auto"/>
                  <w:hideMark/>
                </w:tcPr>
                <w:p w14:paraId="3CDC850D" w14:textId="0D4FE65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noProof/>
                      <w:sz w:val="18"/>
                      <w:szCs w:val="18"/>
                      <w:lang w:val="ro-RO"/>
                    </w:rPr>
                    <w:drawing>
                      <wp:inline distT="0" distB="0" distL="0" distR="0" wp14:anchorId="179FF15E" wp14:editId="119A847B">
                        <wp:extent cx="421419" cy="277104"/>
                        <wp:effectExtent l="0" t="0" r="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2260" cy="277657"/>
                                </a:xfrm>
                                <a:prstGeom prst="rect">
                                  <a:avLst/>
                                </a:prstGeom>
                                <a:noFill/>
                                <a:ln>
                                  <a:noFill/>
                                </a:ln>
                              </pic:spPr>
                            </pic:pic>
                          </a:graphicData>
                        </a:graphic>
                      </wp:inline>
                    </w:drawing>
                  </w:r>
                </w:p>
              </w:tc>
              <w:tc>
                <w:tcPr>
                  <w:tcW w:w="219" w:type="dxa"/>
                  <w:shd w:val="clear" w:color="auto" w:fill="auto"/>
                  <w:hideMark/>
                </w:tcPr>
                <w:p w14:paraId="72E91278" w14:textId="7777777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w:t>
                  </w:r>
                </w:p>
              </w:tc>
              <w:tc>
                <w:tcPr>
                  <w:tcW w:w="2513" w:type="dxa"/>
                  <w:shd w:val="clear" w:color="auto" w:fill="auto"/>
                  <w:hideMark/>
                </w:tcPr>
                <w:p w14:paraId="7276821F" w14:textId="7777777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ponderea de risc;</w:t>
                  </w:r>
                </w:p>
              </w:tc>
            </w:tr>
            <w:tr w:rsidR="006B3BC1" w:rsidRPr="006F5136" w14:paraId="418C6EC8" w14:textId="77777777" w:rsidTr="00CF56FC">
              <w:tc>
                <w:tcPr>
                  <w:tcW w:w="94" w:type="dxa"/>
                  <w:shd w:val="clear" w:color="auto" w:fill="auto"/>
                  <w:hideMark/>
                </w:tcPr>
                <w:p w14:paraId="3D1D924D" w14:textId="7777777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i</w:t>
                  </w:r>
                </w:p>
              </w:tc>
              <w:tc>
                <w:tcPr>
                  <w:tcW w:w="179" w:type="dxa"/>
                  <w:shd w:val="clear" w:color="auto" w:fill="auto"/>
                  <w:hideMark/>
                </w:tcPr>
                <w:p w14:paraId="32826F76" w14:textId="7777777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w:t>
                  </w:r>
                </w:p>
              </w:tc>
              <w:tc>
                <w:tcPr>
                  <w:tcW w:w="3866" w:type="dxa"/>
                  <w:gridSpan w:val="3"/>
                  <w:shd w:val="clear" w:color="auto" w:fill="auto"/>
                  <w:hideMark/>
                </w:tcPr>
                <w:p w14:paraId="50FAD363" w14:textId="7777777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indicele care desemnează filiala;</w:t>
                  </w:r>
                </w:p>
              </w:tc>
            </w:tr>
          </w:tbl>
          <w:p w14:paraId="4382C520"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p>
          <w:tbl>
            <w:tblPr>
              <w:tblW w:w="5000" w:type="pct"/>
              <w:tblLayout w:type="fixed"/>
              <w:tblCellMar>
                <w:left w:w="0" w:type="dxa"/>
                <w:right w:w="0" w:type="dxa"/>
              </w:tblCellMar>
              <w:tblLook w:val="04A0" w:firstRow="1" w:lastRow="0" w:firstColumn="1" w:lastColumn="0" w:noHBand="0" w:noVBand="1"/>
            </w:tblPr>
            <w:tblGrid>
              <w:gridCol w:w="544"/>
              <w:gridCol w:w="107"/>
              <w:gridCol w:w="4808"/>
            </w:tblGrid>
            <w:tr w:rsidR="006B3BC1" w:rsidRPr="006F5136" w14:paraId="69DF3BC6" w14:textId="77777777" w:rsidTr="00A64092">
              <w:tc>
                <w:tcPr>
                  <w:tcW w:w="954" w:type="dxa"/>
                  <w:shd w:val="clear" w:color="auto" w:fill="auto"/>
                  <w:hideMark/>
                </w:tcPr>
                <w:p w14:paraId="0AD127A2" w14:textId="7777777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RWAEi</w:t>
                  </w:r>
                </w:p>
              </w:tc>
              <w:tc>
                <w:tcPr>
                  <w:tcW w:w="176" w:type="dxa"/>
                  <w:shd w:val="clear" w:color="auto" w:fill="auto"/>
                  <w:hideMark/>
                </w:tcPr>
                <w:p w14:paraId="14EA1E83" w14:textId="7777777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w:t>
                  </w:r>
                </w:p>
              </w:tc>
              <w:tc>
                <w:tcPr>
                  <w:tcW w:w="8559" w:type="dxa"/>
                  <w:shd w:val="clear" w:color="auto" w:fill="auto"/>
                  <w:hideMark/>
                </w:tcPr>
                <w:p w14:paraId="74A144F4" w14:textId="7777777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cuantumul calculat în conformitate cu articolul 132a pentru un OPCi;</w:t>
                  </w:r>
                </w:p>
              </w:tc>
            </w:tr>
          </w:tbl>
          <w:p w14:paraId="340513F1"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p>
          <w:tbl>
            <w:tblPr>
              <w:tblW w:w="4290" w:type="dxa"/>
              <w:tblLayout w:type="fixed"/>
              <w:tblCellMar>
                <w:left w:w="0" w:type="dxa"/>
                <w:right w:w="0" w:type="dxa"/>
              </w:tblCellMar>
              <w:tblLook w:val="04A0" w:firstRow="1" w:lastRow="0" w:firstColumn="1" w:lastColumn="0" w:noHBand="0" w:noVBand="1"/>
            </w:tblPr>
            <w:tblGrid>
              <w:gridCol w:w="151"/>
              <w:gridCol w:w="70"/>
              <w:gridCol w:w="151"/>
              <w:gridCol w:w="72"/>
              <w:gridCol w:w="15"/>
              <w:gridCol w:w="64"/>
              <w:gridCol w:w="42"/>
              <w:gridCol w:w="22"/>
              <w:gridCol w:w="3552"/>
              <w:gridCol w:w="151"/>
            </w:tblGrid>
            <w:tr w:rsidR="006B3BC1" w:rsidRPr="006F5136" w14:paraId="4F596008" w14:textId="77777777" w:rsidTr="00CF56FC">
              <w:trPr>
                <w:gridAfter w:val="1"/>
                <w:wAfter w:w="151" w:type="dxa"/>
              </w:trPr>
              <w:tc>
                <w:tcPr>
                  <w:tcW w:w="459" w:type="dxa"/>
                  <w:gridSpan w:val="5"/>
                  <w:shd w:val="clear" w:color="auto" w:fill="auto"/>
                  <w:hideMark/>
                </w:tcPr>
                <w:p w14:paraId="41DAC570" w14:textId="2512DADE"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noProof/>
                      <w:sz w:val="18"/>
                      <w:szCs w:val="18"/>
                      <w:lang w:val="ro-RO"/>
                    </w:rPr>
                    <w:drawing>
                      <wp:inline distT="0" distB="0" distL="0" distR="0" wp14:anchorId="6DFB6126" wp14:editId="0F1628DC">
                        <wp:extent cx="215730" cy="246490"/>
                        <wp:effectExtent l="0" t="0" r="0" b="127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8555" cy="249718"/>
                                </a:xfrm>
                                <a:prstGeom prst="rect">
                                  <a:avLst/>
                                </a:prstGeom>
                                <a:noFill/>
                                <a:ln>
                                  <a:noFill/>
                                </a:ln>
                              </pic:spPr>
                            </pic:pic>
                          </a:graphicData>
                        </a:graphic>
                      </wp:inline>
                    </w:drawing>
                  </w:r>
                </w:p>
              </w:tc>
              <w:tc>
                <w:tcPr>
                  <w:tcW w:w="128" w:type="dxa"/>
                  <w:gridSpan w:val="3"/>
                  <w:shd w:val="clear" w:color="auto" w:fill="auto"/>
                  <w:hideMark/>
                </w:tcPr>
                <w:p w14:paraId="00D53F12" w14:textId="7777777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w:t>
                  </w:r>
                </w:p>
              </w:tc>
              <w:tc>
                <w:tcPr>
                  <w:tcW w:w="3552" w:type="dxa"/>
                  <w:shd w:val="clear" w:color="auto" w:fill="auto"/>
                  <w:hideMark/>
                </w:tcPr>
                <w:p w14:paraId="0FE13FCD" w14:textId="7777777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valoarea expunerii pentru expunerile OPCi;</w:t>
                  </w:r>
                </w:p>
              </w:tc>
            </w:tr>
            <w:tr w:rsidR="006B3BC1" w:rsidRPr="006F5136" w14:paraId="780FF18C" w14:textId="77777777" w:rsidTr="00CF56FC">
              <w:tc>
                <w:tcPr>
                  <w:tcW w:w="221" w:type="dxa"/>
                  <w:gridSpan w:val="2"/>
                  <w:shd w:val="clear" w:color="auto" w:fill="auto"/>
                  <w:hideMark/>
                </w:tcPr>
                <w:p w14:paraId="70F97BD9" w14:textId="7777777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Ai</w:t>
                  </w:r>
                </w:p>
              </w:tc>
              <w:tc>
                <w:tcPr>
                  <w:tcW w:w="151" w:type="dxa"/>
                </w:tcPr>
                <w:p w14:paraId="6F75A0F7" w14:textId="7777777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p>
              </w:tc>
              <w:tc>
                <w:tcPr>
                  <w:tcW w:w="151" w:type="dxa"/>
                  <w:gridSpan w:val="3"/>
                  <w:shd w:val="clear" w:color="auto" w:fill="auto"/>
                  <w:hideMark/>
                </w:tcPr>
                <w:p w14:paraId="2E111ADC" w14:textId="1DAC20DE"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w:t>
                  </w:r>
                </w:p>
              </w:tc>
              <w:tc>
                <w:tcPr>
                  <w:tcW w:w="3767" w:type="dxa"/>
                  <w:gridSpan w:val="4"/>
                  <w:shd w:val="clear" w:color="auto" w:fill="auto"/>
                  <w:hideMark/>
                </w:tcPr>
                <w:p w14:paraId="61403A78" w14:textId="7777777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valoarea contabilă a activelor OPCi; și</w:t>
                  </w:r>
                </w:p>
              </w:tc>
            </w:tr>
            <w:tr w:rsidR="006B3BC1" w:rsidRPr="006F5136" w14:paraId="5FB65356" w14:textId="77777777" w:rsidTr="00CF56FC">
              <w:tc>
                <w:tcPr>
                  <w:tcW w:w="151" w:type="dxa"/>
                </w:tcPr>
                <w:p w14:paraId="11ADA65E" w14:textId="7777777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p>
              </w:tc>
              <w:tc>
                <w:tcPr>
                  <w:tcW w:w="293" w:type="dxa"/>
                  <w:gridSpan w:val="3"/>
                  <w:shd w:val="clear" w:color="auto" w:fill="auto"/>
                  <w:hideMark/>
                </w:tcPr>
                <w:p w14:paraId="56210D57" w14:textId="49DF2C2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EQi</w:t>
                  </w:r>
                </w:p>
              </w:tc>
              <w:tc>
                <w:tcPr>
                  <w:tcW w:w="121" w:type="dxa"/>
                  <w:gridSpan w:val="3"/>
                  <w:shd w:val="clear" w:color="auto" w:fill="auto"/>
                  <w:hideMark/>
                </w:tcPr>
                <w:p w14:paraId="4D09A403" w14:textId="7777777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w:t>
                  </w:r>
                </w:p>
              </w:tc>
              <w:tc>
                <w:tcPr>
                  <w:tcW w:w="3725" w:type="dxa"/>
                  <w:gridSpan w:val="3"/>
                  <w:shd w:val="clear" w:color="auto" w:fill="auto"/>
                  <w:hideMark/>
                </w:tcPr>
                <w:p w14:paraId="74678CDB" w14:textId="77777777"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valoarea contabilă a fondurilor proprii ale OPCi;</w:t>
                  </w:r>
                </w:p>
                <w:p w14:paraId="05E5E607" w14:textId="49A25A1B" w:rsidR="006B3BC1" w:rsidRPr="006F5136" w:rsidRDefault="006B3BC1" w:rsidP="006B3BC1">
                  <w:pPr>
                    <w:spacing w:after="0" w:line="240" w:lineRule="auto"/>
                    <w:jc w:val="both"/>
                    <w:rPr>
                      <w:rFonts w:ascii="Times New Roman" w:eastAsia="Times New Roman" w:hAnsi="Times New Roman" w:cs="Times New Roman"/>
                      <w:iCs/>
                      <w:sz w:val="18"/>
                      <w:szCs w:val="18"/>
                      <w:lang w:val="ro-RO" w:eastAsia="ru-RU"/>
                    </w:rPr>
                  </w:pPr>
                </w:p>
              </w:tc>
            </w:tr>
          </w:tbl>
          <w:p w14:paraId="77D3DE09" w14:textId="1701D5EB"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(b) pentru toate celelalte expuneri,</w:t>
            </w:r>
          </w:p>
          <w:p w14:paraId="2F49BF0E" w14:textId="5ADB53EF"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noProof/>
                <w:sz w:val="18"/>
                <w:szCs w:val="18"/>
                <w:lang w:val="ro-RO"/>
              </w:rPr>
              <w:drawing>
                <wp:inline distT="0" distB="0" distL="0" distR="0" wp14:anchorId="5FCAD09F" wp14:editId="35997CA4">
                  <wp:extent cx="894465" cy="214686"/>
                  <wp:effectExtent l="0" t="0" r="127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04521" cy="217100"/>
                          </a:xfrm>
                          <a:prstGeom prst="rect">
                            <a:avLst/>
                          </a:prstGeom>
                          <a:noFill/>
                          <a:ln>
                            <a:noFill/>
                          </a:ln>
                        </pic:spPr>
                      </pic:pic>
                    </a:graphicData>
                  </a:graphic>
                </wp:inline>
              </w:drawing>
            </w:r>
            <w:r w:rsidRPr="006F5136">
              <w:rPr>
                <w:rFonts w:ascii="Times New Roman" w:eastAsia="Times New Roman" w:hAnsi="Times New Roman" w:cs="Times New Roman"/>
                <w:iCs/>
                <w:sz w:val="18"/>
                <w:szCs w:val="18"/>
                <w:lang w:val="ro-RO" w:eastAsia="ru-RU"/>
              </w:rPr>
              <w:t>.</w:t>
            </w:r>
          </w:p>
          <w:p w14:paraId="6507DF2B" w14:textId="02D10960"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(2)   ►M17   Instituțiile calculează valoarea expunerii unui angajament de valoare minimă care îndeplinește condițiile prevăzute la alineatul (3) de la prezentul articol ca fiind valoarea actualizată curentă a cuantumului garantat utilizând un factor de actualizare care este derivat dintr-o rată fără risc în temeiul articolului 325l alineatul (2) sau (3), după caz. Instituțiile pot reduce valoarea expunerii a angajamentului de valoare minimă pentru orice pierdere recunoscută în raport cu angajamentul de valoare minimă în conformitate cu standardul contabil aplicabil. ◄</w:t>
            </w:r>
          </w:p>
          <w:p w14:paraId="5EBFE56A"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 xml:space="preserve">Instituțiile calculează valoarea expunerii ponderate la risc pentru expunerile lor extrabilanțiere rezultate din angajamente de valoare minimă care întrunesc toate condițiile menționate la alineatul (3) din prezentul articol înmulțind valorile expunerilor pentru expunerile respective cu un factor de conversie de 20 % și cu ponderea de risc care decurge din articolul 132 sau 152. </w:t>
            </w:r>
          </w:p>
          <w:p w14:paraId="5F0E452C"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(3)   Instituțiile stabilesc valoarea expunerii ponderate la risc pentru expunerile lor extrabilanțiere rezultate din angajamente de valoare minimă în conformitate cu alineatul (2) dacă sunt îndeplinite cumulativ următoarele condiții:</w:t>
            </w:r>
          </w:p>
          <w:p w14:paraId="7E88B7E2" w14:textId="11F46544"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(a) expunerea extrabilanțieră a instituției constă într-un angajament de valoare minimă pentru o investiție în unități sau acțiuni într-unul sau mai multe OPC-uri în baza căruia instituția este obligată să plătească, conform angajamentului de valoare minimă, numai în cazul în care valoarea de piață a expunerilor-suport ale OPC-ului sau OPC-urilor scade sub un anumit prag predeterminat într-unul sau mai multe momente specificate în contract;</w:t>
            </w:r>
          </w:p>
          <w:p w14:paraId="73CCFBBC" w14:textId="40AB9809"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(b) OPC-ul este unul dintre următoarele:</w:t>
            </w:r>
          </w:p>
          <w:p w14:paraId="76DF2CF6" w14:textId="2D235CCB"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(i) un OPCVM, astfel cum este definit în Directiva 2009/65/CE; sau</w:t>
            </w:r>
          </w:p>
          <w:p w14:paraId="42BC3903" w14:textId="15099EF2"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(ii) un FIA, astfel cum este definit la articolul 4 alineatul (1) litera (a) din Directiva 2011/61/UE, care investește exclusiv în valori mobiliare sau în alte active financiare lichide menționate la articolul 50 alineatul (1) din Directiva 2009/65/CE, în cazul în care mandatul fondului nu permite un nivel al efectului de levier mai mare decât cel permis în temeiul articolului 51 alineatul (3) din Directiva 2009/65/CE;</w:t>
            </w:r>
          </w:p>
          <w:p w14:paraId="31FA125B" w14:textId="5AA170ED"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(c) valoarea de piață curentă a expunerilor-suport ale OPC-ului care constituie suportul angajamentului de valoare minimă, fără a ține seama de efectul angajamentelor de valoare minimă extrabilanțiere, acoperă sau depășește valoarea actualizată a pragului specificat în angajamentul de valoare minimă;</w:t>
            </w:r>
          </w:p>
          <w:p w14:paraId="52935A74" w14:textId="77E656EB" w:rsidR="006B3BC1" w:rsidRPr="006F5136" w:rsidRDefault="006B3BC1" w:rsidP="006B3BC1">
            <w:pPr>
              <w:shd w:val="clear" w:color="auto" w:fill="FFFFFF"/>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(d) în cazul în care excedentul valorii de piață a expunerilor-suport ale OPC-ului sau OPC-urilor față de valoarea curentă a angajamentului de valoare minimă scade, instituția sau altă întreprindere, în măsura în care este vizată de aceeași supraveghere pe bază consolidată al cărei obiect îl constituie instituția însăși în conformitate cu prezentul regulament și cu Directiva 2013/36/UE sau Directiva 2002/87/CE, poate influența componența expunerilor-suport ale OPC-ului sau OPC-urilor sau poate limita potențialul de reducere în continuare a excedentului în alte moduri;</w:t>
            </w:r>
          </w:p>
          <w:p w14:paraId="7EC356AA" w14:textId="7E76222A" w:rsidR="006B3BC1" w:rsidRPr="006F5136" w:rsidRDefault="006B3BC1" w:rsidP="006B3BC1">
            <w:pPr>
              <w:shd w:val="clear" w:color="auto" w:fill="FFFFFF"/>
              <w:spacing w:after="0" w:line="240" w:lineRule="auto"/>
              <w:jc w:val="both"/>
              <w:rPr>
                <w:rFonts w:ascii="Times New Roman" w:hAnsi="Times New Roman" w:cs="Times New Roman"/>
                <w:i/>
                <w:sz w:val="18"/>
                <w:szCs w:val="18"/>
                <w:lang w:val="ro-RO" w:eastAsia="ru-RU"/>
              </w:rPr>
            </w:pPr>
            <w:r w:rsidRPr="006F5136">
              <w:rPr>
                <w:rFonts w:ascii="Times New Roman" w:eastAsia="Times New Roman" w:hAnsi="Times New Roman" w:cs="Times New Roman"/>
                <w:iCs/>
                <w:sz w:val="18"/>
                <w:szCs w:val="18"/>
                <w:lang w:val="ro-RO" w:eastAsia="ru-RU"/>
              </w:rPr>
              <w:t>(e) beneficiarul final direct sau indirect al angajamentului de valoare minimă este, în general, un client de retail, astfel cum este definit la articolul 4 alineatul (1) punctul 11 din Directiva 2014/65/UE.</w:t>
            </w:r>
          </w:p>
        </w:tc>
        <w:tc>
          <w:tcPr>
            <w:tcW w:w="1661" w:type="pct"/>
            <w:shd w:val="clear" w:color="auto" w:fill="auto"/>
          </w:tcPr>
          <w:p w14:paraId="3FDBF931" w14:textId="4AE86468" w:rsidR="006B3BC1" w:rsidRPr="006F5136" w:rsidRDefault="006B3BC1" w:rsidP="006B3BC1">
            <w:pPr>
              <w:spacing w:after="0" w:line="240" w:lineRule="auto"/>
              <w:rPr>
                <w:rFonts w:ascii="Times New Roman" w:eastAsia="Times New Roman" w:hAnsi="Times New Roman" w:cs="Times New Roman"/>
                <w:b/>
                <w:bCs/>
                <w:i/>
                <w:iCs/>
                <w:sz w:val="18"/>
                <w:szCs w:val="18"/>
                <w:lang w:val="ro-RO" w:eastAsia="ro-MD"/>
              </w:rPr>
            </w:pPr>
            <w:r w:rsidRPr="006F5136">
              <w:rPr>
                <w:rFonts w:ascii="Times New Roman" w:eastAsia="Times New Roman" w:hAnsi="Times New Roman" w:cs="Times New Roman"/>
                <w:i/>
                <w:iCs/>
                <w:sz w:val="18"/>
                <w:szCs w:val="18"/>
                <w:lang w:val="ro-RO" w:eastAsia="ro-MD"/>
              </w:rPr>
              <w:t>Secțiunea a 18</w:t>
            </w:r>
            <w:r w:rsidRPr="006F5136">
              <w:rPr>
                <w:rFonts w:ascii="Times New Roman" w:eastAsia="Times New Roman" w:hAnsi="Times New Roman" w:cs="Times New Roman"/>
                <w:i/>
                <w:iCs/>
                <w:sz w:val="18"/>
                <w:szCs w:val="18"/>
                <w:vertAlign w:val="superscript"/>
                <w:lang w:val="ro-RO" w:eastAsia="ro-MD"/>
              </w:rPr>
              <w:t>3</w:t>
            </w:r>
            <w:r w:rsidRPr="006F5136">
              <w:rPr>
                <w:rFonts w:ascii="Times New Roman" w:eastAsia="Times New Roman" w:hAnsi="Times New Roman" w:cs="Times New Roman"/>
                <w:i/>
                <w:iCs/>
                <w:sz w:val="18"/>
                <w:szCs w:val="18"/>
                <w:lang w:val="ro-RO" w:eastAsia="ro-MD"/>
              </w:rPr>
              <w:t>-a</w:t>
            </w:r>
            <w:r w:rsidRPr="006F5136">
              <w:rPr>
                <w:rFonts w:ascii="Times New Roman" w:eastAsia="Times New Roman" w:hAnsi="Times New Roman" w:cs="Times New Roman"/>
                <w:b/>
                <w:bCs/>
                <w:i/>
                <w:iCs/>
                <w:sz w:val="18"/>
                <w:szCs w:val="18"/>
                <w:lang w:val="ro-RO" w:eastAsia="ro-MD"/>
              </w:rPr>
              <w:t xml:space="preserve"> Tratamentul expunerilor extrabilanțiere față de OPC-uri</w:t>
            </w:r>
          </w:p>
          <w:p w14:paraId="74F3952E" w14:textId="384B6F18" w:rsidR="006B3BC1" w:rsidRPr="006F5136" w:rsidRDefault="006B3BC1" w:rsidP="006B3BC1">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22</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Băncile calculează valoarea expunerii ponderate la risc pentru elementele lor extrabilanțiere care au potențialul de a fi convertite în expuneri sub formă de unități sau acțiuni deținute într-un OPC, înmulțind valorile expunerilor pentru expunerile respective, calculate în conformitate cu punctele 5-10 din Regulamentul nr.111/2018, cu următoarea pondere de risc:</w:t>
            </w:r>
          </w:p>
          <w:p w14:paraId="3FAEF162" w14:textId="77777777" w:rsidR="006B3BC1" w:rsidRPr="006F5136" w:rsidRDefault="006B3BC1" w:rsidP="006B3BC1">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pentru toate expunerile pentru care băncile utilizează una dintre abordările prevăzute la punctele 82</w:t>
            </w:r>
            <w:r w:rsidRPr="006F5136">
              <w:rPr>
                <w:rFonts w:ascii="Times New Roman" w:eastAsia="Times New Roman" w:hAnsi="Times New Roman" w:cs="Times New Roman"/>
                <w:sz w:val="18"/>
                <w:szCs w:val="18"/>
                <w:vertAlign w:val="superscript"/>
                <w:lang w:val="ro-RO" w:eastAsia="ro-MD"/>
              </w:rPr>
              <w:t>14</w:t>
            </w:r>
            <w:r w:rsidRPr="006F5136">
              <w:rPr>
                <w:rFonts w:ascii="Times New Roman" w:eastAsia="Times New Roman" w:hAnsi="Times New Roman" w:cs="Times New Roman"/>
                <w:sz w:val="18"/>
                <w:szCs w:val="18"/>
                <w:lang w:val="ro-RO" w:eastAsia="ro-MD"/>
              </w:rPr>
              <w:t>-82</w:t>
            </w:r>
            <w:r w:rsidRPr="006F5136">
              <w:rPr>
                <w:rFonts w:ascii="Times New Roman" w:eastAsia="Times New Roman" w:hAnsi="Times New Roman" w:cs="Times New Roman"/>
                <w:sz w:val="18"/>
                <w:szCs w:val="18"/>
                <w:vertAlign w:val="superscript"/>
                <w:lang w:val="ro-RO" w:eastAsia="ro-MD"/>
              </w:rPr>
              <w:t>19</w:t>
            </w:r>
            <w:r w:rsidRPr="006F5136">
              <w:rPr>
                <w:rFonts w:ascii="Times New Roman" w:eastAsia="Times New Roman" w:hAnsi="Times New Roman" w:cs="Times New Roman"/>
                <w:sz w:val="18"/>
                <w:szCs w:val="18"/>
                <w:lang w:val="ro-RO" w:eastAsia="ro-MD"/>
              </w:rPr>
              <w:t>:</w:t>
            </w:r>
          </w:p>
          <w:p w14:paraId="356F1731" w14:textId="77777777" w:rsidR="006B3BC1" w:rsidRPr="006F5136" w:rsidRDefault="006B3BC1" w:rsidP="006B3BC1">
            <w:pPr>
              <w:shd w:val="clear" w:color="auto" w:fill="FFFFFF"/>
              <w:spacing w:after="0" w:line="240" w:lineRule="auto"/>
              <w:jc w:val="center"/>
              <w:rPr>
                <w:rFonts w:ascii="Times New Roman" w:eastAsia="Times New Roman" w:hAnsi="Times New Roman" w:cs="Times New Roman"/>
                <w:sz w:val="18"/>
                <w:szCs w:val="18"/>
                <w:lang w:eastAsia="ro-MD"/>
              </w:rPr>
            </w:pPr>
            <w:r w:rsidRPr="006F5136">
              <w:rPr>
                <w:rFonts w:ascii="Times New Roman" w:hAnsi="Times New Roman" w:cs="Times New Roman"/>
                <w:noProof/>
                <w:sz w:val="18"/>
                <w:szCs w:val="18"/>
              </w:rPr>
              <w:drawing>
                <wp:inline distT="0" distB="0" distL="0" distR="0" wp14:anchorId="09883D65" wp14:editId="4AA80922">
                  <wp:extent cx="2298065" cy="668020"/>
                  <wp:effectExtent l="0" t="0" r="0" b="0"/>
                  <wp:docPr id="42" name="Picture 4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98065" cy="668020"/>
                          </a:xfrm>
                          <a:prstGeom prst="rect">
                            <a:avLst/>
                          </a:prstGeom>
                          <a:noFill/>
                          <a:ln>
                            <a:noFill/>
                          </a:ln>
                        </pic:spPr>
                      </pic:pic>
                    </a:graphicData>
                  </a:graphic>
                </wp:inline>
              </w:drawing>
            </w:r>
          </w:p>
          <w:p w14:paraId="01D97D6F" w14:textId="77777777" w:rsidR="006B3BC1" w:rsidRPr="006F5136" w:rsidRDefault="006B3BC1" w:rsidP="006B3BC1">
            <w:pPr>
              <w:spacing w:after="0" w:line="240" w:lineRule="auto"/>
              <w:ind w:firstLine="567"/>
              <w:jc w:val="both"/>
              <w:rPr>
                <w:rFonts w:ascii="Times New Roman" w:eastAsia="Times New Roman" w:hAnsi="Times New Roman" w:cs="Times New Roman"/>
                <w:sz w:val="18"/>
                <w:szCs w:val="18"/>
                <w:lang w:val="ro-RO" w:eastAsia="ro-MD"/>
              </w:rPr>
            </w:pPr>
          </w:p>
          <w:p w14:paraId="0FADBB82" w14:textId="77777777" w:rsidR="006B3BC1" w:rsidRPr="006F5136" w:rsidRDefault="006B3BC1" w:rsidP="006B3BC1">
            <w:pPr>
              <w:spacing w:after="0" w:line="240" w:lineRule="auto"/>
              <w:ind w:firstLine="567"/>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unde:</w:t>
            </w:r>
          </w:p>
          <w:tbl>
            <w:tblPr>
              <w:tblW w:w="3256" w:type="pct"/>
              <w:tblLayout w:type="fixed"/>
              <w:tblCellMar>
                <w:left w:w="0" w:type="dxa"/>
                <w:right w:w="0" w:type="dxa"/>
              </w:tblCellMar>
              <w:tblLook w:val="04A0" w:firstRow="1" w:lastRow="0" w:firstColumn="1" w:lastColumn="0" w:noHBand="0" w:noVBand="1"/>
            </w:tblPr>
            <w:tblGrid>
              <w:gridCol w:w="1518"/>
              <w:gridCol w:w="1531"/>
            </w:tblGrid>
            <w:tr w:rsidR="006B3BC1" w:rsidRPr="006F5136" w14:paraId="32EDCCFB" w14:textId="77777777" w:rsidTr="008311B6">
              <w:trPr>
                <w:trHeight w:val="567"/>
              </w:trPr>
              <w:tc>
                <w:tcPr>
                  <w:tcW w:w="2490" w:type="pct"/>
                  <w:shd w:val="clear" w:color="auto" w:fill="auto"/>
                  <w:hideMark/>
                </w:tcPr>
                <w:p w14:paraId="16FF15D7" w14:textId="77777777" w:rsidR="006B3BC1" w:rsidRPr="006F5136" w:rsidRDefault="006B3BC1" w:rsidP="006B3BC1">
                  <w:pPr>
                    <w:spacing w:after="0" w:line="240" w:lineRule="auto"/>
                    <w:ind w:firstLine="567"/>
                    <w:rPr>
                      <w:rFonts w:ascii="Times New Roman" w:eastAsia="Times New Roman" w:hAnsi="Times New Roman" w:cs="Times New Roman"/>
                      <w:color w:val="000000" w:themeColor="text1"/>
                      <w:sz w:val="18"/>
                      <w:szCs w:val="18"/>
                      <w:lang w:eastAsia="ro-MD"/>
                    </w:rPr>
                  </w:pPr>
                  <w:r w:rsidRPr="006F5136">
                    <w:rPr>
                      <w:rFonts w:ascii="Times New Roman" w:hAnsi="Times New Roman" w:cs="Times New Roman"/>
                      <w:noProof/>
                      <w:sz w:val="18"/>
                      <w:szCs w:val="18"/>
                    </w:rPr>
                    <w:drawing>
                      <wp:inline distT="0" distB="0" distL="0" distR="0" wp14:anchorId="2B733518" wp14:editId="7DC8A817">
                        <wp:extent cx="580390" cy="381635"/>
                        <wp:effectExtent l="0" t="0" r="0" b="0"/>
                        <wp:docPr id="41" name="Picture 4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0390" cy="381635"/>
                                </a:xfrm>
                                <a:prstGeom prst="rect">
                                  <a:avLst/>
                                </a:prstGeom>
                                <a:noFill/>
                                <a:ln>
                                  <a:noFill/>
                                </a:ln>
                              </pic:spPr>
                            </pic:pic>
                          </a:graphicData>
                        </a:graphic>
                      </wp:inline>
                    </w:drawing>
                  </w:r>
                </w:p>
              </w:tc>
              <w:tc>
                <w:tcPr>
                  <w:tcW w:w="2510" w:type="pct"/>
                  <w:shd w:val="clear" w:color="auto" w:fill="auto"/>
                  <w:hideMark/>
                </w:tcPr>
                <w:p w14:paraId="52F598A5" w14:textId="77777777" w:rsidR="006B3BC1" w:rsidRPr="006F5136" w:rsidRDefault="006B3BC1" w:rsidP="006B3BC1">
                  <w:pPr>
                    <w:spacing w:after="0" w:line="240" w:lineRule="auto"/>
                    <w:ind w:hanging="1"/>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 ponderea de risc;</w:t>
                  </w:r>
                </w:p>
              </w:tc>
            </w:tr>
          </w:tbl>
          <w:p w14:paraId="67DD8742" w14:textId="77777777" w:rsidR="006B3BC1" w:rsidRPr="006F5136" w:rsidRDefault="006B3BC1" w:rsidP="006B3BC1">
            <w:pPr>
              <w:spacing w:after="0" w:line="240" w:lineRule="auto"/>
              <w:ind w:firstLine="567"/>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i = indicele care desemnează filiala;</w:t>
            </w:r>
          </w:p>
          <w:p w14:paraId="389AD328" w14:textId="77777777" w:rsidR="006B3BC1" w:rsidRPr="006F5136" w:rsidRDefault="006B3BC1" w:rsidP="006B3BC1">
            <w:pPr>
              <w:spacing w:after="0" w:line="240" w:lineRule="auto"/>
              <w:ind w:firstLine="567"/>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RWAE</w:t>
            </w:r>
            <w:r w:rsidRPr="006F5136">
              <w:rPr>
                <w:rFonts w:ascii="Times New Roman" w:eastAsia="Times New Roman" w:hAnsi="Times New Roman" w:cs="Times New Roman"/>
                <w:sz w:val="18"/>
                <w:szCs w:val="18"/>
                <w:vertAlign w:val="subscript"/>
                <w:lang w:val="ro-RO" w:eastAsia="ro-MD"/>
              </w:rPr>
              <w:t>i</w:t>
            </w:r>
            <w:r w:rsidRPr="006F5136">
              <w:rPr>
                <w:rFonts w:ascii="Times New Roman" w:eastAsia="Times New Roman" w:hAnsi="Times New Roman" w:cs="Times New Roman"/>
                <w:sz w:val="18"/>
                <w:szCs w:val="18"/>
                <w:lang w:val="ro-RO" w:eastAsia="ro-MD"/>
              </w:rPr>
              <w:t xml:space="preserve"> = cuantumul calculat în conformitate cu punctele 82</w:t>
            </w:r>
            <w:r w:rsidRPr="006F5136">
              <w:rPr>
                <w:rFonts w:ascii="Times New Roman" w:eastAsia="Times New Roman" w:hAnsi="Times New Roman" w:cs="Times New Roman"/>
                <w:sz w:val="18"/>
                <w:szCs w:val="18"/>
                <w:vertAlign w:val="superscript"/>
                <w:lang w:val="ro-RO" w:eastAsia="ro-MD"/>
              </w:rPr>
              <w:t>14</w:t>
            </w:r>
            <w:r w:rsidRPr="006F5136">
              <w:rPr>
                <w:rFonts w:ascii="Times New Roman" w:eastAsia="Times New Roman" w:hAnsi="Times New Roman" w:cs="Times New Roman"/>
                <w:sz w:val="18"/>
                <w:szCs w:val="18"/>
                <w:lang w:val="ro-RO" w:eastAsia="ro-MD"/>
              </w:rPr>
              <w:t>-82</w:t>
            </w:r>
            <w:r w:rsidRPr="006F5136">
              <w:rPr>
                <w:rFonts w:ascii="Times New Roman" w:eastAsia="Times New Roman" w:hAnsi="Times New Roman" w:cs="Times New Roman"/>
                <w:sz w:val="18"/>
                <w:szCs w:val="18"/>
                <w:vertAlign w:val="superscript"/>
                <w:lang w:val="ro-RO" w:eastAsia="ro-MD"/>
              </w:rPr>
              <w:t>19</w:t>
            </w:r>
            <w:r w:rsidRPr="006F5136">
              <w:rPr>
                <w:rFonts w:ascii="Times New Roman" w:eastAsia="Times New Roman" w:hAnsi="Times New Roman" w:cs="Times New Roman"/>
                <w:sz w:val="18"/>
                <w:szCs w:val="18"/>
                <w:lang w:val="ro-RO" w:eastAsia="ro-MD"/>
              </w:rPr>
              <w:t xml:space="preserve"> pentru un OPCi;</w:t>
            </w:r>
          </w:p>
          <w:tbl>
            <w:tblPr>
              <w:tblW w:w="5000" w:type="pct"/>
              <w:tblLayout w:type="fixed"/>
              <w:tblCellMar>
                <w:left w:w="0" w:type="dxa"/>
                <w:right w:w="0" w:type="dxa"/>
              </w:tblCellMar>
              <w:tblLook w:val="04A0" w:firstRow="1" w:lastRow="0" w:firstColumn="1" w:lastColumn="0" w:noHBand="0" w:noVBand="1"/>
            </w:tblPr>
            <w:tblGrid>
              <w:gridCol w:w="885"/>
              <w:gridCol w:w="555"/>
              <w:gridCol w:w="3242"/>
            </w:tblGrid>
            <w:tr w:rsidR="006B3BC1" w:rsidRPr="006F5136" w14:paraId="4AD2713F" w14:textId="77777777" w:rsidTr="00E73A3B">
              <w:tc>
                <w:tcPr>
                  <w:tcW w:w="1733" w:type="dxa"/>
                  <w:shd w:val="clear" w:color="auto" w:fill="auto"/>
                  <w:hideMark/>
                </w:tcPr>
                <w:p w14:paraId="26A379C1" w14:textId="77777777" w:rsidR="006B3BC1" w:rsidRPr="006F5136" w:rsidRDefault="006B3BC1" w:rsidP="006B3BC1">
                  <w:pPr>
                    <w:spacing w:after="0" w:line="240" w:lineRule="auto"/>
                    <w:ind w:firstLine="567"/>
                    <w:rPr>
                      <w:rFonts w:ascii="Times New Roman" w:eastAsia="Times New Roman" w:hAnsi="Times New Roman" w:cs="Times New Roman"/>
                      <w:color w:val="000000" w:themeColor="text1"/>
                      <w:sz w:val="18"/>
                      <w:szCs w:val="18"/>
                      <w:lang w:eastAsia="ro-MD"/>
                    </w:rPr>
                  </w:pPr>
                  <w:r w:rsidRPr="006F5136">
                    <w:rPr>
                      <w:rFonts w:ascii="Times New Roman" w:hAnsi="Times New Roman" w:cs="Times New Roman"/>
                      <w:noProof/>
                      <w:sz w:val="18"/>
                      <w:szCs w:val="18"/>
                    </w:rPr>
                    <w:drawing>
                      <wp:inline distT="0" distB="0" distL="0" distR="0" wp14:anchorId="15E57A69" wp14:editId="5FA4C3F6">
                        <wp:extent cx="191736" cy="219075"/>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8855" cy="227209"/>
                                </a:xfrm>
                                <a:prstGeom prst="rect">
                                  <a:avLst/>
                                </a:prstGeom>
                                <a:noFill/>
                                <a:ln>
                                  <a:noFill/>
                                </a:ln>
                              </pic:spPr>
                            </pic:pic>
                          </a:graphicData>
                        </a:graphic>
                      </wp:inline>
                    </w:drawing>
                  </w:r>
                </w:p>
              </w:tc>
              <w:tc>
                <w:tcPr>
                  <w:tcW w:w="1079" w:type="dxa"/>
                  <w:shd w:val="clear" w:color="auto" w:fill="auto"/>
                  <w:hideMark/>
                </w:tcPr>
                <w:p w14:paraId="68829AE1" w14:textId="77777777" w:rsidR="006B3BC1" w:rsidRPr="006F5136" w:rsidRDefault="006B3BC1" w:rsidP="006B3BC1">
                  <w:pPr>
                    <w:spacing w:after="0" w:line="240" w:lineRule="auto"/>
                    <w:ind w:firstLine="567"/>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w:t>
                  </w:r>
                </w:p>
              </w:tc>
              <w:tc>
                <w:tcPr>
                  <w:tcW w:w="6402" w:type="dxa"/>
                  <w:shd w:val="clear" w:color="auto" w:fill="auto"/>
                  <w:hideMark/>
                </w:tcPr>
                <w:p w14:paraId="757CABA9" w14:textId="77777777" w:rsidR="006B3BC1" w:rsidRPr="006F5136" w:rsidRDefault="006B3BC1" w:rsidP="006B3BC1">
                  <w:pPr>
                    <w:spacing w:after="0" w:line="240" w:lineRule="auto"/>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valoarea expunerii pentru expunerile OPC</w:t>
                  </w:r>
                  <w:r w:rsidRPr="006F5136">
                    <w:rPr>
                      <w:rFonts w:ascii="Times New Roman" w:eastAsia="Times New Roman" w:hAnsi="Times New Roman" w:cs="Times New Roman"/>
                      <w:color w:val="000000" w:themeColor="text1"/>
                      <w:sz w:val="18"/>
                      <w:szCs w:val="18"/>
                      <w:vertAlign w:val="subscript"/>
                      <w:lang w:eastAsia="ro-MD"/>
                    </w:rPr>
                    <w:t>i</w:t>
                  </w:r>
                  <w:r w:rsidRPr="006F5136">
                    <w:rPr>
                      <w:rFonts w:ascii="Times New Roman" w:eastAsia="Times New Roman" w:hAnsi="Times New Roman" w:cs="Times New Roman"/>
                      <w:color w:val="000000" w:themeColor="text1"/>
                      <w:sz w:val="18"/>
                      <w:szCs w:val="18"/>
                      <w:lang w:eastAsia="ro-MD"/>
                    </w:rPr>
                    <w:t>;</w:t>
                  </w:r>
                </w:p>
              </w:tc>
            </w:tr>
          </w:tbl>
          <w:p w14:paraId="064F6BA9" w14:textId="77777777" w:rsidR="006B3BC1" w:rsidRPr="006F5136" w:rsidRDefault="006B3BC1" w:rsidP="006B3BC1">
            <w:pPr>
              <w:spacing w:after="0" w:line="240" w:lineRule="auto"/>
              <w:ind w:firstLine="567"/>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Ai =  valoarea contabilă a activelor OPCi; și</w:t>
            </w:r>
          </w:p>
          <w:p w14:paraId="2FE1E9D8" w14:textId="77777777" w:rsidR="006B3BC1" w:rsidRPr="006F5136" w:rsidRDefault="006B3BC1" w:rsidP="006B3BC1">
            <w:pPr>
              <w:spacing w:after="0" w:line="240" w:lineRule="auto"/>
              <w:ind w:firstLine="567"/>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EQi = valoarea contabilă a fondurilor proprii ale OPCi;</w:t>
            </w:r>
          </w:p>
          <w:p w14:paraId="08D4C6D5" w14:textId="77777777" w:rsidR="006B3BC1" w:rsidRPr="006F5136" w:rsidRDefault="006B3BC1" w:rsidP="006B3BC1">
            <w:pPr>
              <w:spacing w:after="0" w:line="240" w:lineRule="auto"/>
              <w:ind w:firstLine="567"/>
              <w:jc w:val="both"/>
              <w:rPr>
                <w:rFonts w:ascii="Times New Roman" w:eastAsia="Times New Roman" w:hAnsi="Times New Roman" w:cs="Times New Roman"/>
                <w:sz w:val="18"/>
                <w:szCs w:val="18"/>
                <w:lang w:val="ro-RO" w:eastAsia="ro-MD"/>
              </w:rPr>
            </w:pPr>
          </w:p>
          <w:p w14:paraId="5AC68BB3" w14:textId="0C71ED8E" w:rsidR="006B3BC1" w:rsidRPr="006F5136" w:rsidRDefault="006B3BC1" w:rsidP="006B3BC1">
            <w:pPr>
              <w:spacing w:after="0" w:line="240" w:lineRule="auto"/>
              <w:ind w:firstLine="567"/>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xml:space="preserve">2) pentru toate celelalte expuneri, </w:t>
            </w:r>
          </w:p>
          <w:tbl>
            <w:tblPr>
              <w:tblW w:w="2643" w:type="pct"/>
              <w:tblLayout w:type="fixed"/>
              <w:tblCellMar>
                <w:left w:w="0" w:type="dxa"/>
                <w:right w:w="0" w:type="dxa"/>
              </w:tblCellMar>
              <w:tblLook w:val="04A0" w:firstRow="1" w:lastRow="0" w:firstColumn="1" w:lastColumn="0" w:noHBand="0" w:noVBand="1"/>
            </w:tblPr>
            <w:tblGrid>
              <w:gridCol w:w="937"/>
              <w:gridCol w:w="1538"/>
            </w:tblGrid>
            <w:tr w:rsidR="006B3BC1" w:rsidRPr="006F5136" w14:paraId="7FCE7335" w14:textId="77777777" w:rsidTr="00E73A3B">
              <w:trPr>
                <w:trHeight w:val="688"/>
              </w:trPr>
              <w:tc>
                <w:tcPr>
                  <w:tcW w:w="1892" w:type="pct"/>
                  <w:shd w:val="clear" w:color="auto" w:fill="auto"/>
                  <w:hideMark/>
                </w:tcPr>
                <w:p w14:paraId="0DEA4951" w14:textId="77777777" w:rsidR="006B3BC1" w:rsidRPr="006F5136" w:rsidRDefault="006B3BC1" w:rsidP="006B3BC1">
                  <w:pPr>
                    <w:spacing w:after="0" w:line="240" w:lineRule="auto"/>
                    <w:ind w:firstLine="567"/>
                    <w:rPr>
                      <w:rFonts w:ascii="Times New Roman" w:eastAsia="Times New Roman" w:hAnsi="Times New Roman" w:cs="Times New Roman"/>
                      <w:color w:val="000000" w:themeColor="text1"/>
                      <w:sz w:val="18"/>
                      <w:szCs w:val="18"/>
                      <w:lang w:eastAsia="ro-MD"/>
                    </w:rPr>
                  </w:pPr>
                  <w:r w:rsidRPr="006F5136">
                    <w:rPr>
                      <w:rFonts w:ascii="Times New Roman" w:hAnsi="Times New Roman" w:cs="Times New Roman"/>
                      <w:noProof/>
                      <w:sz w:val="18"/>
                      <w:szCs w:val="18"/>
                    </w:rPr>
                    <w:drawing>
                      <wp:inline distT="0" distB="0" distL="0" distR="0" wp14:anchorId="51A4663D" wp14:editId="07E0F54E">
                        <wp:extent cx="217284" cy="142875"/>
                        <wp:effectExtent l="0" t="0" r="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3320" cy="153420"/>
                                </a:xfrm>
                                <a:prstGeom prst="rect">
                                  <a:avLst/>
                                </a:prstGeom>
                                <a:noFill/>
                                <a:ln>
                                  <a:noFill/>
                                </a:ln>
                              </pic:spPr>
                            </pic:pic>
                          </a:graphicData>
                        </a:graphic>
                      </wp:inline>
                    </w:drawing>
                  </w:r>
                </w:p>
              </w:tc>
              <w:tc>
                <w:tcPr>
                  <w:tcW w:w="3108" w:type="pct"/>
                  <w:shd w:val="clear" w:color="auto" w:fill="auto"/>
                  <w:hideMark/>
                </w:tcPr>
                <w:p w14:paraId="700B627E" w14:textId="77777777" w:rsidR="006B3BC1" w:rsidRPr="006F5136" w:rsidRDefault="006B3BC1" w:rsidP="006B3BC1">
                  <w:pPr>
                    <w:spacing w:after="0" w:line="240" w:lineRule="auto"/>
                    <w:ind w:hanging="1"/>
                    <w:jc w:val="both"/>
                    <w:rPr>
                      <w:rFonts w:ascii="Times New Roman" w:eastAsia="Times New Roman" w:hAnsi="Times New Roman" w:cs="Times New Roman"/>
                      <w:color w:val="000000" w:themeColor="text1"/>
                      <w:sz w:val="18"/>
                      <w:szCs w:val="18"/>
                      <w:lang w:eastAsia="ro-MD"/>
                    </w:rPr>
                  </w:pPr>
                  <w:r w:rsidRPr="006F5136">
                    <w:rPr>
                      <w:rFonts w:ascii="Times New Roman" w:eastAsia="Times New Roman" w:hAnsi="Times New Roman" w:cs="Times New Roman"/>
                      <w:color w:val="000000" w:themeColor="text1"/>
                      <w:sz w:val="18"/>
                      <w:szCs w:val="18"/>
                      <w:lang w:eastAsia="ro-MD"/>
                    </w:rPr>
                    <w:t>= 1000 %.</w:t>
                  </w:r>
                </w:p>
              </w:tc>
            </w:tr>
          </w:tbl>
          <w:p w14:paraId="2E26A6C6" w14:textId="77777777" w:rsidR="006B3BC1" w:rsidRPr="006F5136" w:rsidRDefault="006B3BC1" w:rsidP="006B3BC1">
            <w:pPr>
              <w:spacing w:after="0" w:line="240" w:lineRule="auto"/>
              <w:ind w:firstLine="567"/>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xml:space="preserve"> </w:t>
            </w:r>
          </w:p>
          <w:p w14:paraId="1BD8D0C6" w14:textId="6D3E46EC" w:rsidR="006B3BC1" w:rsidRPr="006F5136" w:rsidRDefault="006B3BC1" w:rsidP="006B3BC1">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23</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Băncile calculează valoarea expunerii unui angajament de valoare minimă care îndeplinește condițiile prevăzute la punctul 82</w:t>
            </w:r>
            <w:r w:rsidRPr="006F5136">
              <w:rPr>
                <w:rFonts w:ascii="Times New Roman" w:eastAsia="Times New Roman" w:hAnsi="Times New Roman" w:cs="Times New Roman"/>
                <w:sz w:val="18"/>
                <w:szCs w:val="18"/>
                <w:vertAlign w:val="superscript"/>
                <w:lang w:val="ro-RO" w:eastAsia="ro-MD"/>
              </w:rPr>
              <w:t>25</w:t>
            </w:r>
            <w:r w:rsidRPr="006F5136">
              <w:rPr>
                <w:rFonts w:ascii="Times New Roman" w:eastAsia="Times New Roman" w:hAnsi="Times New Roman" w:cs="Times New Roman"/>
                <w:sz w:val="18"/>
                <w:szCs w:val="18"/>
                <w:lang w:val="ro-RO" w:eastAsia="ro-MD"/>
              </w:rPr>
              <w:t xml:space="preserve"> ca fiind valoarea actualizată curentă a cuantumului garantat utilizând un factor de actualizare care este derivat dintr-o rată fără risc în temeiul actelor normative ale Băncii Naționale a Moldovei aferente riscului de piață, după caz. Băncile pot reduce valoarea expunerii a angajamentului de valoare minimă pentru orice pierdere recunoscută în raport cu angajamentul de valoare minimă în conformitate cu standardul contabil aplicabil.</w:t>
            </w:r>
          </w:p>
          <w:p w14:paraId="67CE0369" w14:textId="3EBCFE10" w:rsidR="006B3BC1" w:rsidRPr="006F5136" w:rsidRDefault="006B3BC1" w:rsidP="006B3BC1">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24</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Băncile calculează valoarea expunerii ponderate la risc pentru expunerile lor extrabilanțiere rezultate din angajamente de valoare minimă care întrunesc toate condițiile menționate la punctul 82</w:t>
            </w:r>
            <w:r w:rsidRPr="006F5136">
              <w:rPr>
                <w:rFonts w:ascii="Times New Roman" w:eastAsia="Times New Roman" w:hAnsi="Times New Roman" w:cs="Times New Roman"/>
                <w:sz w:val="18"/>
                <w:szCs w:val="18"/>
                <w:vertAlign w:val="superscript"/>
                <w:lang w:val="ro-RO" w:eastAsia="ro-MD"/>
              </w:rPr>
              <w:t>25</w:t>
            </w:r>
            <w:r w:rsidRPr="006F5136">
              <w:rPr>
                <w:rFonts w:ascii="Times New Roman" w:eastAsia="Times New Roman" w:hAnsi="Times New Roman" w:cs="Times New Roman"/>
                <w:sz w:val="18"/>
                <w:szCs w:val="18"/>
                <w:lang w:val="ro-RO" w:eastAsia="ro-MD"/>
              </w:rPr>
              <w:t xml:space="preserve"> înmulțind valorile expunerilor pentru expunerile respective cu un factor de conversie de 20 % și cu ponderea de risc care decurge de la punctele 82-82</w:t>
            </w:r>
            <w:r w:rsidRPr="006F5136">
              <w:rPr>
                <w:rFonts w:ascii="Times New Roman" w:eastAsia="Times New Roman" w:hAnsi="Times New Roman" w:cs="Times New Roman"/>
                <w:sz w:val="18"/>
                <w:szCs w:val="18"/>
                <w:vertAlign w:val="superscript"/>
                <w:lang w:val="ro-RO" w:eastAsia="ro-MD"/>
              </w:rPr>
              <w:t>7</w:t>
            </w:r>
            <w:r w:rsidRPr="006F5136">
              <w:rPr>
                <w:rFonts w:ascii="Times New Roman" w:eastAsia="Times New Roman" w:hAnsi="Times New Roman" w:cs="Times New Roman"/>
                <w:sz w:val="18"/>
                <w:szCs w:val="18"/>
                <w:lang w:val="ro-RO" w:eastAsia="ro-MD"/>
              </w:rPr>
              <w:t>.</w:t>
            </w:r>
          </w:p>
          <w:p w14:paraId="6565B7EC" w14:textId="77777777" w:rsidR="006B3BC1" w:rsidRPr="006F5136" w:rsidRDefault="006B3BC1" w:rsidP="006B3BC1">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82</w:t>
            </w:r>
            <w:r w:rsidRPr="006F5136">
              <w:rPr>
                <w:rFonts w:ascii="Times New Roman" w:eastAsia="Times New Roman" w:hAnsi="Times New Roman" w:cs="Times New Roman"/>
                <w:b/>
                <w:bCs/>
                <w:sz w:val="18"/>
                <w:szCs w:val="18"/>
                <w:vertAlign w:val="superscript"/>
                <w:lang w:val="ro-RO" w:eastAsia="ro-MD"/>
              </w:rPr>
              <w:t>25</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Băncile stabilesc valoarea expunerii ponderate la risc pentru expunerile lor extrabilanțiere rezultate din angajamente de valoare minimă în conformitate cu punctele 82</w:t>
            </w:r>
            <w:r w:rsidRPr="006F5136">
              <w:rPr>
                <w:rFonts w:ascii="Times New Roman" w:eastAsia="Times New Roman" w:hAnsi="Times New Roman" w:cs="Times New Roman"/>
                <w:sz w:val="18"/>
                <w:szCs w:val="18"/>
                <w:vertAlign w:val="superscript"/>
                <w:lang w:val="ro-RO" w:eastAsia="ro-MD"/>
              </w:rPr>
              <w:t>23</w:t>
            </w:r>
            <w:r w:rsidRPr="006F5136">
              <w:rPr>
                <w:rFonts w:ascii="Times New Roman" w:eastAsia="Times New Roman" w:hAnsi="Times New Roman" w:cs="Times New Roman"/>
                <w:sz w:val="18"/>
                <w:szCs w:val="18"/>
                <w:lang w:val="ro-RO" w:eastAsia="ro-MD"/>
              </w:rPr>
              <w:t>-82</w:t>
            </w:r>
            <w:r w:rsidRPr="006F5136">
              <w:rPr>
                <w:rFonts w:ascii="Times New Roman" w:eastAsia="Times New Roman" w:hAnsi="Times New Roman" w:cs="Times New Roman"/>
                <w:sz w:val="18"/>
                <w:szCs w:val="18"/>
                <w:vertAlign w:val="superscript"/>
                <w:lang w:val="ro-RO" w:eastAsia="ro-MD"/>
              </w:rPr>
              <w:t>24</w:t>
            </w:r>
            <w:r w:rsidRPr="006F5136">
              <w:rPr>
                <w:rFonts w:ascii="Times New Roman" w:eastAsia="Times New Roman" w:hAnsi="Times New Roman" w:cs="Times New Roman"/>
                <w:sz w:val="18"/>
                <w:szCs w:val="18"/>
                <w:lang w:val="ro-RO" w:eastAsia="ro-MD"/>
              </w:rPr>
              <w:t xml:space="preserve"> dacă sunt îndeplinite cumulativ următoarele condiții:</w:t>
            </w:r>
          </w:p>
          <w:p w14:paraId="0A4DBE57" w14:textId="75C9C326" w:rsidR="006B3BC1" w:rsidRPr="006F5136" w:rsidRDefault="006B3BC1" w:rsidP="006B3BC1">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expunerea extrabilanțieră a băncii constă într-un angajament de valoare minimă pentru o investiție în unități sau acțiuni într-unul sau mai multe OPC-uri în baza căruia bancă este obligată să plătească, conform angajamentului de valoare minimă, numai în cazul în care valoarea de piață a expunerilor-suport ale OPC-ului sau OPC-urilor scade sub un anumit prag predeterminat într-unul sau mai multe momente specificate în contract;</w:t>
            </w:r>
          </w:p>
          <w:p w14:paraId="638BCEC5" w14:textId="77777777" w:rsidR="006B3BC1" w:rsidRPr="006F5136" w:rsidRDefault="006B3BC1" w:rsidP="006B3BC1">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OPC-ul este unul dintre următoarele:</w:t>
            </w:r>
          </w:p>
          <w:p w14:paraId="05883A21" w14:textId="77777777" w:rsidR="006B3BC1" w:rsidRPr="006F5136" w:rsidRDefault="006B3BC1" w:rsidP="006B3BC1">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un OPCVM, astfel cum este definit în Legea nr.2/2020; sau</w:t>
            </w:r>
          </w:p>
          <w:p w14:paraId="562AC04E" w14:textId="58508A81" w:rsidR="006B3BC1" w:rsidRPr="006F5136" w:rsidRDefault="006B3BC1" w:rsidP="006B3BC1">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b) un FIA, care investește exclusiv în valori mobiliare sau în alte active financiare lichide, în cazul în care mandatul fondului nu permite un nivel al efectului de levier mai mare decât cel permis în temeiul Legii nr.2/2020;</w:t>
            </w:r>
            <w:r w:rsidRPr="006F5136">
              <w:rPr>
                <w:rFonts w:ascii="Times New Roman" w:eastAsia="Times New Roman" w:hAnsi="Times New Roman" w:cs="Times New Roman"/>
                <w:sz w:val="18"/>
                <w:szCs w:val="18"/>
                <w:highlight w:val="lightGray"/>
                <w:lang w:val="ro-RO" w:eastAsia="ro-MD"/>
              </w:rPr>
              <w:t xml:space="preserve"> </w:t>
            </w:r>
          </w:p>
          <w:p w14:paraId="412052A4" w14:textId="2FAC2696" w:rsidR="006B3BC1" w:rsidRPr="006F5136" w:rsidRDefault="006B3BC1" w:rsidP="006B3BC1">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valoarea de piață curentă a expunerilor-suport ale OPC-ului care constituie suportul angajamentului de valoare minimă, fără a ține seama de efectul angajamentelor de valoare minimă extrabilanțiere, acoperă sau depășește valoarea actualizată a pragului specificat în angajamentul de valoare minimă;</w:t>
            </w:r>
          </w:p>
          <w:p w14:paraId="100F4369" w14:textId="14826C5C" w:rsidR="006B3BC1" w:rsidRPr="006F5136" w:rsidRDefault="006B3BC1" w:rsidP="006B3BC1">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4) în cazul în care excedentul valorii de piață a expunerilor-suport ale OPC-ului sau OPC-urilor față de valoarea curentă a angajamentului de valoare minimă scade, banca sau altă întreprindere, în măsura în care este vizată de aceeași supraveghere pe bază consolidată al cărei obiect îl constituie banca însăși în conformitate cu prezentul regulament și cu Legea nr.202/2017  sau Legea nr.250/2017, poate influența componența expunerilor-suport ale OPC-ului sau OPC-urilor sau poate limita potențialul de reducere în continuare a excedentului în alte moduri;</w:t>
            </w:r>
            <w:r w:rsidRPr="006F5136">
              <w:rPr>
                <w:rFonts w:ascii="Times New Roman" w:eastAsia="Times New Roman" w:hAnsi="Times New Roman" w:cs="Times New Roman"/>
                <w:sz w:val="18"/>
                <w:szCs w:val="18"/>
                <w:highlight w:val="lightGray"/>
                <w:lang w:val="ro-RO" w:eastAsia="ro-MD"/>
              </w:rPr>
              <w:t xml:space="preserve"> </w:t>
            </w:r>
          </w:p>
          <w:p w14:paraId="5C98075C" w14:textId="77777777" w:rsidR="006B3BC1" w:rsidRPr="006F5136" w:rsidRDefault="006B3BC1" w:rsidP="006B3BC1">
            <w:pPr>
              <w:pStyle w:val="CM4"/>
              <w:tabs>
                <w:tab w:val="left" w:pos="150"/>
              </w:tabs>
              <w:ind w:left="-36"/>
              <w:rPr>
                <w:rFonts w:ascii="Times New Roman" w:hAnsi="Times New Roman"/>
                <w:sz w:val="18"/>
                <w:szCs w:val="18"/>
                <w:lang w:val="ro-RO" w:eastAsia="ro-MD"/>
              </w:rPr>
            </w:pPr>
            <w:r w:rsidRPr="006F5136">
              <w:rPr>
                <w:rFonts w:ascii="Times New Roman" w:hAnsi="Times New Roman"/>
                <w:sz w:val="18"/>
                <w:szCs w:val="18"/>
                <w:lang w:val="ro-RO" w:eastAsia="ro-MD"/>
              </w:rPr>
              <w:t>5) beneficiarul final direct sau indirect al angajamentului de valoare minimă este, în general, un client de retail.</w:t>
            </w:r>
          </w:p>
          <w:p w14:paraId="26E0A5AE" w14:textId="2311FF8A" w:rsidR="006B3BC1" w:rsidRPr="006F5136" w:rsidRDefault="006B3BC1" w:rsidP="006B3BC1">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1340C9AC" w14:textId="2271DC9C"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37858D92" w14:textId="05290240"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069432B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E400E63" w14:textId="552B4B39" w:rsidR="00AA1F61" w:rsidRPr="006F5136" w:rsidRDefault="00AA1F61" w:rsidP="005E4694">
            <w:pPr>
              <w:pStyle w:val="CM4"/>
              <w:tabs>
                <w:tab w:val="left" w:pos="150"/>
              </w:tabs>
              <w:ind w:left="-43"/>
              <w:jc w:val="both"/>
              <w:rPr>
                <w:rFonts w:ascii="Times New Roman" w:hAnsi="Times New Roman"/>
                <w:i/>
                <w:iCs/>
                <w:sz w:val="18"/>
                <w:szCs w:val="18"/>
                <w:lang w:val="ro-RO" w:eastAsia="ru-RU"/>
              </w:rPr>
            </w:pPr>
            <w:r w:rsidRPr="006F5136">
              <w:rPr>
                <w:rFonts w:ascii="Times New Roman" w:hAnsi="Times New Roman"/>
                <w:i/>
                <w:iCs/>
                <w:sz w:val="18"/>
                <w:szCs w:val="18"/>
                <w:lang w:val="ro-RO" w:eastAsia="ru-RU"/>
              </w:rPr>
              <w:t>M17</w:t>
            </w:r>
          </w:p>
          <w:p w14:paraId="62518DA9" w14:textId="67DDACEE"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133</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Expuneri provenind din titluri de capital</w:t>
            </w:r>
          </w:p>
          <w:p w14:paraId="0C7373D5" w14:textId="77777777" w:rsidR="008F5050"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(1) </w:t>
            </w:r>
            <w:r w:rsidR="008F5050" w:rsidRPr="006F5136">
              <w:rPr>
                <w:rFonts w:ascii="Times New Roman" w:hAnsi="Times New Roman"/>
                <w:iCs/>
                <w:sz w:val="18"/>
                <w:szCs w:val="18"/>
                <w:lang w:val="ro-RO" w:eastAsia="ru-RU"/>
              </w:rPr>
              <w:t>oate elementele următoare se clasifică drept expuneri provenind din titluri de capital:</w:t>
            </w:r>
          </w:p>
          <w:p w14:paraId="677D8A16" w14:textId="6651619D"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orice expunere care îndeplinește toate condițiile următoare:</w:t>
            </w:r>
          </w:p>
          <w:p w14:paraId="2DB36622" w14:textId="6E26ECA5"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 este nerambursabilă, în sensul că randamentul fondurilor investite poate fi obținut numai prin vânzarea investiției, prin vânzarea drepturilor asupra investiției sau prin lichidarea emitentului;</w:t>
            </w:r>
          </w:p>
          <w:p w14:paraId="0568F55F" w14:textId="05176915"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(ii) nu implică o obligație din partea emitentului;</w:t>
            </w:r>
          </w:p>
          <w:p w14:paraId="77E5309F" w14:textId="3D0F0AA0"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(iii) conferă un drept rezidual asupra activelor sau venitului emitentului;</w:t>
            </w:r>
          </w:p>
          <w:p w14:paraId="344B042B" w14:textId="548CEA8D"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instrumentele care s-ar califica drept elemente de fonduri proprii de nivel 1 dacă ar fi emise de o instituție;</w:t>
            </w:r>
          </w:p>
          <w:p w14:paraId="42F6D6FD" w14:textId="1D760AE6"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 instrumentele care implică o obligație din partea emitentului și care îndeplinesc oricare dintre următoarele condiții:</w:t>
            </w:r>
          </w:p>
          <w:p w14:paraId="3EE111EA" w14:textId="5CBB6DF4"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 emitentul este în măsură să amâne decontarea obligației pentru o perioadă nedeterminată;</w:t>
            </w:r>
          </w:p>
          <w:p w14:paraId="288168AF" w14:textId="38818AED"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(ii) obligația impune sau permite, la latitudinea emitentului, decontarea prin emiterea unui număr fix de acțiuni ordinare ale emitentului;</w:t>
            </w:r>
          </w:p>
          <w:p w14:paraId="5A2D2B3C" w14:textId="6F194BE5"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(iii) obligația impune sau permite, la latitudinea emitentului, decontarea prin emiterea unui număr variabil de acțiuni ordinare ale emitentului și, ceteris paribus, orice modificare a valorii obligației poate fi atribuită modificării valorii unui număr fix de acțiuni ordinare ale emitentului, fiind comparabilă și efectuată în aceeași direcție cu această din urmă modificare;</w:t>
            </w:r>
          </w:p>
          <w:p w14:paraId="11E08E2B" w14:textId="77777777" w:rsidR="008F5050" w:rsidRPr="006F5136" w:rsidRDefault="008F5050" w:rsidP="005E4694">
            <w:pPr>
              <w:pStyle w:val="CM4"/>
              <w:tabs>
                <w:tab w:val="left" w:pos="150"/>
              </w:tabs>
              <w:ind w:left="-43"/>
              <w:jc w:val="both"/>
              <w:rPr>
                <w:rFonts w:ascii="Times New Roman" w:hAnsi="Times New Roman"/>
                <w:iCs/>
                <w:sz w:val="18"/>
                <w:szCs w:val="18"/>
                <w:lang w:val="ro-RO" w:eastAsia="ru-RU"/>
              </w:rPr>
            </w:pPr>
          </w:p>
          <w:p w14:paraId="0BA2EB87" w14:textId="3C74FCF6"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(iv) deținătorul instrumentului are opțiunea de a impune decontarea obligației în acțiuni ordinare, cu excepția cazului în care este îndeplinită una dintre următoarele condiții:</w:t>
            </w:r>
          </w:p>
          <w:p w14:paraId="04324488" w14:textId="77777777" w:rsidR="008F5050" w:rsidRPr="006F5136" w:rsidRDefault="008F5050" w:rsidP="005E4694">
            <w:pPr>
              <w:pStyle w:val="CM4"/>
              <w:tabs>
                <w:tab w:val="left" w:pos="150"/>
              </w:tabs>
              <w:ind w:left="-43"/>
              <w:jc w:val="both"/>
              <w:rPr>
                <w:rFonts w:ascii="Times New Roman" w:hAnsi="Times New Roman"/>
                <w:iCs/>
                <w:sz w:val="18"/>
                <w:szCs w:val="18"/>
                <w:lang w:val="ro-RO" w:eastAsia="ru-RU"/>
              </w:rPr>
            </w:pPr>
          </w:p>
          <w:p w14:paraId="02C7F86D" w14:textId="6BC33FD7"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 în cazul unui instrument tranzacționat, instituția a demonstrat, într-un mod considerat satisfăcător de autoritatea competentă, că instrumentul este tranzacționat pe piață într-un mod mai asemănător cu instrumentele de datorie ale emitentului decât cu titlurile sale de capital;</w:t>
            </w:r>
          </w:p>
          <w:p w14:paraId="4C920EDE" w14:textId="77777777" w:rsidR="008F5050" w:rsidRPr="006F5136" w:rsidRDefault="008F5050" w:rsidP="005E4694">
            <w:pPr>
              <w:pStyle w:val="CM4"/>
              <w:tabs>
                <w:tab w:val="left" w:pos="150"/>
              </w:tabs>
              <w:ind w:left="-43"/>
              <w:jc w:val="both"/>
              <w:rPr>
                <w:rFonts w:ascii="Times New Roman" w:hAnsi="Times New Roman"/>
                <w:iCs/>
                <w:sz w:val="18"/>
                <w:szCs w:val="18"/>
                <w:lang w:val="ro-RO" w:eastAsia="ru-RU"/>
              </w:rPr>
            </w:pPr>
          </w:p>
          <w:p w14:paraId="36521F5D" w14:textId="0600E7A4"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 în cazul instrumentelor netranzacționate, instituția a demonstrat, într-un mod considerat satisfăcător de autoritatea competentă, că instrumentul ar trebui tratat ca o poziție din titluri de datorie;</w:t>
            </w:r>
          </w:p>
          <w:p w14:paraId="1A4B3395" w14:textId="4144FDBD"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(d) datoriile contractate și alte titluri de valoare, parteneriate, instrumente financiare derivate sau alte vehicule structurate în așa fel încât substanța economică să fie similară cu expunerile menționate la literele (a), (b) și (c), inclusiv datoriile al căror randament este legat de cel al acțiunilor;</w:t>
            </w:r>
          </w:p>
          <w:p w14:paraId="2828E7EC" w14:textId="0EC711C2"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(e) expunerile provenind din titluri de capital care sunt înregistrate ca împrumut, dar care rezultă dintr-o conversie a creanțelor în acțiuni efectuată ca parte a realizării sau a restructurării ordonate a datoriei.</w:t>
            </w:r>
          </w:p>
          <w:p w14:paraId="44560AD2" w14:textId="77777777" w:rsidR="008F5050" w:rsidRPr="006F5136" w:rsidRDefault="008F5050" w:rsidP="005E4694">
            <w:pPr>
              <w:pStyle w:val="CM4"/>
              <w:tabs>
                <w:tab w:val="left" w:pos="150"/>
              </w:tabs>
              <w:ind w:left="-43"/>
              <w:jc w:val="both"/>
              <w:rPr>
                <w:rFonts w:ascii="Times New Roman" w:hAnsi="Times New Roman"/>
                <w:iCs/>
                <w:sz w:val="18"/>
                <w:szCs w:val="18"/>
                <w:lang w:val="ro-RO" w:eastAsia="ru-RU"/>
              </w:rPr>
            </w:pPr>
          </w:p>
          <w:p w14:paraId="4D1C668C" w14:textId="77777777" w:rsidR="000E361A" w:rsidRPr="006F5136" w:rsidRDefault="000E361A" w:rsidP="005E4694">
            <w:pPr>
              <w:spacing w:after="0" w:line="240" w:lineRule="auto"/>
              <w:rPr>
                <w:rFonts w:ascii="Times New Roman" w:hAnsi="Times New Roman" w:cs="Times New Roman"/>
                <w:sz w:val="18"/>
                <w:szCs w:val="18"/>
                <w:lang w:val="ro-RO" w:eastAsia="ru-RU"/>
              </w:rPr>
            </w:pPr>
          </w:p>
          <w:p w14:paraId="1727EE5A" w14:textId="77777777" w:rsidR="000E361A" w:rsidRPr="006F5136" w:rsidRDefault="000E361A" w:rsidP="005E4694">
            <w:pPr>
              <w:spacing w:after="0" w:line="240" w:lineRule="auto"/>
              <w:rPr>
                <w:rFonts w:ascii="Times New Roman" w:hAnsi="Times New Roman" w:cs="Times New Roman"/>
                <w:sz w:val="18"/>
                <w:szCs w:val="18"/>
                <w:lang w:val="ro-RO" w:eastAsia="ru-RU"/>
              </w:rPr>
            </w:pPr>
          </w:p>
          <w:p w14:paraId="11B29891" w14:textId="77777777" w:rsidR="000E361A" w:rsidRPr="006F5136" w:rsidRDefault="000E361A" w:rsidP="005E4694">
            <w:pPr>
              <w:spacing w:after="0" w:line="240" w:lineRule="auto"/>
              <w:rPr>
                <w:rFonts w:ascii="Times New Roman" w:hAnsi="Times New Roman" w:cs="Times New Roman"/>
                <w:sz w:val="18"/>
                <w:szCs w:val="18"/>
                <w:lang w:val="ro-RO" w:eastAsia="ru-RU"/>
              </w:rPr>
            </w:pPr>
          </w:p>
          <w:p w14:paraId="38DE88E9" w14:textId="77777777" w:rsidR="000E361A" w:rsidRPr="006F5136" w:rsidRDefault="000E361A" w:rsidP="005E4694">
            <w:pPr>
              <w:spacing w:after="0" w:line="240" w:lineRule="auto"/>
              <w:rPr>
                <w:rFonts w:ascii="Times New Roman" w:hAnsi="Times New Roman" w:cs="Times New Roman"/>
                <w:sz w:val="18"/>
                <w:szCs w:val="18"/>
                <w:lang w:val="ro-RO" w:eastAsia="ru-RU"/>
              </w:rPr>
            </w:pPr>
          </w:p>
          <w:p w14:paraId="33E9FC12" w14:textId="77777777"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În sensul literei (c) punctul (iii) de la primul paragraf, sunt incluse obligațiile care impun sau permit decontarea prin emiterea unui număr variabil de acțiuni ordinare ale emitentului, pentru care modificarea valorii monetare a obligației este egală cu modificarea valorii juste a unui număr fix de acțiuni ordinare înmulțită cu un factor specificat, caz în care atât factorul, cât și numărul de acțiuni de referință sunt fixe.</w:t>
            </w:r>
          </w:p>
          <w:p w14:paraId="327819F4" w14:textId="77777777" w:rsidR="008F5050" w:rsidRPr="006F5136" w:rsidRDefault="008F5050" w:rsidP="005E4694">
            <w:pPr>
              <w:pStyle w:val="CM4"/>
              <w:tabs>
                <w:tab w:val="left" w:pos="150"/>
              </w:tabs>
              <w:ind w:left="-43"/>
              <w:jc w:val="both"/>
              <w:rPr>
                <w:rFonts w:ascii="Times New Roman" w:hAnsi="Times New Roman"/>
                <w:iCs/>
                <w:sz w:val="18"/>
                <w:szCs w:val="18"/>
                <w:lang w:val="ro-RO" w:eastAsia="ru-RU"/>
              </w:rPr>
            </w:pPr>
          </w:p>
          <w:p w14:paraId="3D507E87" w14:textId="44887032" w:rsidR="0027576A"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În sensul literei (c) punctul (iv) de la primul paragraf, în cazul în care este îndeplinită una dintre condițiile prevăzute la punctul respectiv, instituția poate descompune riscurile în scopuri de reglementare, sub rezerva aprobării prealabile din partea autorității competente.</w:t>
            </w:r>
          </w:p>
        </w:tc>
        <w:tc>
          <w:tcPr>
            <w:tcW w:w="1661" w:type="pct"/>
            <w:shd w:val="clear" w:color="auto" w:fill="auto"/>
          </w:tcPr>
          <w:p w14:paraId="74216DBA" w14:textId="35E9B21F"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 xml:space="preserve">Secțiunea a 19-a. </w:t>
            </w:r>
            <w:r w:rsidRPr="006F5136">
              <w:rPr>
                <w:rFonts w:ascii="Times New Roman" w:hAnsi="Times New Roman"/>
                <w:b/>
                <w:bCs/>
                <w:sz w:val="18"/>
                <w:szCs w:val="18"/>
                <w:lang w:val="ro-RO" w:eastAsia="ru-RU"/>
              </w:rPr>
              <w:t xml:space="preserve">Expuneri </w:t>
            </w:r>
            <w:r w:rsidR="00840F29" w:rsidRPr="006F5136">
              <w:rPr>
                <w:rFonts w:ascii="Times New Roman" w:hAnsi="Times New Roman"/>
                <w:b/>
                <w:bCs/>
                <w:sz w:val="18"/>
                <w:szCs w:val="18"/>
                <w:lang w:val="ro-RO" w:eastAsia="ru-RU"/>
              </w:rPr>
              <w:t xml:space="preserve">provenind </w:t>
            </w:r>
            <w:r w:rsidRPr="006F5136">
              <w:rPr>
                <w:rFonts w:ascii="Times New Roman" w:hAnsi="Times New Roman"/>
                <w:b/>
                <w:bCs/>
                <w:sz w:val="18"/>
                <w:szCs w:val="18"/>
                <w:lang w:val="ro-RO" w:eastAsia="ru-RU"/>
              </w:rPr>
              <w:t>din titluri de capital</w:t>
            </w:r>
            <w:r w:rsidRPr="006F5136">
              <w:rPr>
                <w:rFonts w:ascii="Times New Roman" w:hAnsi="Times New Roman"/>
                <w:sz w:val="18"/>
                <w:szCs w:val="18"/>
                <w:lang w:val="ro-RO" w:eastAsia="ru-RU"/>
              </w:rPr>
              <w:t xml:space="preserve"> </w:t>
            </w:r>
          </w:p>
          <w:p w14:paraId="38447929"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p w14:paraId="35E8E6C6" w14:textId="77777777" w:rsidR="00840F29" w:rsidRPr="006F5136" w:rsidRDefault="00840F29"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84.</w:t>
            </w:r>
            <w:r w:rsidRPr="006F5136">
              <w:rPr>
                <w:rFonts w:ascii="Times New Roman" w:eastAsia="Times New Roman" w:hAnsi="Times New Roman" w:cs="Times New Roman"/>
                <w:sz w:val="18"/>
                <w:szCs w:val="18"/>
                <w:lang w:val="ro-RO" w:eastAsia="ro-MD"/>
              </w:rPr>
              <w:t xml:space="preserve"> Următoarele expuneri se consideră expuneri provenind din titluri de capital:</w:t>
            </w:r>
          </w:p>
          <w:p w14:paraId="42E9FB58" w14:textId="77777777" w:rsidR="00840F29" w:rsidRPr="006F5136" w:rsidRDefault="00840F29"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orice expunere care îndeplinește cumulativ următoare condiții:</w:t>
            </w:r>
          </w:p>
          <w:p w14:paraId="255C2867" w14:textId="77777777" w:rsidR="00840F29" w:rsidRPr="006F5136" w:rsidRDefault="00840F29"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este nerambursabilă, în sensul că randamentul fondurilor investite poate fi obținut numai prin vânzarea investiției, prin vânzarea drepturilor asupra investiției sau prin lichidarea emitentului;</w:t>
            </w:r>
          </w:p>
          <w:p w14:paraId="5B86AB31" w14:textId="77777777" w:rsidR="00840F29" w:rsidRPr="006F5136" w:rsidRDefault="00840F29"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b) nu implică o obligație din partea emitentului;</w:t>
            </w:r>
          </w:p>
          <w:p w14:paraId="58626458" w14:textId="77777777" w:rsidR="00840F29" w:rsidRPr="006F5136" w:rsidRDefault="00840F29"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c) conferă un drept rezidual asupra activelor sau venitului emitentului;</w:t>
            </w:r>
          </w:p>
          <w:p w14:paraId="51B0733D" w14:textId="77777777" w:rsidR="00840F29" w:rsidRPr="006F5136" w:rsidRDefault="00840F29"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instrumentele care s-ar califica drept elemente de fonduri proprii de nivel 1 dacă ar fi emise de o bancă;</w:t>
            </w:r>
          </w:p>
          <w:p w14:paraId="7941BAE1" w14:textId="77777777" w:rsidR="00840F29" w:rsidRPr="006F5136" w:rsidRDefault="00840F29"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instrumentele care implică o obligație din partea emitentului și care îndeplinesc oricare dintre următoarele condiții:</w:t>
            </w:r>
          </w:p>
          <w:p w14:paraId="69AB5421" w14:textId="77777777" w:rsidR="00840F29" w:rsidRPr="006F5136" w:rsidRDefault="00840F29"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emitentul este în măsură să amâne decontarea obligației pentru o perioadă nedeterminată;</w:t>
            </w:r>
          </w:p>
          <w:p w14:paraId="6CC762B5" w14:textId="77777777" w:rsidR="00840F29" w:rsidRPr="006F5136" w:rsidRDefault="00840F29"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b) obligația impune sau permite, la latitudinea emitentului, decontarea prin emiterea unui număr fix de acțiuni ordinare ale emitentului;</w:t>
            </w:r>
          </w:p>
          <w:p w14:paraId="3822A919" w14:textId="77777777" w:rsidR="00840F29" w:rsidRPr="006F5136" w:rsidRDefault="00840F29"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c) obligația impune sau permite, la latitudinea emitentului, decontarea prin emiterea unui număr variabil de acțiuni ordinare ale emitentului și, ceteris paribus, orice modificare a valorii obligației poate fi atribuită modificării valorii unui număr fix de acțiuni ordinare ale emitentului, fiind comparabilă și efectuată în aceeași direcție cu această din urmă modificare;</w:t>
            </w:r>
          </w:p>
          <w:p w14:paraId="24BDFAED" w14:textId="77777777" w:rsidR="00840F29" w:rsidRPr="006F5136" w:rsidRDefault="00840F29"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d) deținătorul instrumentului are opțiunea de a impune decontarea obligației în acțiuni ordinare, cu excepția cazului în care este îndeplinită una dintre următoarele condiții:</w:t>
            </w:r>
          </w:p>
          <w:p w14:paraId="27501D95" w14:textId="77777777" w:rsidR="00840F29" w:rsidRPr="006F5136" w:rsidRDefault="00840F29"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în cazul unui instrument tranzacționat, banca a demonstrat, într-un mod considerat satisfăcător de către Banca Națională a Moldovei, că instrumentul este tranzacționat pe piață într-un mod mai asemănător cu instrumentele de datorie ale emitentului decât cu titlurile sale de capital;</w:t>
            </w:r>
          </w:p>
          <w:p w14:paraId="478B9B8B" w14:textId="77777777" w:rsidR="00840F29" w:rsidRPr="006F5136" w:rsidRDefault="00840F29"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în cazul instrumentelor netranzacționate, banca a demonstrat, într-un mod considerat satisfăcător de către Banca Națională a Moldovei, că instrumentul ar trebui tratat ca o poziție din titluri de datorie;</w:t>
            </w:r>
          </w:p>
          <w:p w14:paraId="51DB0919" w14:textId="77777777" w:rsidR="00840F29" w:rsidRPr="006F5136" w:rsidRDefault="00840F29"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4) datoriile contractate și alte titluri de valoare, parteneriate, instrumente financiare derivate sau alte vehicule structurate în așa fel încât substanța economică să fie similară cu expunerile menționate la subpunctele 1)-3), inclusiv datoriile al căror randament este legat de cel al acțiunilor;</w:t>
            </w:r>
          </w:p>
          <w:p w14:paraId="5ED5F323" w14:textId="77777777" w:rsidR="00840F29" w:rsidRPr="006F5136" w:rsidRDefault="00840F29"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5) expunerile provenind din titluri de capital care sunt înregistrate ca împrumut, dar care rezultă dintr-o conversie a creanțelor în acțiuni efectuată ca parte a realizării sau a restructurării ordonate a datoriei.</w:t>
            </w:r>
          </w:p>
          <w:p w14:paraId="64A9A578" w14:textId="5B3DD5A4" w:rsidR="000E361A" w:rsidRPr="006F5136" w:rsidRDefault="000E361A"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84</w:t>
            </w:r>
            <w:r w:rsidRPr="006F5136">
              <w:rPr>
                <w:rFonts w:ascii="Times New Roman" w:eastAsia="Times New Roman" w:hAnsi="Times New Roman" w:cs="Times New Roman"/>
                <w:b/>
                <w:bCs/>
                <w:sz w:val="18"/>
                <w:szCs w:val="18"/>
                <w:vertAlign w:val="superscript"/>
                <w:lang w:val="ro-RO" w:eastAsia="ro-MD"/>
              </w:rPr>
              <w:t>1</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În sensul punctului 84 subpunctul 3) litera c), sunt incluse obligațiile care impun sau permit decontarea prin emiterea unui număr variabil de acțiuni ordinare ale emitentului, pentru care modificarea valorii monetare a obligației este egală cu modificarea valorii juste a unui număr fix de acțiuni ordinare înmulțită cu un factor specificat, caz în care atât factorul, cât și numărul de acțiuni de referință sunt fixe.</w:t>
            </w:r>
          </w:p>
          <w:p w14:paraId="454DEA4C" w14:textId="59222DC4" w:rsidR="000E361A" w:rsidRPr="006F5136" w:rsidRDefault="000E361A"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84</w:t>
            </w:r>
            <w:r w:rsidRPr="006F5136">
              <w:rPr>
                <w:rFonts w:ascii="Times New Roman" w:eastAsia="Times New Roman" w:hAnsi="Times New Roman" w:cs="Times New Roman"/>
                <w:b/>
                <w:bCs/>
                <w:sz w:val="18"/>
                <w:szCs w:val="18"/>
                <w:vertAlign w:val="superscript"/>
                <w:lang w:val="ro-RO" w:eastAsia="ro-MD"/>
              </w:rPr>
              <w:t>2</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În sensul punctului 84 subpunctul 3) litera d), în cazul în care este îndeplinită una dintre condițiile prevăzute la punctul respectiv, banca poate descompune riscurile în scopuri de reglementare, sub rezerva aprobării prealabile a Băncii Naționale a Moldovei</w:t>
            </w:r>
          </w:p>
          <w:p w14:paraId="5A6C5566" w14:textId="50DD743C" w:rsidR="000E361A" w:rsidRPr="006F5136" w:rsidRDefault="000E361A" w:rsidP="005E4694">
            <w:pPr>
              <w:spacing w:after="0" w:line="240" w:lineRule="auto"/>
              <w:rPr>
                <w:rFonts w:ascii="Times New Roman" w:hAnsi="Times New Roman" w:cs="Times New Roman"/>
                <w:sz w:val="18"/>
                <w:szCs w:val="18"/>
                <w:lang w:val="ro-RO" w:eastAsia="ru-RU"/>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091512BC"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087C6043" w14:textId="7D39A4DE"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684A62C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111DE80" w14:textId="77777777" w:rsidR="008F5050"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(2) </w:t>
            </w:r>
            <w:r w:rsidR="008F5050" w:rsidRPr="006F5136">
              <w:rPr>
                <w:rFonts w:ascii="Times New Roman" w:hAnsi="Times New Roman"/>
                <w:iCs/>
                <w:sz w:val="18"/>
                <w:szCs w:val="18"/>
                <w:lang w:val="ro-RO" w:eastAsia="ru-RU"/>
              </w:rPr>
              <w:t>Investițiile în titluri de capital nu sunt tratate ca expuneri provenind din titluri de capital în niciunul dintre următoarele cazuri:</w:t>
            </w:r>
          </w:p>
          <w:p w14:paraId="6DE0538C" w14:textId="471BB76F"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investițiile în titluri de capital sunt structurate în așa fel încât substanța lor economică este similară cu substanța economică a instrumentelor de datorie care nu îndeplinesc criteriile prevăzute la alineatul (1);</w:t>
            </w:r>
          </w:p>
          <w:p w14:paraId="51F20D3B" w14:textId="77777777" w:rsidR="008F5050" w:rsidRPr="006F5136" w:rsidRDefault="008F5050" w:rsidP="005E4694">
            <w:pPr>
              <w:pStyle w:val="CM4"/>
              <w:tabs>
                <w:tab w:val="left" w:pos="150"/>
              </w:tabs>
              <w:ind w:left="-43"/>
              <w:jc w:val="both"/>
              <w:rPr>
                <w:rFonts w:ascii="Times New Roman" w:hAnsi="Times New Roman"/>
                <w:iCs/>
                <w:sz w:val="18"/>
                <w:szCs w:val="18"/>
                <w:lang w:val="ro-RO" w:eastAsia="ru-RU"/>
              </w:rPr>
            </w:pPr>
          </w:p>
          <w:p w14:paraId="30C352DB" w14:textId="0D58FD63" w:rsidR="0027576A"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investițiile în titluri de capital constituie expuneri din securitizare.</w:t>
            </w:r>
          </w:p>
        </w:tc>
        <w:tc>
          <w:tcPr>
            <w:tcW w:w="1661" w:type="pct"/>
            <w:shd w:val="clear" w:color="auto" w:fill="auto"/>
          </w:tcPr>
          <w:p w14:paraId="0481A5FF" w14:textId="77777777" w:rsidR="00FB4720" w:rsidRPr="006F5136" w:rsidRDefault="00FB4720"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84</w:t>
            </w:r>
            <w:r w:rsidRPr="006F5136">
              <w:rPr>
                <w:rFonts w:ascii="Times New Roman" w:eastAsia="Times New Roman" w:hAnsi="Times New Roman" w:cs="Times New Roman"/>
                <w:b/>
                <w:bCs/>
                <w:sz w:val="18"/>
                <w:szCs w:val="18"/>
                <w:vertAlign w:val="superscript"/>
                <w:lang w:val="ro-RO" w:eastAsia="ro-MD"/>
              </w:rPr>
              <w:t>3</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Investițiile în titluri de capital nu sunt tratate ca expuneri provenind din titluri de capital dacă:</w:t>
            </w:r>
          </w:p>
          <w:p w14:paraId="7CC9D5B7" w14:textId="77777777" w:rsidR="00FB4720" w:rsidRPr="006F5136" w:rsidRDefault="00FB4720"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investițiile în titluri de capital sunt structurate în așa fel încât substanța lor economică este similară cu substanța economică a instrumentelor de datorie care nu îndeplinesc criteriile prevăzute la punctele 84- 84</w:t>
            </w:r>
            <w:r w:rsidRPr="006F5136">
              <w:rPr>
                <w:rFonts w:ascii="Times New Roman" w:eastAsia="Times New Roman" w:hAnsi="Times New Roman" w:cs="Times New Roman"/>
                <w:sz w:val="18"/>
                <w:szCs w:val="18"/>
                <w:vertAlign w:val="superscript"/>
                <w:lang w:val="ro-RO" w:eastAsia="ro-MD"/>
              </w:rPr>
              <w:t>2</w:t>
            </w:r>
            <w:r w:rsidRPr="006F5136">
              <w:rPr>
                <w:rFonts w:ascii="Times New Roman" w:eastAsia="Times New Roman" w:hAnsi="Times New Roman" w:cs="Times New Roman"/>
                <w:sz w:val="18"/>
                <w:szCs w:val="18"/>
                <w:lang w:val="ro-RO" w:eastAsia="ro-MD"/>
              </w:rPr>
              <w:t>;</w:t>
            </w:r>
          </w:p>
          <w:p w14:paraId="749CCFD6" w14:textId="77777777" w:rsidR="0027576A" w:rsidRPr="006F5136" w:rsidRDefault="00FB4720" w:rsidP="005E4694">
            <w:pPr>
              <w:pStyle w:val="CM4"/>
              <w:tabs>
                <w:tab w:val="left" w:pos="150"/>
              </w:tabs>
              <w:ind w:left="-36"/>
              <w:rPr>
                <w:rFonts w:ascii="Times New Roman" w:hAnsi="Times New Roman"/>
                <w:sz w:val="18"/>
                <w:szCs w:val="18"/>
                <w:lang w:val="ro-RO" w:eastAsia="ro-MD"/>
              </w:rPr>
            </w:pPr>
            <w:r w:rsidRPr="006F5136">
              <w:rPr>
                <w:rFonts w:ascii="Times New Roman" w:hAnsi="Times New Roman"/>
                <w:sz w:val="18"/>
                <w:szCs w:val="18"/>
                <w:lang w:val="ro-RO" w:eastAsia="ro-MD"/>
              </w:rPr>
              <w:t>2) investițiile în titluri de capital constituie expuneri din securitizare.</w:t>
            </w:r>
          </w:p>
          <w:p w14:paraId="57840499" w14:textId="3EDE3B0E" w:rsidR="00FB4720" w:rsidRPr="006F5136" w:rsidRDefault="00FB4720" w:rsidP="005E4694">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7EB13DAA" w14:textId="3357A5E8" w:rsidR="0027576A" w:rsidRPr="006F5136" w:rsidRDefault="0059145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w:t>
            </w:r>
            <w:r w:rsidR="0027576A" w:rsidRPr="006F5136">
              <w:rPr>
                <w:rFonts w:ascii="Times New Roman" w:hAnsi="Times New Roman" w:cs="Times New Roman"/>
                <w:sz w:val="18"/>
                <w:szCs w:val="18"/>
                <w:lang w:val="ro-RO"/>
              </w:rPr>
              <w:t>ompatibil</w:t>
            </w:r>
          </w:p>
        </w:tc>
        <w:tc>
          <w:tcPr>
            <w:tcW w:w="912" w:type="pct"/>
          </w:tcPr>
          <w:p w14:paraId="0E30AB22" w14:textId="1610AD72"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p w14:paraId="7097AC06" w14:textId="0637DBC0" w:rsidR="0027576A" w:rsidRPr="006F5136" w:rsidRDefault="0027576A" w:rsidP="005E4694">
            <w:pPr>
              <w:spacing w:after="0" w:line="240" w:lineRule="auto"/>
              <w:jc w:val="both"/>
              <w:rPr>
                <w:rFonts w:ascii="Times New Roman" w:hAnsi="Times New Roman" w:cs="Times New Roman"/>
                <w:sz w:val="18"/>
                <w:szCs w:val="18"/>
                <w:lang w:val="ro-RO"/>
              </w:rPr>
            </w:pPr>
          </w:p>
        </w:tc>
      </w:tr>
      <w:tr w:rsidR="0027576A" w:rsidRPr="006F5136" w14:paraId="0F71B63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4477C54" w14:textId="406824BA"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(3) </w:t>
            </w:r>
            <w:r w:rsidR="008F5050" w:rsidRPr="006F5136">
              <w:rPr>
                <w:rFonts w:ascii="Times New Roman" w:hAnsi="Times New Roman"/>
                <w:iCs/>
                <w:sz w:val="18"/>
                <w:szCs w:val="18"/>
                <w:lang w:val="ro-RO" w:eastAsia="ru-RU"/>
              </w:rPr>
              <w:t>Expunerile provenind din titluri de capital, altele decât cele menționate la alineatele (4)-(7), primesc o pondere de risc de 250 %, cu excepția cazului în care expunerile respective trebuie să fie deduse sau ponderate la risc în conformitate cu partea a doua.</w:t>
            </w:r>
          </w:p>
        </w:tc>
        <w:tc>
          <w:tcPr>
            <w:tcW w:w="1661" w:type="pct"/>
            <w:shd w:val="clear" w:color="auto" w:fill="auto"/>
          </w:tcPr>
          <w:p w14:paraId="40138ACF" w14:textId="77777777" w:rsidR="0027576A" w:rsidRPr="006F5136" w:rsidRDefault="00AE0AB2"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85.</w:t>
            </w:r>
            <w:r w:rsidRPr="006F5136">
              <w:rPr>
                <w:rFonts w:ascii="Times New Roman" w:eastAsia="Times New Roman" w:hAnsi="Times New Roman" w:cs="Times New Roman"/>
                <w:sz w:val="18"/>
                <w:szCs w:val="18"/>
                <w:lang w:val="ro-RO" w:eastAsia="ro-MD"/>
              </w:rPr>
              <w:t xml:space="preserve"> Expunerile provenind din titluri de capital, altele decât cele menționate la alineatele (4)-(7), primesc o pondere de risc de 250 %, cu excepția cazului în care expunerile respective trebuie să fie deduse sau ponderate la risc în conformitate cu Regulamentul nr. 109/2018.</w:t>
            </w:r>
          </w:p>
          <w:p w14:paraId="1F6B2ED4" w14:textId="48C0EB75" w:rsidR="00AE0AB2" w:rsidRPr="006F5136" w:rsidRDefault="00AE0AB2"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6DF0493D"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36369B47" w14:textId="16285D83"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8F5050" w:rsidRPr="006F5136" w14:paraId="161A5E2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3349467" w14:textId="77777777"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   Următoarele expuneri provenind din titluri de capital față de societăți necotate primesc o pondere de risc de 400 %, cu excepția cazului în care expunerile respective trebuie să fie deduse sau ponderate la risc în conformitate cu partea a doua:</w:t>
            </w:r>
          </w:p>
          <w:p w14:paraId="5F4B4366" w14:textId="2CAAF04D"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investiții destinate revânzării pe termen scurt;</w:t>
            </w:r>
          </w:p>
          <w:p w14:paraId="656595B1" w14:textId="77777777" w:rsidR="008F5050" w:rsidRPr="006F5136" w:rsidRDefault="008F5050" w:rsidP="005E4694">
            <w:pPr>
              <w:pStyle w:val="CM4"/>
              <w:tabs>
                <w:tab w:val="left" w:pos="150"/>
              </w:tabs>
              <w:ind w:left="-43"/>
              <w:jc w:val="both"/>
              <w:rPr>
                <w:rFonts w:ascii="Times New Roman" w:hAnsi="Times New Roman"/>
                <w:iCs/>
                <w:sz w:val="18"/>
                <w:szCs w:val="18"/>
                <w:lang w:val="ro-RO" w:eastAsia="ru-RU"/>
              </w:rPr>
            </w:pPr>
          </w:p>
          <w:p w14:paraId="1865C81D" w14:textId="34D178FD"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investiții în societăți cu capital de risc sau investiții similare care sunt achiziționate în vederea obținerii unor câștiguri de capital pe termen scurt semnificative.</w:t>
            </w:r>
          </w:p>
          <w:p w14:paraId="13BAC04D" w14:textId="77777777" w:rsidR="008F5050" w:rsidRPr="006F5136" w:rsidRDefault="008F5050" w:rsidP="005E4694">
            <w:pPr>
              <w:pStyle w:val="CM4"/>
              <w:tabs>
                <w:tab w:val="left" w:pos="150"/>
              </w:tabs>
              <w:ind w:left="-43"/>
              <w:jc w:val="both"/>
              <w:rPr>
                <w:rFonts w:ascii="Times New Roman" w:hAnsi="Times New Roman"/>
                <w:iCs/>
                <w:sz w:val="18"/>
                <w:szCs w:val="18"/>
                <w:lang w:val="ro-RO" w:eastAsia="ru-RU"/>
              </w:rPr>
            </w:pPr>
          </w:p>
          <w:p w14:paraId="6CDE451A" w14:textId="7E70138C" w:rsidR="008F5050" w:rsidRPr="006F5136" w:rsidRDefault="008F505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Prin derogare de la primul paragraf de la prezentul alineat, investițiile în titluri de capital pe termen lung, inclusiv investițiile în acțiuni ale clienților corporativi cu care instituția are sau intenționează să stabilească o relație de afaceri pe termen lung, precum și conversiile creanțelor în acțiuni în scopul restructurării întreprinderilor primesc o pondere de risc în conformitate cu alineatul (3) sau (5), după caz. În sensul prezentului articol, o investiție în titluri de capital pe termen lung este o investiție de capital care este deținută timp de trei ani sau mai mult sau care este efectuată cu intenția de a fi deținută timp de trei ani sau mai mult, astfel cum a fost aprobată de conducerea superioară a instituției.</w:t>
            </w:r>
          </w:p>
        </w:tc>
        <w:tc>
          <w:tcPr>
            <w:tcW w:w="1661" w:type="pct"/>
            <w:shd w:val="clear" w:color="auto" w:fill="auto"/>
          </w:tcPr>
          <w:p w14:paraId="0E74CF60" w14:textId="77777777" w:rsidR="00AE0AB2" w:rsidRPr="006F5136" w:rsidRDefault="00AE0AB2"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 xml:space="preserve">86. </w:t>
            </w:r>
            <w:r w:rsidRPr="006F5136">
              <w:rPr>
                <w:rFonts w:ascii="Times New Roman" w:eastAsia="Times New Roman" w:hAnsi="Times New Roman" w:cs="Times New Roman"/>
                <w:sz w:val="18"/>
                <w:szCs w:val="18"/>
                <w:lang w:val="ro-RO" w:eastAsia="ro-MD"/>
              </w:rPr>
              <w:t>Următoarele expuneri provenind din titluri de capital față de societăți necotate primesc o pondere de risc de 400 %, cu excepția cazului în care expunerile respective trebuie să fie deduse sau ponderate la risc în conformitate cu Regulamentul nr. 109/2018:</w:t>
            </w:r>
          </w:p>
          <w:p w14:paraId="324455F1" w14:textId="77777777" w:rsidR="00AE0AB2" w:rsidRPr="006F5136" w:rsidRDefault="00AE0AB2"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investiții destinate revânzării pe termen scurt;</w:t>
            </w:r>
          </w:p>
          <w:p w14:paraId="02A1BDA5" w14:textId="1A1A6A98" w:rsidR="00AE0AB2" w:rsidRPr="006F5136" w:rsidRDefault="00AE0AB2" w:rsidP="005E4694">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investiții în societăți cu capital de risc sau investiții similare care sunt achiziționate în vederea obținerii unor câștiguri de capital pe termen scurt semnificative.</w:t>
            </w:r>
            <w:r w:rsidRPr="006F5136">
              <w:rPr>
                <w:rFonts w:ascii="Times New Roman" w:eastAsia="Times New Roman" w:hAnsi="Times New Roman" w:cs="Times New Roman"/>
                <w:sz w:val="18"/>
                <w:szCs w:val="18"/>
                <w:highlight w:val="lightGray"/>
                <w:lang w:val="ro-RO" w:eastAsia="ro-MD"/>
              </w:rPr>
              <w:t xml:space="preserve"> </w:t>
            </w:r>
          </w:p>
          <w:p w14:paraId="098ADD83" w14:textId="77777777" w:rsidR="008F5050" w:rsidRPr="006F5136" w:rsidRDefault="00AE0AB2"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86</w:t>
            </w:r>
            <w:r w:rsidRPr="006F5136">
              <w:rPr>
                <w:rFonts w:ascii="Times New Roman" w:eastAsia="Times New Roman" w:hAnsi="Times New Roman" w:cs="Times New Roman"/>
                <w:b/>
                <w:bCs/>
                <w:sz w:val="18"/>
                <w:szCs w:val="18"/>
                <w:vertAlign w:val="superscript"/>
                <w:lang w:val="ro-RO" w:eastAsia="ro-MD"/>
              </w:rPr>
              <w:t>1</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Prin derogare de la punctul 86, investițiile în titluri de capital pe termen lung, inclusiv investițiile în acțiuni ale clienților-persoane juridice cu care banca are sau intenționează să stabilească o relație de afaceri pe termen lung, precum și conversiile creanțelor în acțiuni în scopul restructurării întreprinderilor primesc o pondere de risc în conformitate cu punctele 85 sau 86</w:t>
            </w:r>
            <w:r w:rsidRPr="006F5136">
              <w:rPr>
                <w:rFonts w:ascii="Times New Roman" w:eastAsia="Times New Roman" w:hAnsi="Times New Roman" w:cs="Times New Roman"/>
                <w:sz w:val="18"/>
                <w:szCs w:val="18"/>
                <w:vertAlign w:val="superscript"/>
                <w:lang w:val="ro-RO" w:eastAsia="ro-MD"/>
              </w:rPr>
              <w:t>1</w:t>
            </w:r>
            <w:r w:rsidRPr="006F5136">
              <w:rPr>
                <w:rFonts w:ascii="Times New Roman" w:eastAsia="Times New Roman" w:hAnsi="Times New Roman" w:cs="Times New Roman"/>
                <w:sz w:val="18"/>
                <w:szCs w:val="18"/>
                <w:lang w:val="ro-RO" w:eastAsia="ro-MD"/>
              </w:rPr>
              <w:t>, după caz. În sensul prezentei secțiuni, o investiție în titluri de capital pe termen lung este o investiție de capital care este deținută timp de trei ani sau mai mult sau care este efectuată cu intenția de a fi deținută timp de trei ani sau mai mult, astfel cum a fost aprobată de organul de conducere al băncii.</w:t>
            </w:r>
          </w:p>
          <w:p w14:paraId="260DE557" w14:textId="2F60A795" w:rsidR="00AE0AB2" w:rsidRPr="006F5136" w:rsidRDefault="00AE0AB2"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7E240DD9" w14:textId="756C63AE" w:rsidR="008F5050" w:rsidRPr="006F5136" w:rsidRDefault="00AE0AB2"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48343677" w14:textId="06D65B44" w:rsidR="008F5050" w:rsidRPr="006F5136" w:rsidRDefault="00AE0AB2"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48C70F0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9D49E24" w14:textId="77777777"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   Instituțiile care au primit aprobarea prealabilă din partea autorităților competente pot atribui o pondere de risc de 100 % expunerilor provenind din titluri de capital asumate în cadrul unor programe legislative pentru stimularea anumitor sectoare ale economiei, până la partea acestor expuneri care, în total, nu depășește 10 % din fondurile proprii ale instituției, care îndeplinesc toate condițiile următoare:</w:t>
            </w:r>
          </w:p>
          <w:p w14:paraId="0C9CCEE1" w14:textId="36D4CC0D"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programele legislative acordă instituției, pentru investiții, subvenții sau garanții semnificative, inclusiv din partea unor bănci multilaterale de dezvoltare, a unor instituții de credit pentru dezvoltare publică, astfel cum sunt definite la articolul 429a alineatul (2), sau a unor organizații internaționale;</w:t>
            </w:r>
          </w:p>
          <w:p w14:paraId="5C94D65C" w14:textId="131C116A"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programele legislative implică o anumită formă de supraveghere guvernamentală;</w:t>
            </w:r>
          </w:p>
          <w:p w14:paraId="344CFC10" w14:textId="1CA4DF93"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 programele legislative implică restricții privind investițiile în titluri de capital, cum ar fi limitări asupra dimensiunii și tipurilor de activități în care investește instituția, asupra valorilor admisibile ale participațiilor în capitalurile proprii, asupra localizării geografice și asupra altor factori relevanți care limitează riscul potențial al investiției pentru instituția investitoare.</w:t>
            </w:r>
          </w:p>
        </w:tc>
        <w:tc>
          <w:tcPr>
            <w:tcW w:w="1661" w:type="pct"/>
            <w:shd w:val="clear" w:color="auto" w:fill="auto"/>
          </w:tcPr>
          <w:p w14:paraId="5018512D"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86</w:t>
            </w:r>
            <w:r w:rsidRPr="006F5136">
              <w:rPr>
                <w:rFonts w:ascii="Times New Roman" w:eastAsia="Times New Roman" w:hAnsi="Times New Roman" w:cs="Times New Roman"/>
                <w:b/>
                <w:bCs/>
                <w:sz w:val="18"/>
                <w:szCs w:val="18"/>
                <w:vertAlign w:val="superscript"/>
                <w:lang w:val="ro-RO" w:eastAsia="ro-MD"/>
              </w:rPr>
              <w:t>2</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Băncile care au primit aprobarea prealabilă din partea Băncii Naționale a Moldovei pot atribui o pondere de risc de 100 % expunerilor provenind din titluri de capital asumate în cadrul unor programe legislative pentru stimularea anumitor sectoare ale economiei, până la partea acestor expuneri care, în total, nu depășește 10 % din fondurile proprii ale băncii, care îndeplinesc cumulativ următoarele condiții:</w:t>
            </w:r>
          </w:p>
          <w:p w14:paraId="4FEF12E6"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programele legislative acordă băncii, pentru investiții, subvenții sau garanții semnificative, inclusiv din partea unor bănci multilaterale de dezvoltare, a unor bănci pentru dezvoltare publică, sau a unor organizații internaționale;</w:t>
            </w:r>
          </w:p>
          <w:p w14:paraId="21B4DC72" w14:textId="77777777" w:rsidR="006B3BC1" w:rsidRPr="006F5136" w:rsidRDefault="006B3BC1" w:rsidP="006B3BC1">
            <w:pPr>
              <w:shd w:val="clear" w:color="auto" w:fill="FFFFFF"/>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programele legislative implică o anumită formă de supraveghere guvernamentală;</w:t>
            </w:r>
          </w:p>
          <w:p w14:paraId="2EDC0D40" w14:textId="77777777" w:rsidR="006B3BC1" w:rsidRPr="006F5136" w:rsidRDefault="006B3BC1" w:rsidP="006B3BC1">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programele legislative implică restricții privind investițiile în titluri de capital, cum ar fi limitări asupra dimensiunii și tipurilor de activități în care investește banca, asupra valorilor admisibile ale participațiilor în capitalurile proprii, asupra localizării geografice și asupra altor factori relevanți care limitează riscul potențial al investiției pentru banca investitoare.</w:t>
            </w:r>
          </w:p>
          <w:p w14:paraId="086EC044" w14:textId="4AF511BD"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1BD2AB00" w14:textId="4EF5F048"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7BF6DE9C" w14:textId="4C0FD472"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3AF64A1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D080F70" w14:textId="4472F3AD"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(6)   Expunerile provenind din titluri de capital față de bănci centrale primesc o pondere de risc de 0 %.</w:t>
            </w:r>
          </w:p>
        </w:tc>
        <w:tc>
          <w:tcPr>
            <w:tcW w:w="1661" w:type="pct"/>
            <w:shd w:val="clear" w:color="auto" w:fill="auto"/>
          </w:tcPr>
          <w:p w14:paraId="03966220" w14:textId="77777777" w:rsidR="006B3BC1" w:rsidRPr="006F5136" w:rsidRDefault="006B3BC1" w:rsidP="006B3BC1">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86</w:t>
            </w:r>
            <w:r w:rsidRPr="006F5136">
              <w:rPr>
                <w:rFonts w:ascii="Times New Roman" w:eastAsia="Times New Roman" w:hAnsi="Times New Roman" w:cs="Times New Roman"/>
                <w:b/>
                <w:bCs/>
                <w:sz w:val="18"/>
                <w:szCs w:val="18"/>
                <w:vertAlign w:val="superscript"/>
                <w:lang w:val="ro-RO" w:eastAsia="ro-MD"/>
              </w:rPr>
              <w:t>3</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Expunerile provenind din titluri de capital față de bănci centrale primesc o pondere de risc de 0 %.</w:t>
            </w:r>
          </w:p>
          <w:p w14:paraId="5944FBFA" w14:textId="3B3F1AF9"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468379D1" w14:textId="79ACBE6E"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3CE51228" w14:textId="731278CB"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4DE7FCD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35AD082" w14:textId="51C41943"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(7)   O deținere de capital care este înregistrată ca împrumut, dar care a rezultat dintr-o conversie a creanțelor în acțiuni efectuată ca parte a realizării sau a restructurării ordonate a datoriei nu primește o pondere de risc mai scăzută decât ponderea de risc care s-ar aplica dacă deținerea de capital ar fi tratată ca expunere din titluri de datorie.</w:t>
            </w:r>
          </w:p>
        </w:tc>
        <w:tc>
          <w:tcPr>
            <w:tcW w:w="1661" w:type="pct"/>
            <w:shd w:val="clear" w:color="auto" w:fill="auto"/>
          </w:tcPr>
          <w:p w14:paraId="08FA8B71" w14:textId="77777777" w:rsidR="006B3BC1" w:rsidRPr="006F5136" w:rsidRDefault="006B3BC1" w:rsidP="006B3BC1">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86</w:t>
            </w:r>
            <w:r w:rsidRPr="006F5136">
              <w:rPr>
                <w:rFonts w:ascii="Times New Roman" w:eastAsia="Times New Roman" w:hAnsi="Times New Roman" w:cs="Times New Roman"/>
                <w:b/>
                <w:bCs/>
                <w:sz w:val="18"/>
                <w:szCs w:val="18"/>
                <w:vertAlign w:val="superscript"/>
                <w:lang w:val="ro-RO" w:eastAsia="ro-MD"/>
              </w:rPr>
              <w:t>4</w:t>
            </w:r>
            <w:r w:rsidRPr="006F5136">
              <w:rPr>
                <w:rFonts w:ascii="Times New Roman" w:eastAsia="Times New Roman" w:hAnsi="Times New Roman" w:cs="Times New Roman"/>
                <w:b/>
                <w:bCs/>
                <w:sz w:val="18"/>
                <w:szCs w:val="18"/>
                <w:lang w:val="ro-RO" w:eastAsia="ro-MD"/>
              </w:rPr>
              <w:t xml:space="preserve">. </w:t>
            </w:r>
            <w:r w:rsidRPr="006F5136">
              <w:rPr>
                <w:rFonts w:ascii="Times New Roman" w:eastAsia="Times New Roman" w:hAnsi="Times New Roman" w:cs="Times New Roman"/>
                <w:sz w:val="18"/>
                <w:szCs w:val="18"/>
                <w:lang w:val="ro-RO" w:eastAsia="ro-MD"/>
              </w:rPr>
              <w:t>O deținere de capital care este înregistrată ca împrumut, dar care a rezultat dintr-o conversie a creanțelor în acțiuni efectuată ca parte a realizării sau a restructurării ordonate a datoriei nu primește o pondere de risc mai scăzută decât ponderea de risc care s-ar aplica dacă deținerea de capital ar fi tratată ca expunere din titluri de datorie.</w:t>
            </w:r>
          </w:p>
          <w:p w14:paraId="1DFDCD64" w14:textId="0EC4116C"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2CBD37B7" w14:textId="650E3C00"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720F3EC5" w14:textId="6E20C515"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C648C3" w:rsidRPr="006F5136" w14:paraId="7B5FFBA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0C9F7F0" w14:textId="77777777" w:rsidR="00C648C3" w:rsidRPr="006F5136" w:rsidRDefault="00C648C3" w:rsidP="005E4694">
            <w:pPr>
              <w:pStyle w:val="CM4"/>
              <w:tabs>
                <w:tab w:val="left" w:pos="150"/>
              </w:tabs>
              <w:ind w:left="-43"/>
              <w:jc w:val="both"/>
              <w:rPr>
                <w:rFonts w:ascii="Times New Roman" w:hAnsi="Times New Roman"/>
                <w:iCs/>
                <w:sz w:val="18"/>
                <w:szCs w:val="18"/>
                <w:lang w:val="ro-RO" w:eastAsia="ru-RU"/>
              </w:rPr>
            </w:pPr>
          </w:p>
        </w:tc>
        <w:tc>
          <w:tcPr>
            <w:tcW w:w="1661" w:type="pct"/>
            <w:shd w:val="clear" w:color="auto" w:fill="auto"/>
          </w:tcPr>
          <w:p w14:paraId="2C45BF56" w14:textId="77777777" w:rsidR="00C648C3" w:rsidRPr="006F5136" w:rsidRDefault="00C648C3" w:rsidP="005E4694">
            <w:pPr>
              <w:spacing w:after="0" w:line="240" w:lineRule="auto"/>
              <w:jc w:val="both"/>
              <w:rPr>
                <w:rFonts w:ascii="Times New Roman" w:eastAsia="Times New Roman" w:hAnsi="Times New Roman" w:cs="Times New Roman"/>
                <w:sz w:val="18"/>
                <w:szCs w:val="18"/>
                <w:lang w:val="ro-RO" w:eastAsia="ro-MD"/>
              </w:rPr>
            </w:pPr>
            <w:bookmarkStart w:id="13" w:name="_Hlk206681418"/>
            <w:r w:rsidRPr="006F5136">
              <w:rPr>
                <w:rFonts w:ascii="Times New Roman" w:eastAsia="Times New Roman" w:hAnsi="Times New Roman" w:cs="Times New Roman"/>
                <w:b/>
                <w:bCs/>
                <w:sz w:val="18"/>
                <w:szCs w:val="18"/>
                <w:lang w:val="ro-RO" w:eastAsia="ro-MD"/>
              </w:rPr>
              <w:t>86</w:t>
            </w:r>
            <w:r w:rsidRPr="006F5136">
              <w:rPr>
                <w:rFonts w:ascii="Times New Roman" w:eastAsia="Times New Roman" w:hAnsi="Times New Roman" w:cs="Times New Roman"/>
                <w:b/>
                <w:bCs/>
                <w:sz w:val="18"/>
                <w:szCs w:val="18"/>
                <w:vertAlign w:val="superscript"/>
                <w:lang w:val="ro-RO" w:eastAsia="ro-MD"/>
              </w:rPr>
              <w:t>5</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Pentru obținerea aprobării menționate la punctele 84</w:t>
            </w:r>
            <w:r w:rsidRPr="006F5136">
              <w:rPr>
                <w:rFonts w:ascii="Times New Roman" w:eastAsia="Times New Roman" w:hAnsi="Times New Roman" w:cs="Times New Roman"/>
                <w:sz w:val="18"/>
                <w:szCs w:val="18"/>
                <w:vertAlign w:val="superscript"/>
                <w:lang w:val="ro-RO" w:eastAsia="ro-MD"/>
              </w:rPr>
              <w:t>2</w:t>
            </w:r>
            <w:r w:rsidRPr="006F5136">
              <w:rPr>
                <w:rFonts w:ascii="Times New Roman" w:eastAsia="Times New Roman" w:hAnsi="Times New Roman" w:cs="Times New Roman"/>
                <w:sz w:val="18"/>
                <w:szCs w:val="18"/>
                <w:lang w:val="ro-RO" w:eastAsia="ro-MD"/>
              </w:rPr>
              <w:t xml:space="preserve"> și 86</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 xml:space="preserve"> banca va adresa Băncii Naționale a Moldovei în scris o solicitare în acest sens, cu anexarea informației/documentației pertinente din care să rezulte îndeplinirea condițiilor de la punctul 84</w:t>
            </w:r>
            <w:r w:rsidRPr="006F5136">
              <w:rPr>
                <w:rFonts w:ascii="Times New Roman" w:eastAsia="Times New Roman" w:hAnsi="Times New Roman" w:cs="Times New Roman"/>
                <w:sz w:val="18"/>
                <w:szCs w:val="18"/>
                <w:vertAlign w:val="superscript"/>
                <w:lang w:val="ro-RO" w:eastAsia="ro-MD"/>
              </w:rPr>
              <w:t>2</w:t>
            </w:r>
            <w:r w:rsidRPr="006F5136">
              <w:rPr>
                <w:rFonts w:ascii="Times New Roman" w:eastAsia="Times New Roman" w:hAnsi="Times New Roman" w:cs="Times New Roman"/>
                <w:sz w:val="18"/>
                <w:szCs w:val="18"/>
                <w:lang w:val="ro-RO" w:eastAsia="ro-MD"/>
              </w:rPr>
              <w:t xml:space="preserve"> și respectiv 86</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w:t>
            </w:r>
          </w:p>
          <w:p w14:paraId="0ACA0A5B" w14:textId="77777777" w:rsidR="00C648C3" w:rsidRPr="006F5136" w:rsidRDefault="00C648C3" w:rsidP="005E4694">
            <w:pPr>
              <w:spacing w:after="0" w:line="240" w:lineRule="auto"/>
              <w:jc w:val="both"/>
              <w:rPr>
                <w:rFonts w:ascii="Times New Roman" w:hAnsi="Times New Roman" w:cs="Times New Roman"/>
                <w:sz w:val="18"/>
                <w:szCs w:val="18"/>
              </w:rPr>
            </w:pPr>
            <w:r w:rsidRPr="006F5136">
              <w:rPr>
                <w:rFonts w:ascii="Times New Roman" w:eastAsia="Times New Roman" w:hAnsi="Times New Roman" w:cs="Times New Roman"/>
                <w:b/>
                <w:bCs/>
                <w:sz w:val="18"/>
                <w:szCs w:val="18"/>
                <w:lang w:val="ro-RO" w:eastAsia="ro-MD"/>
              </w:rPr>
              <w:t>86</w:t>
            </w:r>
            <w:r w:rsidRPr="006F5136">
              <w:rPr>
                <w:rFonts w:ascii="Times New Roman" w:eastAsia="Times New Roman" w:hAnsi="Times New Roman" w:cs="Times New Roman"/>
                <w:b/>
                <w:bCs/>
                <w:sz w:val="18"/>
                <w:szCs w:val="18"/>
                <w:vertAlign w:val="superscript"/>
                <w:lang w:val="ro-RO" w:eastAsia="ro-MD"/>
              </w:rPr>
              <w:t>6</w:t>
            </w:r>
            <w:r w:rsidRPr="006F5136">
              <w:rPr>
                <w:rFonts w:ascii="Times New Roman" w:eastAsia="Times New Roman" w:hAnsi="Times New Roman" w:cs="Times New Roman"/>
                <w:b/>
                <w:bCs/>
                <w:sz w:val="18"/>
                <w:szCs w:val="18"/>
                <w:lang w:val="ro-RO" w:eastAsia="ro-MD"/>
              </w:rPr>
              <w:t>.</w:t>
            </w:r>
            <w:r w:rsidRPr="006F5136">
              <w:rPr>
                <w:rFonts w:ascii="Times New Roman" w:eastAsia="Times New Roman" w:hAnsi="Times New Roman" w:cs="Times New Roman"/>
                <w:sz w:val="18"/>
                <w:szCs w:val="18"/>
                <w:lang w:val="ro-RO" w:eastAsia="ro-MD"/>
              </w:rPr>
              <w:t xml:space="preserve"> Termenul maxim de finalizare a procedurii de soluționare a solicitării adresate conform punctului 86</w:t>
            </w:r>
            <w:r w:rsidRPr="006F5136">
              <w:rPr>
                <w:rFonts w:ascii="Times New Roman" w:eastAsia="Times New Roman" w:hAnsi="Times New Roman" w:cs="Times New Roman"/>
                <w:sz w:val="18"/>
                <w:szCs w:val="18"/>
                <w:vertAlign w:val="superscript"/>
                <w:lang w:val="ro-RO" w:eastAsia="ro-MD"/>
              </w:rPr>
              <w:t>6</w:t>
            </w:r>
            <w:r w:rsidRPr="006F5136">
              <w:rPr>
                <w:rFonts w:ascii="Times New Roman" w:eastAsia="Times New Roman" w:hAnsi="Times New Roman" w:cs="Times New Roman"/>
                <w:sz w:val="18"/>
                <w:szCs w:val="18"/>
                <w:lang w:val="ro-RO" w:eastAsia="ro-MD"/>
              </w:rPr>
              <w:t xml:space="preserve"> este de 30 de zile lucrătoare, calculat de la data depunerii cererii însoțite de toate documentele care trebuie prezentate Băncii Naționale a Moldovei. Termenul poate fi prelungit cu cel mult 10 zile, cu informarea ulterioară a băncii cu cel puțin 3 zile înainte de expirarea termenului de examinare a cererii.</w:t>
            </w:r>
          </w:p>
          <w:bookmarkEnd w:id="13"/>
          <w:p w14:paraId="6F399085" w14:textId="77777777" w:rsidR="00C648C3" w:rsidRPr="006F5136" w:rsidRDefault="00C648C3" w:rsidP="005E4694">
            <w:pPr>
              <w:spacing w:after="0" w:line="240" w:lineRule="auto"/>
              <w:rPr>
                <w:rFonts w:ascii="Times New Roman" w:eastAsia="Times New Roman" w:hAnsi="Times New Roman" w:cs="Times New Roman"/>
                <w:b/>
                <w:bCs/>
                <w:sz w:val="18"/>
                <w:szCs w:val="18"/>
                <w:lang w:eastAsia="ro-MD"/>
              </w:rPr>
            </w:pPr>
          </w:p>
        </w:tc>
        <w:tc>
          <w:tcPr>
            <w:tcW w:w="503" w:type="pct"/>
          </w:tcPr>
          <w:p w14:paraId="0E6A3275" w14:textId="6A9A3BDC" w:rsidR="00C648C3" w:rsidRPr="006F5136" w:rsidRDefault="00C648C3"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B1E7AF6" w14:textId="4094928F" w:rsidR="00C648C3" w:rsidRPr="006F5136" w:rsidRDefault="00C648C3"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Prevedere națională, are scop detalierea procedurii de obțidere a aprobării prealabile.</w:t>
            </w:r>
          </w:p>
        </w:tc>
      </w:tr>
      <w:tr w:rsidR="0027576A" w:rsidRPr="006F5136" w14:paraId="15F754C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D85B216"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134</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Alte elemente</w:t>
            </w:r>
          </w:p>
          <w:p w14:paraId="1D0DD7DA"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 Imobilizările corporale în sensul punctului 10 de la rubrica „Active” de la articolul 4 din Directiva 86/635/CEE primesc o pondere de risc de 100 %.</w:t>
            </w:r>
          </w:p>
        </w:tc>
        <w:tc>
          <w:tcPr>
            <w:tcW w:w="1661" w:type="pct"/>
            <w:shd w:val="clear" w:color="auto" w:fill="auto"/>
          </w:tcPr>
          <w:p w14:paraId="28763E6A" w14:textId="77777777"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 xml:space="preserve">Secțiunea a 20-a. Alte elemente </w:t>
            </w:r>
          </w:p>
          <w:p w14:paraId="488FAF02" w14:textId="77777777" w:rsidR="00753E65" w:rsidRPr="006F5136" w:rsidRDefault="00753E65"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87.</w:t>
            </w:r>
            <w:r w:rsidRPr="006F5136">
              <w:rPr>
                <w:rFonts w:ascii="Times New Roman" w:eastAsia="Times New Roman" w:hAnsi="Times New Roman" w:cs="Times New Roman"/>
                <w:sz w:val="18"/>
                <w:szCs w:val="18"/>
                <w:lang w:val="ro-RO" w:eastAsia="ro-MD"/>
              </w:rPr>
              <w:t xml:space="preserve"> Imobilizările corporale, în sensul cadrului contabil aplicabil, activele transmise în posesiune/ achiziționate în schimbul rambursării datoriilor, indiferent de forma de proprietate, primesc o pondere de risc de 100%.</w:t>
            </w:r>
          </w:p>
          <w:p w14:paraId="5B453874" w14:textId="13874C88"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0993B314"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0249C030" w14:textId="599ACEC4"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70E65B0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1234756"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 Conturile de regularizare pentru care o instituție nu poate determina contrapartea în conformitate cu Directiva 86/635/CEE primesc o pondere de risc de 100 %.</w:t>
            </w:r>
          </w:p>
        </w:tc>
        <w:tc>
          <w:tcPr>
            <w:tcW w:w="1661" w:type="pct"/>
            <w:shd w:val="clear" w:color="auto" w:fill="auto"/>
          </w:tcPr>
          <w:p w14:paraId="2A0653CF" w14:textId="5E9EB0C6" w:rsidR="0027576A" w:rsidRPr="006F5136" w:rsidRDefault="00753E65"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88.</w:t>
            </w:r>
            <w:r w:rsidRPr="006F5136">
              <w:rPr>
                <w:rFonts w:ascii="Times New Roman" w:eastAsia="Times New Roman" w:hAnsi="Times New Roman" w:cs="Times New Roman"/>
                <w:sz w:val="18"/>
                <w:szCs w:val="18"/>
                <w:lang w:val="ro-RO" w:eastAsia="ro-MD"/>
              </w:rPr>
              <w:t xml:space="preserve"> Activele aferente plăților anticipate și plăților în tranzit și suspendate pentru care o bancă nu poate determina contrapartea primesc o pondere de risc de 100%.</w:t>
            </w:r>
          </w:p>
        </w:tc>
        <w:tc>
          <w:tcPr>
            <w:tcW w:w="503" w:type="pct"/>
          </w:tcPr>
          <w:p w14:paraId="4FCA0237"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3C3E5E7" w14:textId="173D2AFC"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2995AB4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F7F24A5" w14:textId="77777777" w:rsidR="00B22499" w:rsidRPr="006F5136" w:rsidRDefault="00B22499"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▼M17</w:t>
            </w:r>
          </w:p>
          <w:p w14:paraId="746FA2E9" w14:textId="2143C73C" w:rsidR="0027576A" w:rsidRPr="006F5136" w:rsidRDefault="00B22499"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   Elementele de numerar în curs de încasare primesc o pondere de risc de 20 %. Numerarul aflat în proprietatea instituției și deținut de aceasta sau aflat în tranzit și elementele de numerar echivalente primesc o pondere de risc de 0 %.</w:t>
            </w:r>
          </w:p>
        </w:tc>
        <w:tc>
          <w:tcPr>
            <w:tcW w:w="1661" w:type="pct"/>
            <w:shd w:val="clear" w:color="auto" w:fill="auto"/>
          </w:tcPr>
          <w:p w14:paraId="02C1836E" w14:textId="448091A4" w:rsidR="00753E65" w:rsidRPr="006F5136" w:rsidRDefault="00753E65"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89.</w:t>
            </w:r>
            <w:r w:rsidRPr="006F5136">
              <w:rPr>
                <w:rFonts w:ascii="Times New Roman" w:eastAsia="Times New Roman" w:hAnsi="Times New Roman" w:cs="Times New Roman"/>
                <w:sz w:val="18"/>
                <w:szCs w:val="18"/>
                <w:lang w:val="ro-RO" w:eastAsia="ro-MD"/>
              </w:rPr>
              <w:t xml:space="preserve"> Numerarul, cecurile și alte elemente echivalente numerarului în curs de încasare primesc o pondere de risc de 20%.</w:t>
            </w:r>
          </w:p>
          <w:p w14:paraId="38DFB29B" w14:textId="77777777" w:rsidR="0027576A" w:rsidRPr="006F5136" w:rsidRDefault="00753E65" w:rsidP="005E4694">
            <w:pPr>
              <w:pStyle w:val="CM4"/>
              <w:tabs>
                <w:tab w:val="left" w:pos="150"/>
              </w:tabs>
              <w:ind w:left="-36"/>
              <w:rPr>
                <w:rFonts w:ascii="Times New Roman" w:hAnsi="Times New Roman"/>
                <w:sz w:val="18"/>
                <w:szCs w:val="18"/>
                <w:lang w:val="ro-RO" w:eastAsia="ro-MD"/>
              </w:rPr>
            </w:pPr>
            <w:r w:rsidRPr="006F5136">
              <w:rPr>
                <w:rFonts w:ascii="Times New Roman" w:hAnsi="Times New Roman"/>
                <w:b/>
                <w:bCs/>
                <w:sz w:val="18"/>
                <w:szCs w:val="18"/>
                <w:lang w:val="ro-RO" w:eastAsia="ro-MD"/>
              </w:rPr>
              <w:t>90.</w:t>
            </w:r>
            <w:r w:rsidRPr="006F5136">
              <w:rPr>
                <w:rFonts w:ascii="Times New Roman" w:hAnsi="Times New Roman"/>
                <w:sz w:val="18"/>
                <w:szCs w:val="18"/>
                <w:lang w:val="ro-RO" w:eastAsia="ro-MD"/>
              </w:rPr>
              <w:t xml:space="preserve"> Numerarul aflat în proprietatea băncii și deținut de aceasta sau aflat în tranzit și elementele echivalente numerarului aflat în casierie primesc o pondere de risc de 0%.</w:t>
            </w:r>
          </w:p>
          <w:p w14:paraId="5CF62098" w14:textId="7FCA6ED5" w:rsidR="00753E65" w:rsidRPr="006F5136" w:rsidRDefault="00753E65" w:rsidP="005E4694">
            <w:pPr>
              <w:spacing w:after="0" w:line="240" w:lineRule="auto"/>
              <w:rPr>
                <w:rFonts w:ascii="Times New Roman" w:hAnsi="Times New Roman" w:cs="Times New Roman"/>
                <w:i/>
                <w:iCs/>
                <w:sz w:val="18"/>
                <w:szCs w:val="18"/>
                <w:lang w:val="ro-RO" w:eastAsia="ro-MD"/>
              </w:rPr>
            </w:pPr>
            <w:r w:rsidRPr="006F5136">
              <w:rPr>
                <w:rFonts w:ascii="Times New Roman" w:hAnsi="Times New Roman" w:cs="Times New Roman"/>
                <w:i/>
                <w:iCs/>
                <w:sz w:val="18"/>
                <w:szCs w:val="18"/>
                <w:lang w:val="ro-RO" w:eastAsia="ro-MD"/>
              </w:rPr>
              <w:t>Completat prin Proiectul HCE al BNM privind modificarea Regulamentului nr.111/2018.</w:t>
            </w:r>
          </w:p>
        </w:tc>
        <w:tc>
          <w:tcPr>
            <w:tcW w:w="503" w:type="pct"/>
          </w:tcPr>
          <w:p w14:paraId="694D5DC1"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58129C97" w14:textId="3AEEE07E"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7EEB275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2C0528F" w14:textId="480A9A3C" w:rsidR="0027576A" w:rsidRPr="006F5136" w:rsidRDefault="00B22499"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   Lingourile de aur păstrate în tezaurele proprii sau în custodie în limita sumelor acoperite cu pasive în lingouri primesc o pondere de risc de 0 %.</w:t>
            </w:r>
          </w:p>
        </w:tc>
        <w:tc>
          <w:tcPr>
            <w:tcW w:w="1661" w:type="pct"/>
            <w:shd w:val="clear" w:color="auto" w:fill="auto"/>
          </w:tcPr>
          <w:p w14:paraId="6DFE8338" w14:textId="4177CAF1"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b/>
                <w:bCs/>
                <w:sz w:val="18"/>
                <w:szCs w:val="18"/>
                <w:lang w:val="ro-RO" w:eastAsia="ru-RU"/>
              </w:rPr>
              <w:t>9</w:t>
            </w:r>
            <w:r w:rsidR="00011922" w:rsidRPr="006F5136">
              <w:rPr>
                <w:rFonts w:ascii="Times New Roman" w:hAnsi="Times New Roman"/>
                <w:b/>
                <w:bCs/>
                <w:sz w:val="18"/>
                <w:szCs w:val="18"/>
                <w:lang w:val="ro-RO" w:eastAsia="ru-RU"/>
              </w:rPr>
              <w:t>1</w:t>
            </w:r>
            <w:r w:rsidRPr="006F5136">
              <w:rPr>
                <w:rFonts w:ascii="Times New Roman" w:hAnsi="Times New Roman"/>
                <w:b/>
                <w:bCs/>
                <w:sz w:val="18"/>
                <w:szCs w:val="18"/>
                <w:lang w:val="ro-RO" w:eastAsia="ru-RU"/>
              </w:rPr>
              <w:t>.</w:t>
            </w:r>
            <w:r w:rsidRPr="006F5136">
              <w:rPr>
                <w:rFonts w:ascii="Times New Roman" w:hAnsi="Times New Roman"/>
                <w:sz w:val="18"/>
                <w:szCs w:val="18"/>
                <w:lang w:val="ro-RO" w:eastAsia="ru-RU"/>
              </w:rPr>
              <w:t xml:space="preserve"> Lingourile de aur păstrate în tezaurele proprii sau depozitate în custodie în limita sumelor acoperite cu pasive în lingouri primesc o pondere de risc de 0 %.</w:t>
            </w:r>
          </w:p>
        </w:tc>
        <w:tc>
          <w:tcPr>
            <w:tcW w:w="503" w:type="pct"/>
          </w:tcPr>
          <w:p w14:paraId="57FCF6E6"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E98C3A0" w14:textId="6D2CFE44"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155598B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29CC2AF" w14:textId="28D1133E"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(5) </w:t>
            </w:r>
            <w:r w:rsidR="00B22499" w:rsidRPr="006F5136">
              <w:rPr>
                <w:rFonts w:ascii="Times New Roman" w:hAnsi="Times New Roman"/>
                <w:iCs/>
                <w:sz w:val="18"/>
                <w:szCs w:val="18"/>
                <w:lang w:val="ro-RO" w:eastAsia="ru-RU"/>
              </w:rPr>
              <w:t>În cazul tranzacțiilor de vânzare de active, al contractelor de răscumpărare și al angajamentelor ferme de cumpărare la termen, ponderea de risc este cea aplicată activelor respective și nu cea aplicată contrapărților la tranzacțiile respective.</w:t>
            </w:r>
          </w:p>
        </w:tc>
        <w:tc>
          <w:tcPr>
            <w:tcW w:w="1661" w:type="pct"/>
            <w:shd w:val="clear" w:color="auto" w:fill="auto"/>
          </w:tcPr>
          <w:p w14:paraId="6A71F88F" w14:textId="2044F34F" w:rsidR="0027576A" w:rsidRPr="006F5136" w:rsidRDefault="00011922" w:rsidP="005E4694">
            <w:pPr>
              <w:spacing w:after="0" w:line="240" w:lineRule="auto"/>
              <w:jc w:val="both"/>
              <w:rPr>
                <w:rFonts w:ascii="Times New Roman" w:hAnsi="Times New Roman" w:cs="Times New Roman"/>
                <w:sz w:val="18"/>
                <w:szCs w:val="18"/>
                <w:lang w:val="ro-RO" w:eastAsia="ru-RU"/>
              </w:rPr>
            </w:pPr>
            <w:r w:rsidRPr="006F5136">
              <w:rPr>
                <w:rFonts w:ascii="Times New Roman" w:eastAsia="Times New Roman" w:hAnsi="Times New Roman" w:cs="Times New Roman"/>
                <w:b/>
                <w:bCs/>
                <w:sz w:val="18"/>
                <w:szCs w:val="18"/>
                <w:lang w:val="ro-RO" w:eastAsia="ro-MD"/>
              </w:rPr>
              <w:t>92.</w:t>
            </w:r>
            <w:r w:rsidRPr="006F5136">
              <w:rPr>
                <w:rFonts w:ascii="Times New Roman" w:eastAsia="Times New Roman" w:hAnsi="Times New Roman" w:cs="Times New Roman"/>
                <w:sz w:val="18"/>
                <w:szCs w:val="18"/>
                <w:lang w:val="ro-RO" w:eastAsia="ro-MD"/>
              </w:rPr>
              <w:t xml:space="preserve"> În cazul vânzării de active și acorduri repo, respectiv al angajamentelor ferme de cumpărare la termen (outright forward purchases), ponderea de risc este cea aplicată activelor respective și nu cea aplicată contrapărților la tranzacțiile respective.</w:t>
            </w:r>
          </w:p>
        </w:tc>
        <w:tc>
          <w:tcPr>
            <w:tcW w:w="503" w:type="pct"/>
          </w:tcPr>
          <w:p w14:paraId="315970E0"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4F4BFC91" w14:textId="50B02C6A"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49201842"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0070B5D" w14:textId="460A0845" w:rsidR="0027576A" w:rsidRPr="006F5136" w:rsidRDefault="0027576A" w:rsidP="005E4694">
            <w:pPr>
              <w:pStyle w:val="CM4"/>
              <w:tabs>
                <w:tab w:val="left" w:pos="150"/>
              </w:tabs>
              <w:ind w:left="-43"/>
              <w:jc w:val="both"/>
              <w:rPr>
                <w:rFonts w:ascii="Times New Roman" w:hAnsi="Times New Roman"/>
                <w:b/>
                <w:bCs/>
                <w:iCs/>
                <w:sz w:val="18"/>
                <w:szCs w:val="18"/>
                <w:lang w:val="ro-RO" w:eastAsia="ru-RU"/>
              </w:rPr>
            </w:pPr>
            <w:r w:rsidRPr="006F5136">
              <w:rPr>
                <w:rFonts w:ascii="Times New Roman" w:hAnsi="Times New Roman"/>
                <w:b/>
                <w:bCs/>
                <w:iCs/>
                <w:sz w:val="18"/>
                <w:szCs w:val="18"/>
                <w:lang w:val="ro-RO" w:eastAsia="ru-RU"/>
              </w:rPr>
              <w:t>M5</w:t>
            </w:r>
          </w:p>
          <w:p w14:paraId="0210CB57" w14:textId="5D8DD7EE"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(6) În cazul în care o instituție oferă protecția creditului pentru o serie de expuneri supuse condiției potrivit căreia al n-lea caz de nerambursare corespunzător expunerilor declanșează plata, iar acest eveniment de credit conduce la încetarea contractului, ponderile de risc pentru expunerile incluse în coș, mai puțin un număr de n-1 expuneri, sunt agregate până la un nivel de maxim de 1 250 % și multiplicate cu valoarea nominală a protecției furnizate de instrumentul financiar derivat de credit pentru a obține cuantumul ponderat la risc al activului. Cele n-1 expuneri excluse din agregare sunt determinate astfel încât să includă fiecare dintre acele expuneri care generează un cuantum ponderat la risc al expunerii inferior cuantumului ponderat la risc al oricărei expuneri incluse în agregare.</w:t>
            </w:r>
          </w:p>
        </w:tc>
        <w:tc>
          <w:tcPr>
            <w:tcW w:w="1661" w:type="pct"/>
            <w:shd w:val="clear" w:color="auto" w:fill="auto"/>
          </w:tcPr>
          <w:p w14:paraId="77D267BE" w14:textId="5A7CE850" w:rsidR="00011922" w:rsidRPr="006F5136" w:rsidRDefault="0001192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93.</w:t>
            </w:r>
            <w:r w:rsidRPr="006F5136">
              <w:rPr>
                <w:rFonts w:ascii="Times New Roman" w:eastAsia="Times New Roman" w:hAnsi="Times New Roman" w:cs="Times New Roman"/>
                <w:sz w:val="18"/>
                <w:szCs w:val="18"/>
                <w:lang w:val="ro-RO" w:eastAsia="ro-MD"/>
              </w:rPr>
              <w:t xml:space="preserve"> În cazul în care o bancă oferă protecție a creditului care acoperă un număr de expuneri (coș de expuneri) în condiții potrivit cărora al </w:t>
            </w:r>
            <w:r w:rsidRPr="006F5136">
              <w:rPr>
                <w:rFonts w:ascii="Times New Roman" w:eastAsia="Times New Roman" w:hAnsi="Times New Roman" w:cs="Times New Roman"/>
                <w:i/>
                <w:iCs/>
                <w:sz w:val="18"/>
                <w:szCs w:val="18"/>
                <w:lang w:val="ro-RO" w:eastAsia="ro-MD"/>
              </w:rPr>
              <w:t>n-lea</w:t>
            </w:r>
            <w:r w:rsidRPr="006F5136">
              <w:rPr>
                <w:rFonts w:ascii="Times New Roman" w:eastAsia="Times New Roman" w:hAnsi="Times New Roman" w:cs="Times New Roman"/>
                <w:sz w:val="18"/>
                <w:szCs w:val="18"/>
                <w:lang w:val="ro-RO" w:eastAsia="ro-MD"/>
              </w:rPr>
              <w:t xml:space="preserve"> caz de nerambursare (cazul de nerambursare de ordinul </w:t>
            </w:r>
            <w:r w:rsidRPr="006F5136">
              <w:rPr>
                <w:rFonts w:ascii="Times New Roman" w:eastAsia="Times New Roman" w:hAnsi="Times New Roman" w:cs="Times New Roman"/>
                <w:i/>
                <w:iCs/>
                <w:sz w:val="18"/>
                <w:szCs w:val="18"/>
                <w:lang w:val="ro-RO" w:eastAsia="ro-MD"/>
              </w:rPr>
              <w:t>n</w:t>
            </w:r>
            <w:r w:rsidRPr="006F5136">
              <w:rPr>
                <w:rFonts w:ascii="Times New Roman" w:eastAsia="Times New Roman" w:hAnsi="Times New Roman" w:cs="Times New Roman"/>
                <w:sz w:val="18"/>
                <w:szCs w:val="18"/>
                <w:lang w:val="ro-RO" w:eastAsia="ro-MD"/>
              </w:rPr>
              <w:t xml:space="preserve">) dintre expuneri declanșează plata și acest eveniment de credit conduce la încetarea contractului, ponderile de risc pentru expunerile incluse în coș, excluzând un număr de </w:t>
            </w:r>
            <w:r w:rsidRPr="006F5136">
              <w:rPr>
                <w:rFonts w:ascii="Times New Roman" w:eastAsia="Times New Roman" w:hAnsi="Times New Roman" w:cs="Times New Roman"/>
                <w:i/>
                <w:iCs/>
                <w:sz w:val="18"/>
                <w:szCs w:val="18"/>
                <w:lang w:val="ro-RO" w:eastAsia="ro-MD"/>
              </w:rPr>
              <w:t>n-1</w:t>
            </w:r>
            <w:r w:rsidRPr="006F5136">
              <w:rPr>
                <w:rFonts w:ascii="Times New Roman" w:eastAsia="Times New Roman" w:hAnsi="Times New Roman" w:cs="Times New Roman"/>
                <w:sz w:val="18"/>
                <w:szCs w:val="18"/>
                <w:lang w:val="ro-RO" w:eastAsia="ro-MD"/>
              </w:rPr>
              <w:t xml:space="preserve"> expuneri, trebuie să fie agregate până la un nivel maxim de 1000% și multiplicate cu valoarea nominală a protecției furnizate de instrumentul derivat de credit pentru a obține valoarea poderată la risc a activului.</w:t>
            </w:r>
          </w:p>
          <w:p w14:paraId="5DE2EBDE" w14:textId="77777777" w:rsidR="00011922" w:rsidRPr="006F5136" w:rsidRDefault="0001192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xml:space="preserve">Cele </w:t>
            </w:r>
            <w:r w:rsidRPr="006F5136">
              <w:rPr>
                <w:rFonts w:ascii="Times New Roman" w:eastAsia="Times New Roman" w:hAnsi="Times New Roman" w:cs="Times New Roman"/>
                <w:i/>
                <w:iCs/>
                <w:sz w:val="18"/>
                <w:szCs w:val="18"/>
                <w:lang w:val="ro-RO" w:eastAsia="ro-MD"/>
              </w:rPr>
              <w:t>n-1</w:t>
            </w:r>
            <w:r w:rsidRPr="006F5136">
              <w:rPr>
                <w:rFonts w:ascii="Times New Roman" w:eastAsia="Times New Roman" w:hAnsi="Times New Roman" w:cs="Times New Roman"/>
                <w:sz w:val="18"/>
                <w:szCs w:val="18"/>
                <w:lang w:val="ro-RO" w:eastAsia="ro-MD"/>
              </w:rPr>
              <w:t xml:space="preserve"> expuneri care trebuie excluse din agregare sunt determinate astfel încât să includă fiecare dintre acele expuneri care generează o valoare ponderată la risc a expunerii mai mică decât valoarea ponderată la risc a oricărei expuneri incluse în agregare.</w:t>
            </w:r>
          </w:p>
          <w:p w14:paraId="56905BE3" w14:textId="410BAC01"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7B21FE89"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Partial compatibil</w:t>
            </w:r>
          </w:p>
        </w:tc>
        <w:tc>
          <w:tcPr>
            <w:tcW w:w="912" w:type="pct"/>
          </w:tcPr>
          <w:p w14:paraId="27736E5F" w14:textId="774C7F7C" w:rsidR="0027576A"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p w14:paraId="2BF8438E" w14:textId="77777777" w:rsidR="001414D9" w:rsidRPr="006F5136" w:rsidRDefault="001414D9" w:rsidP="005E4694">
            <w:pPr>
              <w:spacing w:after="0" w:line="240" w:lineRule="auto"/>
              <w:jc w:val="both"/>
              <w:rPr>
                <w:rFonts w:ascii="Times New Roman" w:hAnsi="Times New Roman" w:cs="Times New Roman"/>
                <w:sz w:val="18"/>
                <w:szCs w:val="18"/>
                <w:lang w:val="ro-RO"/>
              </w:rPr>
            </w:pPr>
          </w:p>
          <w:p w14:paraId="622EBD43" w14:textId="569EDC3A" w:rsidR="0027576A" w:rsidRPr="006F5136" w:rsidRDefault="0027576A"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Partea prevederii legate de securitizare va fi transpusă după cum va fi promovat Regulamentul privind riscul de credit aferent securitizării.</w:t>
            </w:r>
          </w:p>
          <w:p w14:paraId="361F97F8" w14:textId="77777777" w:rsidR="0027576A" w:rsidRPr="006F5136" w:rsidRDefault="0027576A" w:rsidP="005E4694">
            <w:pPr>
              <w:spacing w:after="0" w:line="240" w:lineRule="auto"/>
              <w:jc w:val="both"/>
              <w:rPr>
                <w:rFonts w:ascii="Times New Roman" w:hAnsi="Times New Roman" w:cs="Times New Roman"/>
                <w:sz w:val="18"/>
                <w:szCs w:val="18"/>
                <w:lang w:val="ro-RO"/>
              </w:rPr>
            </w:pPr>
          </w:p>
          <w:p w14:paraId="7515DCC2" w14:textId="77777777" w:rsidR="0027576A" w:rsidRPr="006F5136" w:rsidRDefault="0027576A"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Ponderea de1250% a fost substituită cu ponderea de 1000% pentru a asigura conformarea cu prevederile din cadrul proiectului Regulamentului cu privire la fondurile proprii ale băncilor și cerințele de capital.</w:t>
            </w:r>
          </w:p>
        </w:tc>
      </w:tr>
      <w:tr w:rsidR="0027576A" w:rsidRPr="006F5136" w14:paraId="0F3AD9B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B8A10A0" w14:textId="354F3D9F"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(7) </w:t>
            </w:r>
            <w:r w:rsidR="00B22499" w:rsidRPr="006F5136">
              <w:rPr>
                <w:rFonts w:ascii="Times New Roman" w:hAnsi="Times New Roman"/>
                <w:iCs/>
                <w:sz w:val="18"/>
                <w:szCs w:val="18"/>
                <w:lang w:val="ro-RO" w:eastAsia="ru-RU"/>
              </w:rPr>
              <w:t>Valoarea expunerii pentru operațiunile de leasing este valoarea actualizată a plăților minime de leasing. Plățile minime de leasing sunt plățile pe care locatarul este obligat sau poate fi obligat să le efectueze pe perioada contractului de leasing, precum și orice opțiune de cumpărare avantajoasă (bargain option) a cărei probabilitate de exercitare este certă într-o măsură rezonabilă. O parte, alta decât locatarul, poate fi obligată să efectueze o plată legată de valoarea reziduală a bunului care face obiectul contractului de leasing și în condițiile în care această obligație de plată îndeplinește setul de condiții prevăzut la articolul 201 cu privire la eligibilitatea furnizorilor de protecție, precum și cerințele de recunoaștere a altor tipuri de garanții, prevăzute la articolele 213-215, obligația de plată poate fi considerată drept protecție nefinanțată a creditului în conformitate cu capitolul 4. Aceste expuneri se clasifică în clasa de expuneri corespunzătoare, în conformitate cu articolul 112. Atunci când expunerea este o valoare reziduală a unor active care fac obiectul unui contract de leasing, cuantumurile ponderate la risc ale expunerilor se calculează după cum urmează: 1/t × 100 % × valoarea reziduală, unde t este numărul cel mai mare dintre 1 și numărul cel mai apropiat de ani întregi rămași din contractul de leasing.</w:t>
            </w:r>
          </w:p>
        </w:tc>
        <w:tc>
          <w:tcPr>
            <w:tcW w:w="1661" w:type="pct"/>
            <w:shd w:val="clear" w:color="auto" w:fill="auto"/>
          </w:tcPr>
          <w:p w14:paraId="470680B1" w14:textId="77777777" w:rsidR="00011922" w:rsidRPr="006F5136" w:rsidRDefault="0001192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94.</w:t>
            </w:r>
            <w:r w:rsidRPr="006F5136">
              <w:rPr>
                <w:rFonts w:ascii="Times New Roman" w:eastAsia="Times New Roman" w:hAnsi="Times New Roman" w:cs="Times New Roman"/>
                <w:sz w:val="18"/>
                <w:szCs w:val="18"/>
                <w:lang w:val="ro-RO" w:eastAsia="ro-MD"/>
              </w:rPr>
              <w:t xml:space="preserve"> În cazul operațiunilor de leasing se aplică următoarele:</w:t>
            </w:r>
          </w:p>
          <w:p w14:paraId="5F83E83B" w14:textId="77777777" w:rsidR="00011922" w:rsidRPr="006F5136" w:rsidRDefault="0001192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valoarea expunerii pentru operațiunile de leasing este valoarea actualizată a plăților minime de leasing. Plățile minime de leasing sunt plățile pe care locatarul este obligat sau poate fi obligat să le efectueze pe durata contractului de leasing, precum și orice opțiune de cumpărare avantajoasă (bargain option) a cărei exercitare este certă într-o măsură rezonabilă;</w:t>
            </w:r>
          </w:p>
          <w:p w14:paraId="627108C8" w14:textId="77777777" w:rsidR="00011922" w:rsidRPr="006F5136" w:rsidRDefault="0001192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o parte, alta decât locatarul, poate fi obligată să efectueze o plată legată de valoarea reziduală a bunului care face obiectul contractului de leasing și în condițiile în care această obligație de plată îndeplinește prevederile actelor normative ale Băncii Naționale a Moldovei cu privire la eligibilitatea furnizorilor de protecție nefinanțată a creditului, precum și cerințele de recunoaștere a altor tipuri de garanții aferente protecției nefinanțate a creditului, obligația de plată respectivă poate fi considerată drept protecție nefinanțată a creditului. Aceste expuneri trebuie să fie încadrate în clasa relevantă de expuneri, în conformitate cu punctul 11;</w:t>
            </w:r>
          </w:p>
          <w:p w14:paraId="256AC955" w14:textId="77777777" w:rsidR="00011922" w:rsidRPr="006F5136" w:rsidRDefault="0001192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în cazul în care expunerea este o valoare reziduală a unor active ale băncii care fac obiectul unui contract de leasing, valorile ponderate la risc ale expunerilor se calculează după cum urmează:</w:t>
            </w:r>
          </w:p>
          <w:p w14:paraId="0CBA9235" w14:textId="77777777" w:rsidR="00011922" w:rsidRPr="006F5136" w:rsidRDefault="00011922" w:rsidP="005E4694">
            <w:pPr>
              <w:spacing w:after="0" w:line="240" w:lineRule="auto"/>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1/t × 100% × valoarea reziduală,</w:t>
            </w:r>
          </w:p>
          <w:p w14:paraId="6C87A3F0" w14:textId="77777777" w:rsidR="00011922" w:rsidRPr="006F5136" w:rsidRDefault="0001192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unde t este numărul cel mai mare dintre 1 și numărul cel mai apropiat de ani întregi rămași până la finalizarea leasingului.</w:t>
            </w:r>
          </w:p>
          <w:p w14:paraId="3425FB37" w14:textId="76CA3956"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30232CBF"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507864F7" w14:textId="08F69E3A"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550C340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BB45D00"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Secțiunea 3 </w:t>
            </w:r>
          </w:p>
          <w:p w14:paraId="3160B965" w14:textId="77777777" w:rsidR="0027576A" w:rsidRPr="006F5136" w:rsidRDefault="0027576A" w:rsidP="005E4694">
            <w:pPr>
              <w:pStyle w:val="CM4"/>
              <w:tabs>
                <w:tab w:val="left" w:pos="150"/>
              </w:tabs>
              <w:ind w:left="-21"/>
              <w:jc w:val="both"/>
              <w:rPr>
                <w:rFonts w:ascii="Times New Roman" w:hAnsi="Times New Roman"/>
                <w:iCs/>
                <w:sz w:val="18"/>
                <w:szCs w:val="18"/>
                <w:lang w:val="ro-RO" w:eastAsia="ru-RU"/>
              </w:rPr>
            </w:pPr>
            <w:r w:rsidRPr="006F5136">
              <w:rPr>
                <w:rFonts w:ascii="Times New Roman" w:hAnsi="Times New Roman"/>
                <w:b/>
                <w:iCs/>
                <w:sz w:val="18"/>
                <w:szCs w:val="18"/>
                <w:lang w:val="ro-RO" w:eastAsia="ru-RU"/>
              </w:rPr>
              <w:t xml:space="preserve">Recunoașterea și punerea în corespondență a evaluărilor riscului de credit </w:t>
            </w:r>
          </w:p>
        </w:tc>
        <w:tc>
          <w:tcPr>
            <w:tcW w:w="1661" w:type="pct"/>
            <w:shd w:val="clear" w:color="auto" w:fill="auto"/>
          </w:tcPr>
          <w:p w14:paraId="4D20A3C6"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7837AED4" w14:textId="77777777" w:rsidR="0027576A" w:rsidRPr="006F5136" w:rsidRDefault="0027576A" w:rsidP="005E4694">
            <w:pPr>
              <w:spacing w:after="0" w:line="240" w:lineRule="auto"/>
              <w:rPr>
                <w:rFonts w:ascii="Times New Roman" w:hAnsi="Times New Roman" w:cs="Times New Roman"/>
                <w:sz w:val="18"/>
                <w:szCs w:val="18"/>
                <w:lang w:val="ro-RO"/>
              </w:rPr>
            </w:pPr>
          </w:p>
        </w:tc>
        <w:tc>
          <w:tcPr>
            <w:tcW w:w="912" w:type="pct"/>
          </w:tcPr>
          <w:p w14:paraId="0B3AFB4C" w14:textId="4C6AE5AB" w:rsidR="0027576A" w:rsidRPr="006F5136" w:rsidRDefault="0027576A" w:rsidP="005E4694">
            <w:pPr>
              <w:spacing w:after="0" w:line="240" w:lineRule="auto"/>
              <w:jc w:val="both"/>
              <w:rPr>
                <w:rFonts w:ascii="Times New Roman" w:hAnsi="Times New Roman" w:cs="Times New Roman"/>
                <w:sz w:val="18"/>
                <w:szCs w:val="18"/>
                <w:lang w:val="ro-RO"/>
              </w:rPr>
            </w:pPr>
          </w:p>
        </w:tc>
      </w:tr>
      <w:tr w:rsidR="0027576A" w:rsidRPr="006F5136" w14:paraId="36AFF44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7"/>
        </w:trPr>
        <w:tc>
          <w:tcPr>
            <w:tcW w:w="1924" w:type="pct"/>
          </w:tcPr>
          <w:p w14:paraId="3076BE8A"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Subsecțiunea 1 </w:t>
            </w:r>
          </w:p>
          <w:p w14:paraId="56787146"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b/>
                <w:iCs/>
                <w:sz w:val="18"/>
                <w:szCs w:val="18"/>
                <w:lang w:val="ro-RO" w:eastAsia="ru-RU"/>
              </w:rPr>
              <w:t>Recunoașterea ECAI</w:t>
            </w:r>
          </w:p>
        </w:tc>
        <w:tc>
          <w:tcPr>
            <w:tcW w:w="1661" w:type="pct"/>
            <w:shd w:val="clear" w:color="auto" w:fill="auto"/>
          </w:tcPr>
          <w:p w14:paraId="09BB6E42"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76818BCD" w14:textId="77777777" w:rsidR="0027576A" w:rsidRPr="006F5136" w:rsidRDefault="0027576A" w:rsidP="005E4694">
            <w:pPr>
              <w:spacing w:after="0" w:line="240" w:lineRule="auto"/>
              <w:rPr>
                <w:rFonts w:ascii="Times New Roman" w:hAnsi="Times New Roman" w:cs="Times New Roman"/>
                <w:sz w:val="18"/>
                <w:szCs w:val="18"/>
                <w:lang w:val="ro-RO"/>
              </w:rPr>
            </w:pPr>
          </w:p>
        </w:tc>
        <w:tc>
          <w:tcPr>
            <w:tcW w:w="912" w:type="pct"/>
          </w:tcPr>
          <w:p w14:paraId="62DD2FA8" w14:textId="7590607B" w:rsidR="0027576A" w:rsidRPr="006F5136" w:rsidRDefault="0027576A" w:rsidP="005E4694">
            <w:pPr>
              <w:spacing w:after="0" w:line="240" w:lineRule="auto"/>
              <w:jc w:val="both"/>
              <w:rPr>
                <w:rFonts w:ascii="Times New Roman" w:hAnsi="Times New Roman" w:cs="Times New Roman"/>
                <w:sz w:val="18"/>
                <w:szCs w:val="18"/>
                <w:lang w:val="ro-RO"/>
              </w:rPr>
            </w:pPr>
          </w:p>
        </w:tc>
      </w:tr>
      <w:tr w:rsidR="0027576A" w:rsidRPr="006F5136" w14:paraId="5A33BBE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33"/>
        </w:trPr>
        <w:tc>
          <w:tcPr>
            <w:tcW w:w="1924" w:type="pct"/>
          </w:tcPr>
          <w:p w14:paraId="67DEB79C" w14:textId="77777777" w:rsidR="0027576A" w:rsidRPr="006F5136" w:rsidRDefault="0027576A" w:rsidP="005E4694">
            <w:pPr>
              <w:pStyle w:val="CM4"/>
              <w:tabs>
                <w:tab w:val="left" w:pos="150"/>
              </w:tabs>
              <w:ind w:left="-43"/>
              <w:jc w:val="both"/>
              <w:rPr>
                <w:rFonts w:ascii="Times New Roman" w:hAnsi="Times New Roman"/>
                <w:b/>
                <w:iCs/>
                <w:sz w:val="18"/>
                <w:szCs w:val="18"/>
                <w:lang w:val="ro-RO" w:eastAsia="ru-RU"/>
              </w:rPr>
            </w:pPr>
            <w:r w:rsidRPr="006F5136">
              <w:rPr>
                <w:rFonts w:ascii="Times New Roman" w:hAnsi="Times New Roman"/>
                <w:i/>
                <w:iCs/>
                <w:sz w:val="18"/>
                <w:szCs w:val="18"/>
                <w:lang w:val="ro-RO" w:eastAsia="ru-RU"/>
              </w:rPr>
              <w:t>Articolul 135</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Utilizarea evaluărilor de credit furnizate de instituțiile externe de evaluare a creditului</w:t>
            </w:r>
          </w:p>
          <w:p w14:paraId="6636DAD3" w14:textId="77777777" w:rsidR="0027576A" w:rsidRPr="006F5136" w:rsidRDefault="0027576A" w:rsidP="005E4694">
            <w:pPr>
              <w:spacing w:after="0" w:line="240" w:lineRule="auto"/>
              <w:rPr>
                <w:rFonts w:ascii="Times New Roman" w:hAnsi="Times New Roman" w:cs="Times New Roman"/>
                <w:sz w:val="18"/>
                <w:szCs w:val="18"/>
                <w:lang w:val="ro-RO"/>
              </w:rPr>
            </w:pPr>
          </w:p>
          <w:p w14:paraId="6175B3DB"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 O evaluare externă a creditului poate fi folosită pentru determinarea ponderii de risc aplicabilă unei expuneri în temeiul prezentului capitol numai dacă a fost emisă de o ECAI sau a fost aprobată de o ECAI în conformitate cu Regulamentul (CE) nr. 1060/2009.</w:t>
            </w:r>
          </w:p>
        </w:tc>
        <w:tc>
          <w:tcPr>
            <w:tcW w:w="1661" w:type="pct"/>
            <w:shd w:val="clear" w:color="auto" w:fill="auto"/>
          </w:tcPr>
          <w:p w14:paraId="3C7A2423" w14:textId="77777777"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Capitolul V. Recunoașterea și punerea în concordanță a evaluării riscului de credit</w:t>
            </w:r>
          </w:p>
          <w:p w14:paraId="34C9298F" w14:textId="77777777"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 xml:space="preserve">Secțiunea 1. </w:t>
            </w:r>
            <w:r w:rsidRPr="006F5136">
              <w:rPr>
                <w:rFonts w:ascii="Times New Roman" w:hAnsi="Times New Roman"/>
                <w:b/>
                <w:bCs/>
                <w:sz w:val="18"/>
                <w:szCs w:val="18"/>
                <w:lang w:val="ro-RO" w:eastAsia="ru-RU"/>
              </w:rPr>
              <w:t>Prevederi generale</w:t>
            </w:r>
          </w:p>
          <w:p w14:paraId="7DA8B292" w14:textId="77777777"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b/>
                <w:bCs/>
                <w:sz w:val="18"/>
                <w:szCs w:val="18"/>
                <w:lang w:val="ro-RO" w:eastAsia="ru-RU"/>
              </w:rPr>
              <w:t>9</w:t>
            </w:r>
            <w:r w:rsidR="003C2760" w:rsidRPr="006F5136">
              <w:rPr>
                <w:rFonts w:ascii="Times New Roman" w:hAnsi="Times New Roman"/>
                <w:b/>
                <w:bCs/>
                <w:sz w:val="18"/>
                <w:szCs w:val="18"/>
                <w:lang w:val="ro-RO" w:eastAsia="ru-RU"/>
              </w:rPr>
              <w:t>8</w:t>
            </w:r>
            <w:r w:rsidRPr="006F5136">
              <w:rPr>
                <w:rFonts w:ascii="Times New Roman" w:hAnsi="Times New Roman"/>
                <w:b/>
                <w:bCs/>
                <w:sz w:val="18"/>
                <w:szCs w:val="18"/>
                <w:lang w:val="ro-RO" w:eastAsia="ru-RU"/>
              </w:rPr>
              <w:t>.</w:t>
            </w:r>
            <w:r w:rsidRPr="006F5136">
              <w:rPr>
                <w:rFonts w:ascii="Times New Roman" w:hAnsi="Times New Roman"/>
                <w:sz w:val="18"/>
                <w:szCs w:val="18"/>
                <w:lang w:val="ro-RO" w:eastAsia="ru-RU"/>
              </w:rPr>
              <w:t>O evaluare externă a creditului poate fi folosită pentru determinarea ponderii de risc aplicabile unei expuneri în conformitate cu prezentul regulament numai dacă a fost realizată de o ECAI inclusă în lista ECAI recunoscute ca eligibile, stabilită conform anexei  nr.3</w:t>
            </w:r>
            <w:r w:rsidR="00B54BCE" w:rsidRPr="006F5136">
              <w:rPr>
                <w:rFonts w:ascii="Times New Roman" w:hAnsi="Times New Roman"/>
                <w:sz w:val="18"/>
                <w:szCs w:val="18"/>
                <w:lang w:val="ro-RO" w:eastAsia="ru-RU"/>
              </w:rPr>
              <w:t>.</w:t>
            </w:r>
          </w:p>
          <w:p w14:paraId="4BD773A3" w14:textId="77777777" w:rsidR="00B54BCE" w:rsidRPr="006F5136" w:rsidRDefault="00B54BCE"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99.</w:t>
            </w:r>
            <w:r w:rsidRPr="006F5136">
              <w:rPr>
                <w:rFonts w:ascii="Times New Roman" w:eastAsia="Times New Roman" w:hAnsi="Times New Roman" w:cs="Times New Roman"/>
                <w:sz w:val="18"/>
                <w:szCs w:val="18"/>
                <w:lang w:val="ro-RO" w:eastAsia="ro-MD"/>
              </w:rPr>
              <w:t xml:space="preserve"> Includerea unei ECAI în lista celor recunoscute de Banca Națională a Moldovei ca eligibile este condiționată de faptul că ECAI se află și este supravegheată într-o jurisdicție în care față de respectiva ECAI sunt aplicabile, în mod continuu, reglementări ale țării respective care sunt în concordanță cu dispozițiile Codului de conduită pentru agențiile de rating de credit emis de Organizația Internațională a Comisiilor de Valori Mobiliare (IOSCO) (IOSCO Code of Conduct Fundamentals for Credit Rating Agencies).</w:t>
            </w:r>
          </w:p>
          <w:p w14:paraId="244C1A6F" w14:textId="237C23EF" w:rsidR="00B54BCE" w:rsidRPr="006F5136" w:rsidRDefault="00B54BCE" w:rsidP="005E4694">
            <w:pPr>
              <w:spacing w:after="0" w:line="240" w:lineRule="auto"/>
              <w:rPr>
                <w:rFonts w:ascii="Times New Roman" w:hAnsi="Times New Roman" w:cs="Times New Roman"/>
                <w:sz w:val="18"/>
                <w:szCs w:val="18"/>
                <w:lang w:val="ro-RO" w:eastAsia="ru-RU"/>
              </w:rPr>
            </w:pPr>
            <w:r w:rsidRPr="006F5136">
              <w:rPr>
                <w:rFonts w:ascii="Times New Roman" w:eastAsia="Times New Roman" w:hAnsi="Times New Roman" w:cs="Times New Roman"/>
                <w:b/>
                <w:bCs/>
                <w:sz w:val="18"/>
                <w:szCs w:val="18"/>
                <w:lang w:val="ro-RO" w:eastAsia="ro-MD"/>
              </w:rPr>
              <w:t>100.</w:t>
            </w:r>
            <w:r w:rsidRPr="006F5136">
              <w:rPr>
                <w:rFonts w:ascii="Times New Roman" w:eastAsia="Times New Roman" w:hAnsi="Times New Roman" w:cs="Times New Roman"/>
                <w:sz w:val="18"/>
                <w:szCs w:val="18"/>
                <w:lang w:val="ro-RO" w:eastAsia="ro-MD"/>
              </w:rPr>
              <w:t xml:space="preserve"> Pentru toate ECAI-rile incluse în lista menționată la punctul 98, Banca Națională a Moldovei efectuează punerea în concordanță a nivelului de calitate a creditului stabilit în capitolul IV cu evaluările de credit realizate de fiecare ECAI eligibilă conform anexei nr.4</w:t>
            </w:r>
          </w:p>
        </w:tc>
        <w:tc>
          <w:tcPr>
            <w:tcW w:w="503" w:type="pct"/>
          </w:tcPr>
          <w:p w14:paraId="169ED2BE"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66078243" w14:textId="1F9970EB"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3C2760" w:rsidRPr="006F5136" w14:paraId="229E5AF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D55DCE3" w14:textId="77777777" w:rsidR="003C2760" w:rsidRPr="006F5136" w:rsidRDefault="003C276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 ABE publică pe site-ul său lista ECAI în conformitate cu articolul 2 alineatul (4) și cu articolul 18 alineatul (3) din Regulamentul (CE) nr. 1060/2009.</w:t>
            </w:r>
          </w:p>
        </w:tc>
        <w:tc>
          <w:tcPr>
            <w:tcW w:w="1661" w:type="pct"/>
            <w:shd w:val="clear" w:color="auto" w:fill="auto"/>
          </w:tcPr>
          <w:p w14:paraId="0ED2108E" w14:textId="77777777" w:rsidR="003C2760" w:rsidRPr="006F5136" w:rsidRDefault="003C2760" w:rsidP="005E4694">
            <w:pPr>
              <w:pStyle w:val="CM4"/>
              <w:tabs>
                <w:tab w:val="left" w:pos="150"/>
              </w:tabs>
              <w:ind w:left="-36"/>
              <w:rPr>
                <w:rFonts w:ascii="Times New Roman" w:hAnsi="Times New Roman"/>
                <w:sz w:val="18"/>
                <w:szCs w:val="18"/>
                <w:lang w:val="ro-RO" w:eastAsia="ru-RU"/>
              </w:rPr>
            </w:pPr>
          </w:p>
        </w:tc>
        <w:tc>
          <w:tcPr>
            <w:tcW w:w="503" w:type="pct"/>
            <w:vMerge w:val="restart"/>
          </w:tcPr>
          <w:p w14:paraId="2BD1DAB9" w14:textId="46B38443" w:rsidR="003C2760" w:rsidRPr="006F5136" w:rsidRDefault="003C2760"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Norme UE neaplicabile</w:t>
            </w:r>
          </w:p>
        </w:tc>
        <w:tc>
          <w:tcPr>
            <w:tcW w:w="912" w:type="pct"/>
            <w:vMerge w:val="restart"/>
          </w:tcPr>
          <w:p w14:paraId="2CC0BB75" w14:textId="07A7C0AA" w:rsidR="003C2760" w:rsidRPr="006F5136" w:rsidRDefault="003C2760"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Prevedere aplicabilă ABE.</w:t>
            </w:r>
          </w:p>
        </w:tc>
      </w:tr>
      <w:tr w:rsidR="003C2760" w:rsidRPr="006F5136" w14:paraId="1075D4C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B36B2AD" w14:textId="77777777" w:rsidR="003C2760" w:rsidRPr="006F5136" w:rsidRDefault="003C276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▼M17</w:t>
            </w:r>
          </w:p>
          <w:p w14:paraId="1B3E50BF" w14:textId="77777777" w:rsidR="003C2760" w:rsidRPr="006F5136" w:rsidRDefault="003C276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   Până la 10 iulie 2025, ESMA elaborează un raport în care precizează dacă riscurile ESG sunt reflectate în mod corespunzător în metodologiile ECAI de rating al riscului de credit și transmite raportul respectiv Comisiei.</w:t>
            </w:r>
          </w:p>
          <w:p w14:paraId="18F5E4DF" w14:textId="40AC7B5D" w:rsidR="003C2760" w:rsidRPr="006F5136" w:rsidRDefault="003C2760"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Pe baza raportului respectiv, Comisia prezintă, dacă este cazul, o propunere legislativă Parlamentului European și Consiliului până la 10 ianuarie 2026.</w:t>
            </w:r>
          </w:p>
        </w:tc>
        <w:tc>
          <w:tcPr>
            <w:tcW w:w="1661" w:type="pct"/>
            <w:shd w:val="clear" w:color="auto" w:fill="auto"/>
          </w:tcPr>
          <w:p w14:paraId="2C5A0BE4" w14:textId="77777777" w:rsidR="003C2760" w:rsidRPr="006F5136" w:rsidRDefault="003C2760" w:rsidP="005E4694">
            <w:pPr>
              <w:pStyle w:val="CM4"/>
              <w:tabs>
                <w:tab w:val="left" w:pos="150"/>
              </w:tabs>
              <w:ind w:left="-36"/>
              <w:rPr>
                <w:rFonts w:ascii="Times New Roman" w:hAnsi="Times New Roman"/>
                <w:sz w:val="18"/>
                <w:szCs w:val="18"/>
                <w:lang w:val="ro-RO" w:eastAsia="ru-RU"/>
              </w:rPr>
            </w:pPr>
          </w:p>
        </w:tc>
        <w:tc>
          <w:tcPr>
            <w:tcW w:w="503" w:type="pct"/>
            <w:vMerge/>
          </w:tcPr>
          <w:p w14:paraId="1586EB3E" w14:textId="77777777" w:rsidR="003C2760" w:rsidRPr="006F5136" w:rsidRDefault="003C2760" w:rsidP="005E4694">
            <w:pPr>
              <w:spacing w:after="0" w:line="240" w:lineRule="auto"/>
              <w:rPr>
                <w:rFonts w:ascii="Times New Roman" w:hAnsi="Times New Roman" w:cs="Times New Roman"/>
                <w:sz w:val="18"/>
                <w:szCs w:val="18"/>
                <w:lang w:val="ro-RO"/>
              </w:rPr>
            </w:pPr>
          </w:p>
        </w:tc>
        <w:tc>
          <w:tcPr>
            <w:tcW w:w="912" w:type="pct"/>
            <w:vMerge/>
          </w:tcPr>
          <w:p w14:paraId="73FB72F3" w14:textId="77777777" w:rsidR="003C2760" w:rsidRPr="006F5136" w:rsidRDefault="003C2760" w:rsidP="005E4694">
            <w:pPr>
              <w:spacing w:after="0" w:line="240" w:lineRule="auto"/>
              <w:jc w:val="both"/>
              <w:rPr>
                <w:rFonts w:ascii="Times New Roman" w:hAnsi="Times New Roman" w:cs="Times New Roman"/>
                <w:sz w:val="18"/>
                <w:szCs w:val="18"/>
                <w:lang w:val="ro-RO"/>
              </w:rPr>
            </w:pPr>
          </w:p>
        </w:tc>
      </w:tr>
      <w:tr w:rsidR="0027576A" w:rsidRPr="006F5136" w14:paraId="6913CDC7"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1D426FC"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Subsecțiunea 2 </w:t>
            </w:r>
          </w:p>
          <w:p w14:paraId="12E842DA" w14:textId="042A312A" w:rsidR="0027576A" w:rsidRPr="006F5136" w:rsidRDefault="0027576A" w:rsidP="005E4694">
            <w:pPr>
              <w:pStyle w:val="CM4"/>
              <w:tabs>
                <w:tab w:val="left" w:pos="150"/>
              </w:tabs>
              <w:ind w:left="-43"/>
              <w:jc w:val="both"/>
              <w:rPr>
                <w:rFonts w:ascii="Times New Roman" w:hAnsi="Times New Roman"/>
                <w:b/>
                <w:iCs/>
                <w:sz w:val="18"/>
                <w:szCs w:val="18"/>
                <w:lang w:val="ro-RO" w:eastAsia="ru-RU"/>
              </w:rPr>
            </w:pPr>
            <w:r w:rsidRPr="006F5136">
              <w:rPr>
                <w:rFonts w:ascii="Times New Roman" w:hAnsi="Times New Roman"/>
                <w:b/>
                <w:iCs/>
                <w:sz w:val="18"/>
                <w:szCs w:val="18"/>
                <w:lang w:val="ro-RO" w:eastAsia="ru-RU"/>
              </w:rPr>
              <w:t>Punerea în corespondență a evaluărilor de credit efectuate d</w:t>
            </w:r>
            <w:r w:rsidR="0068426A" w:rsidRPr="006F5136">
              <w:rPr>
                <w:rFonts w:ascii="Times New Roman" w:hAnsi="Times New Roman"/>
                <w:b/>
                <w:iCs/>
                <w:sz w:val="18"/>
                <w:szCs w:val="18"/>
                <w:lang w:val="ro-RO" w:eastAsia="ru-RU"/>
              </w:rPr>
              <w:t>e</w:t>
            </w:r>
            <w:r w:rsidRPr="006F5136">
              <w:rPr>
                <w:rFonts w:ascii="Times New Roman" w:hAnsi="Times New Roman"/>
                <w:b/>
                <w:iCs/>
                <w:sz w:val="18"/>
                <w:szCs w:val="18"/>
                <w:lang w:val="ro-RO" w:eastAsia="ru-RU"/>
              </w:rPr>
              <w:t xml:space="preserve">  o ECAI</w:t>
            </w:r>
          </w:p>
        </w:tc>
        <w:tc>
          <w:tcPr>
            <w:tcW w:w="1661" w:type="pct"/>
            <w:shd w:val="clear" w:color="auto" w:fill="auto"/>
          </w:tcPr>
          <w:p w14:paraId="48A82DC1"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76F02ED6" w14:textId="77777777" w:rsidR="0027576A" w:rsidRPr="006F5136" w:rsidRDefault="0027576A" w:rsidP="005E4694">
            <w:pPr>
              <w:spacing w:after="0" w:line="240" w:lineRule="auto"/>
              <w:rPr>
                <w:rFonts w:ascii="Times New Roman" w:hAnsi="Times New Roman" w:cs="Times New Roman"/>
                <w:sz w:val="18"/>
                <w:szCs w:val="18"/>
                <w:lang w:val="ro-RO"/>
              </w:rPr>
            </w:pPr>
          </w:p>
        </w:tc>
        <w:tc>
          <w:tcPr>
            <w:tcW w:w="912" w:type="pct"/>
          </w:tcPr>
          <w:p w14:paraId="7741ACE4" w14:textId="40A46B1D" w:rsidR="0027576A" w:rsidRPr="006F5136" w:rsidRDefault="0027576A" w:rsidP="005E4694">
            <w:pPr>
              <w:spacing w:after="0" w:line="240" w:lineRule="auto"/>
              <w:jc w:val="both"/>
              <w:rPr>
                <w:rFonts w:ascii="Times New Roman" w:hAnsi="Times New Roman" w:cs="Times New Roman"/>
                <w:sz w:val="18"/>
                <w:szCs w:val="18"/>
                <w:lang w:val="ro-RO"/>
              </w:rPr>
            </w:pPr>
          </w:p>
        </w:tc>
      </w:tr>
      <w:tr w:rsidR="0027576A" w:rsidRPr="006F5136" w14:paraId="5369008E"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0256815"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136</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Punerea în corespondență a evaluărilor de credit efectuate de o ECAI</w:t>
            </w:r>
          </w:p>
          <w:p w14:paraId="1616CCA4" w14:textId="77777777" w:rsidR="0027576A" w:rsidRPr="006F5136" w:rsidRDefault="0027576A" w:rsidP="005E4694">
            <w:pPr>
              <w:spacing w:after="0" w:line="240" w:lineRule="auto"/>
              <w:rPr>
                <w:rFonts w:ascii="Times New Roman" w:hAnsi="Times New Roman" w:cs="Times New Roman"/>
                <w:sz w:val="18"/>
                <w:szCs w:val="18"/>
                <w:lang w:val="ro-RO"/>
              </w:rPr>
            </w:pPr>
          </w:p>
          <w:p w14:paraId="4EA8E53C" w14:textId="77777777" w:rsidR="006842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(1) </w:t>
            </w:r>
            <w:r w:rsidR="0068426A" w:rsidRPr="006F5136">
              <w:rPr>
                <w:rFonts w:ascii="Times New Roman" w:hAnsi="Times New Roman"/>
                <w:iCs/>
                <w:sz w:val="18"/>
                <w:szCs w:val="18"/>
                <w:lang w:val="ro-RO" w:eastAsia="ru-RU"/>
              </w:rPr>
              <w:t>ABE, EIPA și AEVMP, prin Comitetul mixt, elaborează proiecte de standarde tehnice de punere în aplicare pentru a specifica, pentru fiecare ECAI, cărui nivel de calitate a creditului stabilit în secțiunea 2 îi corespund evaluările de credit efectuate de ECAI (în continuare, „punere în corespondență”). Deciziile respective trebuie să fie obiective și consecvente.</w:t>
            </w:r>
          </w:p>
          <w:p w14:paraId="406EFE5F" w14:textId="77777777" w:rsidR="0068426A" w:rsidRPr="006F5136" w:rsidRDefault="006842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ABE, EIPA și AEVMP transmit Comisiei proiectele de standarde tehnice de punere în aplicare până la 1 iulie 2014 și transmite versiuni revizuite ale proiectelor de standarde tehnice de punere în aplicare, dacă este necesar.</w:t>
            </w:r>
          </w:p>
          <w:p w14:paraId="7D21589A" w14:textId="77777777" w:rsidR="0068426A" w:rsidRPr="006F5136" w:rsidRDefault="0068426A" w:rsidP="005E4694">
            <w:pPr>
              <w:pStyle w:val="CM4"/>
              <w:tabs>
                <w:tab w:val="left" w:pos="150"/>
              </w:tabs>
              <w:ind w:left="-43"/>
              <w:jc w:val="both"/>
              <w:rPr>
                <w:rFonts w:ascii="Times New Roman" w:hAnsi="Times New Roman"/>
                <w:iCs/>
                <w:sz w:val="18"/>
                <w:szCs w:val="18"/>
                <w:lang w:val="ro-RO" w:eastAsia="ru-RU"/>
              </w:rPr>
            </w:pPr>
          </w:p>
          <w:p w14:paraId="7BEE7EEE" w14:textId="035100D6" w:rsidR="0027576A" w:rsidRPr="006F5136" w:rsidRDefault="006842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Se conferă Comisiei competența de a adopta standardele tehnice de punere în aplicare menționate la primul paragraf, în conformitate cu articolul 15 din Regulamentul (UE) nr. 1093/2010, Regulamentul (UE) nr. 1094/2010 și, respectiv, Regulamentul (UE) nr. 1095/2010.</w:t>
            </w:r>
          </w:p>
        </w:tc>
        <w:tc>
          <w:tcPr>
            <w:tcW w:w="1661" w:type="pct"/>
            <w:shd w:val="clear" w:color="auto" w:fill="auto"/>
          </w:tcPr>
          <w:p w14:paraId="1A0EC7A5"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440DCD9F" w14:textId="601069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Norme UE neaplicabile</w:t>
            </w:r>
          </w:p>
        </w:tc>
        <w:tc>
          <w:tcPr>
            <w:tcW w:w="912" w:type="pct"/>
          </w:tcPr>
          <w:p w14:paraId="60962DF1" w14:textId="7495DBCC" w:rsidR="0027576A" w:rsidRPr="006F5136" w:rsidRDefault="0027576A"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Prevederea aplicabilă autorităților UE</w:t>
            </w:r>
          </w:p>
        </w:tc>
      </w:tr>
      <w:tr w:rsidR="0027576A" w:rsidRPr="006F5136" w14:paraId="653B378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0119CCB4"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 La punerea în corespondență a evaluărilor de credit, ABE, EIPA și AEVMP respectă următoarele cerințe:</w:t>
            </w:r>
          </w:p>
          <w:p w14:paraId="55CEC7BE"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pentru a diferenția gradele relative de risc exprimate de fiecare evaluare de credit, ABE, EIPA și AEVMP iau în considerare factori cantitativi cum ar fi rata de nerambursare pe termen lung aferentă tuturor elementelor care primesc aceeași evaluare de credit. Pentru ECAI nou-înființate și pentru cele care nu dispun decât de un volum limitat de date referitoare la starea de nerambursare, ABE, EIPA și AEVMP solicită ECAI respective o estimare a ratei de nerambursare pe termen lung aferentă tuturor elementelor care au primit aceeași evaluare de credit;</w:t>
            </w:r>
          </w:p>
          <w:p w14:paraId="78D1A042"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pentru a diferenția gradele relative de risc exprimate de fiecare evaluare de credit, ABE, EIPA și AEVMP iau în considerare factori calitativi cum ar fi grupul de emitenți acoperiți de ECAI, gama de evaluări de credit atribuite de ECAI, semnificația fiecărei evaluări de credit și definiția stării de nerambursare în accepțiunea ECAI;</w:t>
            </w:r>
          </w:p>
          <w:p w14:paraId="1CFE0049"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 ABE, EIPA și AEVMP compară ratele de nerambursare înregistrate pentru fiecare evaluare de credit efectuată de o anumită ECAI, iar apoi le compară cu o valoare de referință stabilită pe baza ratelor de nerambursare înregistrate de alte ECAI pentru un ansamblu de emitenți care prezintă un nivel echivalent al riscului de credit;</w:t>
            </w:r>
          </w:p>
          <w:p w14:paraId="575DB12E"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(d) în cazul în care ratele de nerambursare înregistrate pentru evaluarea de credit efectuată de o anumită ECAI sunt semnificativ și sistematic mai ridicate decât valoarea de referință, ABE, EIPA și AEVMP atribuie ECAI un nivel de calitate a creditului mai ridicat pe scala de evaluare a calității creditului pentru evaluarea de credit efectuată de ECAI;</w:t>
            </w:r>
          </w:p>
          <w:p w14:paraId="4063288C"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(e) dacă ABE, EIPA și AEVMP a crescut ponderea de risc asociată unei evaluări de credit efectuate de o anumită ECAI, iar ratele de nerambursare înregistrate pentru acea evaluare de credit efectuată de respectiva ECAI nu mai sunt semnificativ și sistematic mai ridicate decât valoarea de referință, ABE, EIPA și AEVMP pot să restabilească nivelul inițial de calitate a creditului pe scala de evaluare a calității creditului pentru evaluarea de credit efectuată de respectiva ECAI.</w:t>
            </w:r>
          </w:p>
        </w:tc>
        <w:tc>
          <w:tcPr>
            <w:tcW w:w="1661" w:type="pct"/>
            <w:shd w:val="clear" w:color="auto" w:fill="auto"/>
          </w:tcPr>
          <w:p w14:paraId="16C4CB45"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16B6DBD4" w14:textId="70AAF6D5"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Norme UE neaplicabile</w:t>
            </w:r>
          </w:p>
        </w:tc>
        <w:tc>
          <w:tcPr>
            <w:tcW w:w="912" w:type="pct"/>
          </w:tcPr>
          <w:p w14:paraId="001C0B9E" w14:textId="01C5D943" w:rsidR="0027576A" w:rsidRPr="006F5136" w:rsidRDefault="0027576A"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Prevederea se referă la acțiunile autorităților din UE.</w:t>
            </w:r>
          </w:p>
          <w:p w14:paraId="4EF65755" w14:textId="77777777" w:rsidR="0027576A" w:rsidRPr="006F5136" w:rsidRDefault="0027576A" w:rsidP="005E4694">
            <w:pPr>
              <w:spacing w:after="0" w:line="240" w:lineRule="auto"/>
              <w:jc w:val="both"/>
              <w:rPr>
                <w:rFonts w:ascii="Times New Roman" w:hAnsi="Times New Roman" w:cs="Times New Roman"/>
                <w:sz w:val="18"/>
                <w:szCs w:val="18"/>
                <w:lang w:val="ro-RO"/>
              </w:rPr>
            </w:pPr>
          </w:p>
          <w:p w14:paraId="5B8134CA" w14:textId="69CC4C34" w:rsidR="0027576A" w:rsidRPr="006F5136" w:rsidRDefault="0027576A"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BNM a preluat lista ECAI eligibile în baza listelor respective aprobate de UE.</w:t>
            </w:r>
          </w:p>
        </w:tc>
      </w:tr>
      <w:tr w:rsidR="0027576A" w:rsidRPr="006F5136" w14:paraId="11CA6C4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9B9C179"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 ABE, EIPA și AEVMP elaborează proiecte de standarde tehnice de punere în aplicare pentru a specifica factorii cantitativi menționați la alineatul (2) litera (a), factorii calitativi menționați la alineatul (2) litera (b) și valoarea de referință menționată la alineatul (2) litera (c).</w:t>
            </w:r>
          </w:p>
          <w:p w14:paraId="66402934"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ABE, EIPA și AEVMP transmit Comisiei proiectele respective de standarde tehnice de punere în aplicare până la 1 iulie 2014.</w:t>
            </w:r>
          </w:p>
          <w:p w14:paraId="46799F9C"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Se conferă Comisiei competența de a adopta standardele tehnice de punere în aplicare menționate la primul paragraf, în conformitate cu articolul 15 din Regulamentul (UE) nr. 1093/2010, Regulamentul (UE) nr. 1094/2010 și, respectiv, Regulamentul (UE) nr. 1095/2010.</w:t>
            </w:r>
          </w:p>
        </w:tc>
        <w:tc>
          <w:tcPr>
            <w:tcW w:w="1661" w:type="pct"/>
            <w:shd w:val="clear" w:color="auto" w:fill="auto"/>
          </w:tcPr>
          <w:p w14:paraId="17C687C6"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36537F76" w14:textId="5D94466C"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Norme UE neaplicabile</w:t>
            </w:r>
          </w:p>
        </w:tc>
        <w:tc>
          <w:tcPr>
            <w:tcW w:w="912" w:type="pct"/>
          </w:tcPr>
          <w:p w14:paraId="3C4DA51D" w14:textId="310036F8" w:rsidR="0027576A" w:rsidRPr="006F5136" w:rsidRDefault="0027576A"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Prevederea vizează autoritățile UE.</w:t>
            </w:r>
          </w:p>
        </w:tc>
      </w:tr>
      <w:tr w:rsidR="0027576A" w:rsidRPr="006F5136" w14:paraId="2E7DA54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CD2CF54" w14:textId="0940AF3A" w:rsidR="0027576A" w:rsidRPr="006F5136" w:rsidRDefault="0027576A" w:rsidP="005E4694">
            <w:pPr>
              <w:pStyle w:val="CM4"/>
              <w:tabs>
                <w:tab w:val="left" w:pos="150"/>
              </w:tabs>
              <w:ind w:left="-43"/>
              <w:jc w:val="both"/>
              <w:rPr>
                <w:rFonts w:ascii="Times New Roman" w:hAnsi="Times New Roman"/>
                <w:b/>
                <w:iCs/>
                <w:sz w:val="18"/>
                <w:szCs w:val="18"/>
                <w:lang w:val="ro-RO" w:eastAsia="ru-RU"/>
              </w:rPr>
            </w:pPr>
            <w:r w:rsidRPr="006F5136">
              <w:rPr>
                <w:rFonts w:ascii="Times New Roman" w:hAnsi="Times New Roman"/>
                <w:iCs/>
                <w:sz w:val="18"/>
                <w:szCs w:val="18"/>
                <w:lang w:val="ro-RO" w:eastAsia="ru-RU"/>
              </w:rPr>
              <w:t>Subsecțiunea 3</w:t>
            </w:r>
            <w:r w:rsidR="0068426A"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Utilizarea evaluărilor de credit ale agențiilor de creditare a exportului</w:t>
            </w:r>
          </w:p>
          <w:p w14:paraId="4E68AD06" w14:textId="77777777" w:rsidR="0027576A" w:rsidRPr="006F5136" w:rsidRDefault="0027576A" w:rsidP="005E4694">
            <w:pPr>
              <w:pStyle w:val="CM4"/>
              <w:tabs>
                <w:tab w:val="left" w:pos="150"/>
              </w:tabs>
              <w:jc w:val="both"/>
              <w:rPr>
                <w:rFonts w:ascii="Times New Roman" w:hAnsi="Times New Roman"/>
                <w:iCs/>
                <w:sz w:val="18"/>
                <w:szCs w:val="18"/>
                <w:lang w:val="ro-RO" w:eastAsia="ru-RU"/>
              </w:rPr>
            </w:pPr>
          </w:p>
        </w:tc>
        <w:tc>
          <w:tcPr>
            <w:tcW w:w="1661" w:type="pct"/>
            <w:shd w:val="clear" w:color="auto" w:fill="auto"/>
          </w:tcPr>
          <w:p w14:paraId="6369D284"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6DBDEAF7" w14:textId="77777777" w:rsidR="0027576A" w:rsidRPr="006F5136" w:rsidRDefault="0027576A" w:rsidP="005E4694">
            <w:pPr>
              <w:spacing w:after="0" w:line="240" w:lineRule="auto"/>
              <w:rPr>
                <w:rFonts w:ascii="Times New Roman" w:hAnsi="Times New Roman" w:cs="Times New Roman"/>
                <w:sz w:val="18"/>
                <w:szCs w:val="18"/>
                <w:lang w:val="ro-RO"/>
              </w:rPr>
            </w:pPr>
          </w:p>
        </w:tc>
        <w:tc>
          <w:tcPr>
            <w:tcW w:w="912" w:type="pct"/>
          </w:tcPr>
          <w:p w14:paraId="29EBFDD8" w14:textId="529FAD76" w:rsidR="0027576A" w:rsidRPr="006F5136" w:rsidRDefault="0027576A" w:rsidP="005E4694">
            <w:pPr>
              <w:spacing w:after="0" w:line="240" w:lineRule="auto"/>
              <w:jc w:val="both"/>
              <w:rPr>
                <w:rFonts w:ascii="Times New Roman" w:hAnsi="Times New Roman" w:cs="Times New Roman"/>
                <w:sz w:val="18"/>
                <w:szCs w:val="18"/>
                <w:lang w:val="ro-RO"/>
              </w:rPr>
            </w:pPr>
          </w:p>
        </w:tc>
      </w:tr>
      <w:tr w:rsidR="0027576A" w:rsidRPr="006F5136" w14:paraId="45D225D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D81FECF"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137</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Utilizarea evaluărilor de credit ale agențiilor de creditare a exportului</w:t>
            </w:r>
          </w:p>
          <w:p w14:paraId="2F193779"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 În sensul articolului 114, instituțiile pot utiliza evaluări de credit ale unei agenții de creditare a exportului desemnată de instituție, dacă este îndeplinită oricare dintre condițiile următoare:</w:t>
            </w:r>
          </w:p>
          <w:p w14:paraId="7571E290"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(a) este vorba despre o clasificare de comun acord a riscurilor de către agențiile de creditare a exportului care participă la „Acordul privind orientările privind creditele pentru export care beneficiază de sprijin public” al OCDE; </w:t>
            </w:r>
          </w:p>
          <w:p w14:paraId="2D0DA4B3"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agenția de creditare a exportului își publică evaluările de credit și aderă la metodologia agreată de OCDE, iar evaluarea de credit este asociată uneia dintre cele opt prime minime de asigurare pentru export (MEIP) prevăzute de metodologia agreată de OCDE.</w:t>
            </w:r>
          </w:p>
          <w:p w14:paraId="7F744090"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p>
          <w:p w14:paraId="29DDD6D7"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 O instituție poate revoca desemnarea unei agenții de creditare a exportului. Instituția motivează revocarea dacă există indicii concrete care arată că intenția care stă la baza revocării este reducerea cerințelor privind adecvarea capitalului.</w:t>
            </w:r>
          </w:p>
        </w:tc>
        <w:tc>
          <w:tcPr>
            <w:tcW w:w="1661" w:type="pct"/>
            <w:shd w:val="clear" w:color="auto" w:fill="auto"/>
          </w:tcPr>
          <w:p w14:paraId="7E523DA0" w14:textId="77777777"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 xml:space="preserve">Secțiunea a 2-a. </w:t>
            </w:r>
            <w:r w:rsidRPr="006F5136">
              <w:rPr>
                <w:rFonts w:ascii="Times New Roman" w:hAnsi="Times New Roman"/>
                <w:b/>
                <w:bCs/>
                <w:sz w:val="18"/>
                <w:szCs w:val="18"/>
                <w:lang w:val="ro-RO" w:eastAsia="ru-RU"/>
              </w:rPr>
              <w:t>Utilizarea evaluărilor de credit ale agențiilor de creditare a exportului</w:t>
            </w:r>
            <w:r w:rsidRPr="006F5136">
              <w:rPr>
                <w:rFonts w:ascii="Times New Roman" w:hAnsi="Times New Roman"/>
                <w:sz w:val="18"/>
                <w:szCs w:val="18"/>
                <w:lang w:val="ro-RO" w:eastAsia="ru-RU"/>
              </w:rPr>
              <w:t xml:space="preserve"> </w:t>
            </w:r>
          </w:p>
          <w:p w14:paraId="3413195D"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p w14:paraId="5BC0D089" w14:textId="599CC84B"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b/>
                <w:bCs/>
                <w:sz w:val="18"/>
                <w:szCs w:val="18"/>
                <w:lang w:val="ro-RO" w:eastAsia="ru-RU"/>
              </w:rPr>
              <w:t>10</w:t>
            </w:r>
            <w:r w:rsidR="00B54BCE" w:rsidRPr="006F5136">
              <w:rPr>
                <w:rFonts w:ascii="Times New Roman" w:hAnsi="Times New Roman"/>
                <w:b/>
                <w:bCs/>
                <w:sz w:val="18"/>
                <w:szCs w:val="18"/>
                <w:lang w:val="ro-RO" w:eastAsia="ru-RU"/>
              </w:rPr>
              <w:t>1</w:t>
            </w:r>
            <w:r w:rsidRPr="006F5136">
              <w:rPr>
                <w:rFonts w:ascii="Times New Roman" w:hAnsi="Times New Roman"/>
                <w:b/>
                <w:bCs/>
                <w:sz w:val="18"/>
                <w:szCs w:val="18"/>
                <w:lang w:val="ro-RO" w:eastAsia="ru-RU"/>
              </w:rPr>
              <w:t>.</w:t>
            </w:r>
            <w:r w:rsidRPr="006F5136">
              <w:rPr>
                <w:rFonts w:ascii="Times New Roman" w:hAnsi="Times New Roman"/>
                <w:sz w:val="18"/>
                <w:szCs w:val="18"/>
                <w:lang w:val="ro-RO" w:eastAsia="ru-RU"/>
              </w:rPr>
              <w:t xml:space="preserve"> În scopul capitolului IV secțiunea 1, banca poate utiliza evaluări de credit ale unei agenții de creditare a exportului desemnate de bancă, dacă este îndeplinită oricare dintre următoarele condiții:</w:t>
            </w:r>
          </w:p>
          <w:p w14:paraId="0F0D0A1D" w14:textId="77777777"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 xml:space="preserve">1) există un scor de risc consensual de la agențiile de creditare a exportului care participă la „Acordul privind orientările pentru creditele de export sprijinite în mod oficial” al Organizației de Cooperare și de Dezvoltare Economică (OCDE); </w:t>
            </w:r>
          </w:p>
          <w:p w14:paraId="0249B50F" w14:textId="77777777"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 xml:space="preserve">2) agenția de creditare a exportului își publică evaluările de credit și aderă la metodologia agreată de OCDE, iar evaluarea de credit este asociată uneia dintre cele opt prime minime de asigurare pentru export (MEIP) prevăzute de metodologia agreată de OCDE. </w:t>
            </w:r>
          </w:p>
          <w:p w14:paraId="60B3AE9A"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p w14:paraId="683E45F4" w14:textId="5A8B3A32" w:rsidR="0027576A" w:rsidRPr="006F5136" w:rsidRDefault="0027576A" w:rsidP="005E4694">
            <w:pPr>
              <w:pStyle w:val="CM4"/>
              <w:tabs>
                <w:tab w:val="left" w:pos="150"/>
              </w:tabs>
              <w:ind w:left="-36"/>
              <w:rPr>
                <w:rFonts w:ascii="Times New Roman" w:hAnsi="Times New Roman"/>
                <w:sz w:val="18"/>
                <w:szCs w:val="18"/>
                <w:lang w:val="ro-RO"/>
              </w:rPr>
            </w:pPr>
            <w:r w:rsidRPr="006F5136">
              <w:rPr>
                <w:rFonts w:ascii="Times New Roman" w:hAnsi="Times New Roman"/>
                <w:b/>
                <w:bCs/>
                <w:sz w:val="18"/>
                <w:szCs w:val="18"/>
                <w:lang w:val="ro-RO" w:eastAsia="ru-RU"/>
              </w:rPr>
              <w:t>10</w:t>
            </w:r>
            <w:r w:rsidR="00B54BCE" w:rsidRPr="006F5136">
              <w:rPr>
                <w:rFonts w:ascii="Times New Roman" w:hAnsi="Times New Roman"/>
                <w:b/>
                <w:bCs/>
                <w:sz w:val="18"/>
                <w:szCs w:val="18"/>
                <w:lang w:val="ro-RO" w:eastAsia="ru-RU"/>
              </w:rPr>
              <w:t>2</w:t>
            </w:r>
            <w:r w:rsidRPr="006F5136">
              <w:rPr>
                <w:rFonts w:ascii="Times New Roman" w:hAnsi="Times New Roman"/>
                <w:sz w:val="18"/>
                <w:szCs w:val="18"/>
                <w:lang w:val="ro-RO" w:eastAsia="ru-RU"/>
              </w:rPr>
              <w:t>. O bancă poate revoca desemnarea unei agenții de creditare a exportului menționate la punctul 102 subpunctul 2) în cazul în care există indicii concrete care arată că intenția care stă la baza revocării este reducerea cerințelor privind adecvarea capitalului.</w:t>
            </w:r>
          </w:p>
        </w:tc>
        <w:tc>
          <w:tcPr>
            <w:tcW w:w="503" w:type="pct"/>
          </w:tcPr>
          <w:p w14:paraId="380E83B9"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1FE02122" w14:textId="41B92EA4"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00E3FD6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3103172"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 Expunerilor pentru care este recunoscută o evaluare de credit efectuată de o agenție de creditare a exportului în scopul ponderării la risc li se aplică o pondere de risc în conformitate cu tabelul 9.</w:t>
            </w:r>
          </w:p>
          <w:p w14:paraId="3F45A147" w14:textId="77777777" w:rsidR="0027576A" w:rsidRPr="006F5136" w:rsidRDefault="0027576A" w:rsidP="005E4694">
            <w:pPr>
              <w:pStyle w:val="CM4"/>
              <w:tabs>
                <w:tab w:val="left" w:pos="150"/>
              </w:tabs>
              <w:ind w:left="-43"/>
              <w:jc w:val="center"/>
              <w:rPr>
                <w:rFonts w:ascii="Times New Roman" w:hAnsi="Times New Roman"/>
                <w:iCs/>
                <w:sz w:val="18"/>
                <w:szCs w:val="18"/>
                <w:lang w:val="ro-RO" w:eastAsia="ru-RU"/>
              </w:rPr>
            </w:pPr>
            <w:r w:rsidRPr="006F5136">
              <w:rPr>
                <w:rFonts w:ascii="Times New Roman" w:hAnsi="Times New Roman"/>
                <w:iCs/>
                <w:sz w:val="18"/>
                <w:szCs w:val="18"/>
                <w:lang w:val="ro-RO" w:eastAsia="ru-RU"/>
              </w:rPr>
              <w:t>Tabelul 9</w:t>
            </w:r>
          </w:p>
          <w:tbl>
            <w:tblPr>
              <w:tblW w:w="3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746"/>
              <w:gridCol w:w="234"/>
              <w:gridCol w:w="263"/>
              <w:gridCol w:w="312"/>
              <w:gridCol w:w="312"/>
              <w:gridCol w:w="361"/>
              <w:gridCol w:w="361"/>
              <w:gridCol w:w="361"/>
              <w:gridCol w:w="477"/>
            </w:tblGrid>
            <w:tr w:rsidR="0027576A" w:rsidRPr="006F5136" w14:paraId="6A61B735" w14:textId="77777777" w:rsidTr="00977E5E">
              <w:trPr>
                <w:jc w:val="center"/>
              </w:trPr>
              <w:tc>
                <w:tcPr>
                  <w:tcW w:w="746" w:type="dxa"/>
                  <w:shd w:val="clear" w:color="auto" w:fill="FFFFFF"/>
                  <w:tcMar>
                    <w:top w:w="30" w:type="dxa"/>
                    <w:left w:w="75" w:type="dxa"/>
                    <w:bottom w:w="30" w:type="dxa"/>
                    <w:right w:w="30" w:type="dxa"/>
                  </w:tcMar>
                  <w:hideMark/>
                </w:tcPr>
                <w:p w14:paraId="6D4909D7"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MEIP</w:t>
                  </w:r>
                </w:p>
              </w:tc>
              <w:tc>
                <w:tcPr>
                  <w:tcW w:w="234" w:type="dxa"/>
                  <w:shd w:val="clear" w:color="auto" w:fill="FFFFFF"/>
                  <w:tcMar>
                    <w:top w:w="30" w:type="dxa"/>
                    <w:left w:w="75" w:type="dxa"/>
                    <w:bottom w:w="30" w:type="dxa"/>
                    <w:right w:w="30" w:type="dxa"/>
                  </w:tcMar>
                  <w:hideMark/>
                </w:tcPr>
                <w:p w14:paraId="260B7046"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0</w:t>
                  </w:r>
                </w:p>
              </w:tc>
              <w:tc>
                <w:tcPr>
                  <w:tcW w:w="263" w:type="dxa"/>
                  <w:shd w:val="clear" w:color="auto" w:fill="FFFFFF"/>
                  <w:tcMar>
                    <w:top w:w="30" w:type="dxa"/>
                    <w:left w:w="75" w:type="dxa"/>
                    <w:bottom w:w="30" w:type="dxa"/>
                    <w:right w:w="30" w:type="dxa"/>
                  </w:tcMar>
                  <w:hideMark/>
                </w:tcPr>
                <w:p w14:paraId="1FDEE7F3"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w:t>
                  </w:r>
                </w:p>
              </w:tc>
              <w:tc>
                <w:tcPr>
                  <w:tcW w:w="312" w:type="dxa"/>
                  <w:shd w:val="clear" w:color="auto" w:fill="FFFFFF"/>
                  <w:tcMar>
                    <w:top w:w="30" w:type="dxa"/>
                    <w:left w:w="75" w:type="dxa"/>
                    <w:bottom w:w="30" w:type="dxa"/>
                    <w:right w:w="30" w:type="dxa"/>
                  </w:tcMar>
                  <w:hideMark/>
                </w:tcPr>
                <w:p w14:paraId="457529CC"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w:t>
                  </w:r>
                </w:p>
              </w:tc>
              <w:tc>
                <w:tcPr>
                  <w:tcW w:w="312" w:type="dxa"/>
                  <w:shd w:val="clear" w:color="auto" w:fill="FFFFFF"/>
                  <w:tcMar>
                    <w:top w:w="30" w:type="dxa"/>
                    <w:left w:w="75" w:type="dxa"/>
                    <w:bottom w:w="30" w:type="dxa"/>
                    <w:right w:w="30" w:type="dxa"/>
                  </w:tcMar>
                  <w:hideMark/>
                </w:tcPr>
                <w:p w14:paraId="3AD14CC1"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w:t>
                  </w:r>
                </w:p>
              </w:tc>
              <w:tc>
                <w:tcPr>
                  <w:tcW w:w="361" w:type="dxa"/>
                  <w:shd w:val="clear" w:color="auto" w:fill="FFFFFF"/>
                  <w:tcMar>
                    <w:top w:w="30" w:type="dxa"/>
                    <w:left w:w="75" w:type="dxa"/>
                    <w:bottom w:w="30" w:type="dxa"/>
                    <w:right w:w="30" w:type="dxa"/>
                  </w:tcMar>
                  <w:hideMark/>
                </w:tcPr>
                <w:p w14:paraId="0A7A5332"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w:t>
                  </w:r>
                </w:p>
              </w:tc>
              <w:tc>
                <w:tcPr>
                  <w:tcW w:w="361" w:type="dxa"/>
                  <w:shd w:val="clear" w:color="auto" w:fill="FFFFFF"/>
                  <w:tcMar>
                    <w:top w:w="30" w:type="dxa"/>
                    <w:left w:w="75" w:type="dxa"/>
                    <w:bottom w:w="30" w:type="dxa"/>
                    <w:right w:w="30" w:type="dxa"/>
                  </w:tcMar>
                  <w:hideMark/>
                </w:tcPr>
                <w:p w14:paraId="11D658CB"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w:t>
                  </w:r>
                </w:p>
              </w:tc>
              <w:tc>
                <w:tcPr>
                  <w:tcW w:w="361" w:type="dxa"/>
                  <w:shd w:val="clear" w:color="auto" w:fill="FFFFFF"/>
                  <w:tcMar>
                    <w:top w:w="30" w:type="dxa"/>
                    <w:left w:w="75" w:type="dxa"/>
                    <w:bottom w:w="30" w:type="dxa"/>
                    <w:right w:w="30" w:type="dxa"/>
                  </w:tcMar>
                  <w:hideMark/>
                </w:tcPr>
                <w:p w14:paraId="67191CFD"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6</w:t>
                  </w:r>
                </w:p>
              </w:tc>
              <w:tc>
                <w:tcPr>
                  <w:tcW w:w="477" w:type="dxa"/>
                  <w:shd w:val="clear" w:color="auto" w:fill="FFFFFF"/>
                  <w:tcMar>
                    <w:top w:w="30" w:type="dxa"/>
                    <w:left w:w="75" w:type="dxa"/>
                    <w:bottom w:w="30" w:type="dxa"/>
                    <w:right w:w="30" w:type="dxa"/>
                  </w:tcMar>
                  <w:hideMark/>
                </w:tcPr>
                <w:p w14:paraId="497A0D6C"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7</w:t>
                  </w:r>
                </w:p>
              </w:tc>
            </w:tr>
            <w:tr w:rsidR="0027576A" w:rsidRPr="006F5136" w14:paraId="662683BD" w14:textId="77777777" w:rsidTr="00977E5E">
              <w:trPr>
                <w:jc w:val="center"/>
              </w:trPr>
              <w:tc>
                <w:tcPr>
                  <w:tcW w:w="746" w:type="dxa"/>
                  <w:shd w:val="clear" w:color="auto" w:fill="FFFFFF"/>
                  <w:tcMar>
                    <w:top w:w="30" w:type="dxa"/>
                    <w:left w:w="75" w:type="dxa"/>
                    <w:bottom w:w="30" w:type="dxa"/>
                    <w:right w:w="30" w:type="dxa"/>
                  </w:tcMar>
                  <w:hideMark/>
                </w:tcPr>
                <w:p w14:paraId="41BE5754"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Pondere de risc</w:t>
                  </w:r>
                </w:p>
              </w:tc>
              <w:tc>
                <w:tcPr>
                  <w:tcW w:w="234" w:type="dxa"/>
                  <w:shd w:val="clear" w:color="auto" w:fill="FFFFFF"/>
                  <w:tcMar>
                    <w:top w:w="30" w:type="dxa"/>
                    <w:left w:w="75" w:type="dxa"/>
                    <w:bottom w:w="30" w:type="dxa"/>
                    <w:right w:w="30" w:type="dxa"/>
                  </w:tcMar>
                  <w:hideMark/>
                </w:tcPr>
                <w:p w14:paraId="3E28FAA5"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0 %</w:t>
                  </w:r>
                </w:p>
              </w:tc>
              <w:tc>
                <w:tcPr>
                  <w:tcW w:w="263" w:type="dxa"/>
                  <w:shd w:val="clear" w:color="auto" w:fill="FFFFFF"/>
                  <w:tcMar>
                    <w:top w:w="30" w:type="dxa"/>
                    <w:left w:w="75" w:type="dxa"/>
                    <w:bottom w:w="30" w:type="dxa"/>
                    <w:right w:w="30" w:type="dxa"/>
                  </w:tcMar>
                  <w:hideMark/>
                </w:tcPr>
                <w:p w14:paraId="45247092"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0 %</w:t>
                  </w:r>
                </w:p>
              </w:tc>
              <w:tc>
                <w:tcPr>
                  <w:tcW w:w="312" w:type="dxa"/>
                  <w:shd w:val="clear" w:color="auto" w:fill="FFFFFF"/>
                  <w:tcMar>
                    <w:top w:w="30" w:type="dxa"/>
                    <w:left w:w="75" w:type="dxa"/>
                    <w:bottom w:w="30" w:type="dxa"/>
                    <w:right w:w="30" w:type="dxa"/>
                  </w:tcMar>
                  <w:hideMark/>
                </w:tcPr>
                <w:p w14:paraId="21FF68B5"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312" w:type="dxa"/>
                  <w:shd w:val="clear" w:color="auto" w:fill="FFFFFF"/>
                  <w:tcMar>
                    <w:top w:w="30" w:type="dxa"/>
                    <w:left w:w="75" w:type="dxa"/>
                    <w:bottom w:w="30" w:type="dxa"/>
                    <w:right w:w="30" w:type="dxa"/>
                  </w:tcMar>
                  <w:hideMark/>
                </w:tcPr>
                <w:p w14:paraId="5E60AF29"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50 %</w:t>
                  </w:r>
                </w:p>
              </w:tc>
              <w:tc>
                <w:tcPr>
                  <w:tcW w:w="361" w:type="dxa"/>
                  <w:shd w:val="clear" w:color="auto" w:fill="FFFFFF"/>
                  <w:tcMar>
                    <w:top w:w="30" w:type="dxa"/>
                    <w:left w:w="75" w:type="dxa"/>
                    <w:bottom w:w="30" w:type="dxa"/>
                    <w:right w:w="30" w:type="dxa"/>
                  </w:tcMar>
                  <w:hideMark/>
                </w:tcPr>
                <w:p w14:paraId="3E2C95B5"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361" w:type="dxa"/>
                  <w:shd w:val="clear" w:color="auto" w:fill="FFFFFF"/>
                  <w:tcMar>
                    <w:top w:w="30" w:type="dxa"/>
                    <w:left w:w="75" w:type="dxa"/>
                    <w:bottom w:w="30" w:type="dxa"/>
                    <w:right w:w="30" w:type="dxa"/>
                  </w:tcMar>
                  <w:hideMark/>
                </w:tcPr>
                <w:p w14:paraId="4F78041D"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361" w:type="dxa"/>
                  <w:shd w:val="clear" w:color="auto" w:fill="FFFFFF"/>
                  <w:tcMar>
                    <w:top w:w="30" w:type="dxa"/>
                    <w:left w:w="75" w:type="dxa"/>
                    <w:bottom w:w="30" w:type="dxa"/>
                    <w:right w:w="30" w:type="dxa"/>
                  </w:tcMar>
                  <w:hideMark/>
                </w:tcPr>
                <w:p w14:paraId="4A42B1B0"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477" w:type="dxa"/>
                  <w:shd w:val="clear" w:color="auto" w:fill="FFFFFF"/>
                  <w:tcMar>
                    <w:top w:w="30" w:type="dxa"/>
                    <w:left w:w="75" w:type="dxa"/>
                    <w:bottom w:w="30" w:type="dxa"/>
                    <w:right w:w="30" w:type="dxa"/>
                  </w:tcMar>
                  <w:hideMark/>
                </w:tcPr>
                <w:p w14:paraId="7BA78F04"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r>
          </w:tbl>
          <w:p w14:paraId="6E98CA17" w14:textId="77777777" w:rsidR="0027576A" w:rsidRPr="006F5136" w:rsidRDefault="0027576A" w:rsidP="005E4694">
            <w:pPr>
              <w:spacing w:after="0" w:line="240" w:lineRule="auto"/>
              <w:rPr>
                <w:rFonts w:ascii="Times New Roman" w:hAnsi="Times New Roman" w:cs="Times New Roman"/>
                <w:sz w:val="18"/>
                <w:szCs w:val="18"/>
                <w:lang w:val="ro-RO"/>
              </w:rPr>
            </w:pPr>
          </w:p>
        </w:tc>
        <w:tc>
          <w:tcPr>
            <w:tcW w:w="1661" w:type="pct"/>
            <w:shd w:val="clear" w:color="auto" w:fill="auto"/>
          </w:tcPr>
          <w:p w14:paraId="38CFF2E7" w14:textId="212FD12C"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b/>
                <w:bCs/>
                <w:sz w:val="18"/>
                <w:szCs w:val="18"/>
                <w:lang w:val="ro-RO"/>
              </w:rPr>
              <w:t>10</w:t>
            </w:r>
            <w:r w:rsidR="00B54BCE" w:rsidRPr="006F5136">
              <w:rPr>
                <w:rFonts w:ascii="Times New Roman" w:hAnsi="Times New Roman" w:cs="Times New Roman"/>
                <w:b/>
                <w:bCs/>
                <w:sz w:val="18"/>
                <w:szCs w:val="18"/>
                <w:lang w:val="ro-RO"/>
              </w:rPr>
              <w:t>3</w:t>
            </w:r>
            <w:r w:rsidRPr="006F5136">
              <w:rPr>
                <w:rFonts w:ascii="Times New Roman" w:hAnsi="Times New Roman" w:cs="Times New Roman"/>
                <w:b/>
                <w:bCs/>
                <w:sz w:val="18"/>
                <w:szCs w:val="18"/>
                <w:lang w:val="ro-RO"/>
              </w:rPr>
              <w:t>.</w:t>
            </w:r>
            <w:r w:rsidRPr="006F5136">
              <w:rPr>
                <w:rFonts w:ascii="Times New Roman" w:hAnsi="Times New Roman" w:cs="Times New Roman"/>
                <w:sz w:val="18"/>
                <w:szCs w:val="18"/>
                <w:lang w:val="ro-RO"/>
              </w:rPr>
              <w:t xml:space="preserve"> Expunerilor pentru care este recunoscută o evaluare de credit realizată de o agenție de creditare a exportului în scopul ponderării la risc li se aplică o pondere de risc în conformitate cu tabelul nr.9.</w:t>
            </w:r>
          </w:p>
          <w:p w14:paraId="1CA65EC3" w14:textId="77777777" w:rsidR="0027576A" w:rsidRPr="006F5136" w:rsidRDefault="0027576A" w:rsidP="005E4694">
            <w:pPr>
              <w:pStyle w:val="CM4"/>
              <w:tabs>
                <w:tab w:val="left" w:pos="150"/>
              </w:tabs>
              <w:ind w:left="-36"/>
              <w:jc w:val="center"/>
              <w:rPr>
                <w:rFonts w:ascii="Times New Roman" w:hAnsi="Times New Roman"/>
                <w:sz w:val="18"/>
                <w:szCs w:val="18"/>
                <w:lang w:val="ro-RO" w:eastAsia="ru-RU"/>
              </w:rPr>
            </w:pPr>
            <w:r w:rsidRPr="006F5136">
              <w:rPr>
                <w:rFonts w:ascii="Times New Roman" w:hAnsi="Times New Roman"/>
                <w:sz w:val="18"/>
                <w:szCs w:val="18"/>
                <w:lang w:val="ro-RO" w:eastAsia="ru-RU"/>
              </w:rPr>
              <w:t>Tabelul nr.9</w:t>
            </w:r>
          </w:p>
          <w:tbl>
            <w:tblPr>
              <w:tblW w:w="3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746"/>
              <w:gridCol w:w="234"/>
              <w:gridCol w:w="263"/>
              <w:gridCol w:w="312"/>
              <w:gridCol w:w="312"/>
              <w:gridCol w:w="361"/>
              <w:gridCol w:w="361"/>
              <w:gridCol w:w="361"/>
              <w:gridCol w:w="477"/>
            </w:tblGrid>
            <w:tr w:rsidR="0027576A" w:rsidRPr="006F5136" w14:paraId="2822F15E" w14:textId="77777777" w:rsidTr="00977E5E">
              <w:trPr>
                <w:jc w:val="center"/>
              </w:trPr>
              <w:tc>
                <w:tcPr>
                  <w:tcW w:w="746" w:type="dxa"/>
                  <w:shd w:val="clear" w:color="auto" w:fill="FFFFFF"/>
                  <w:tcMar>
                    <w:top w:w="30" w:type="dxa"/>
                    <w:left w:w="75" w:type="dxa"/>
                    <w:bottom w:w="30" w:type="dxa"/>
                    <w:right w:w="30" w:type="dxa"/>
                  </w:tcMar>
                  <w:hideMark/>
                </w:tcPr>
                <w:p w14:paraId="358E2653"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MEIP</w:t>
                  </w:r>
                </w:p>
              </w:tc>
              <w:tc>
                <w:tcPr>
                  <w:tcW w:w="234" w:type="dxa"/>
                  <w:shd w:val="clear" w:color="auto" w:fill="FFFFFF"/>
                  <w:tcMar>
                    <w:top w:w="30" w:type="dxa"/>
                    <w:left w:w="75" w:type="dxa"/>
                    <w:bottom w:w="30" w:type="dxa"/>
                    <w:right w:w="30" w:type="dxa"/>
                  </w:tcMar>
                  <w:hideMark/>
                </w:tcPr>
                <w:p w14:paraId="2960FC92"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0</w:t>
                  </w:r>
                </w:p>
              </w:tc>
              <w:tc>
                <w:tcPr>
                  <w:tcW w:w="263" w:type="dxa"/>
                  <w:shd w:val="clear" w:color="auto" w:fill="FFFFFF"/>
                  <w:tcMar>
                    <w:top w:w="30" w:type="dxa"/>
                    <w:left w:w="75" w:type="dxa"/>
                    <w:bottom w:w="30" w:type="dxa"/>
                    <w:right w:w="30" w:type="dxa"/>
                  </w:tcMar>
                  <w:hideMark/>
                </w:tcPr>
                <w:p w14:paraId="08C62C48"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w:t>
                  </w:r>
                </w:p>
              </w:tc>
              <w:tc>
                <w:tcPr>
                  <w:tcW w:w="312" w:type="dxa"/>
                  <w:shd w:val="clear" w:color="auto" w:fill="FFFFFF"/>
                  <w:tcMar>
                    <w:top w:w="30" w:type="dxa"/>
                    <w:left w:w="75" w:type="dxa"/>
                    <w:bottom w:w="30" w:type="dxa"/>
                    <w:right w:w="30" w:type="dxa"/>
                  </w:tcMar>
                  <w:hideMark/>
                </w:tcPr>
                <w:p w14:paraId="359D8552"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w:t>
                  </w:r>
                </w:p>
              </w:tc>
              <w:tc>
                <w:tcPr>
                  <w:tcW w:w="312" w:type="dxa"/>
                  <w:shd w:val="clear" w:color="auto" w:fill="FFFFFF"/>
                  <w:tcMar>
                    <w:top w:w="30" w:type="dxa"/>
                    <w:left w:w="75" w:type="dxa"/>
                    <w:bottom w:w="30" w:type="dxa"/>
                    <w:right w:w="30" w:type="dxa"/>
                  </w:tcMar>
                  <w:hideMark/>
                </w:tcPr>
                <w:p w14:paraId="77107958"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w:t>
                  </w:r>
                </w:p>
              </w:tc>
              <w:tc>
                <w:tcPr>
                  <w:tcW w:w="361" w:type="dxa"/>
                  <w:shd w:val="clear" w:color="auto" w:fill="FFFFFF"/>
                  <w:tcMar>
                    <w:top w:w="30" w:type="dxa"/>
                    <w:left w:w="75" w:type="dxa"/>
                    <w:bottom w:w="30" w:type="dxa"/>
                    <w:right w:w="30" w:type="dxa"/>
                  </w:tcMar>
                  <w:hideMark/>
                </w:tcPr>
                <w:p w14:paraId="4E0C2E03"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w:t>
                  </w:r>
                </w:p>
              </w:tc>
              <w:tc>
                <w:tcPr>
                  <w:tcW w:w="361" w:type="dxa"/>
                  <w:shd w:val="clear" w:color="auto" w:fill="FFFFFF"/>
                  <w:tcMar>
                    <w:top w:w="30" w:type="dxa"/>
                    <w:left w:w="75" w:type="dxa"/>
                    <w:bottom w:w="30" w:type="dxa"/>
                    <w:right w:w="30" w:type="dxa"/>
                  </w:tcMar>
                  <w:hideMark/>
                </w:tcPr>
                <w:p w14:paraId="444E0B79"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w:t>
                  </w:r>
                </w:p>
              </w:tc>
              <w:tc>
                <w:tcPr>
                  <w:tcW w:w="361" w:type="dxa"/>
                  <w:shd w:val="clear" w:color="auto" w:fill="FFFFFF"/>
                  <w:tcMar>
                    <w:top w:w="30" w:type="dxa"/>
                    <w:left w:w="75" w:type="dxa"/>
                    <w:bottom w:w="30" w:type="dxa"/>
                    <w:right w:w="30" w:type="dxa"/>
                  </w:tcMar>
                  <w:hideMark/>
                </w:tcPr>
                <w:p w14:paraId="011AE765"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6</w:t>
                  </w:r>
                </w:p>
              </w:tc>
              <w:tc>
                <w:tcPr>
                  <w:tcW w:w="477" w:type="dxa"/>
                  <w:shd w:val="clear" w:color="auto" w:fill="FFFFFF"/>
                  <w:tcMar>
                    <w:top w:w="30" w:type="dxa"/>
                    <w:left w:w="75" w:type="dxa"/>
                    <w:bottom w:w="30" w:type="dxa"/>
                    <w:right w:w="30" w:type="dxa"/>
                  </w:tcMar>
                  <w:hideMark/>
                </w:tcPr>
                <w:p w14:paraId="002BB748"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7</w:t>
                  </w:r>
                </w:p>
              </w:tc>
            </w:tr>
            <w:tr w:rsidR="0027576A" w:rsidRPr="006F5136" w14:paraId="4B9467F2" w14:textId="77777777" w:rsidTr="00977E5E">
              <w:trPr>
                <w:jc w:val="center"/>
              </w:trPr>
              <w:tc>
                <w:tcPr>
                  <w:tcW w:w="746" w:type="dxa"/>
                  <w:shd w:val="clear" w:color="auto" w:fill="FFFFFF"/>
                  <w:tcMar>
                    <w:top w:w="30" w:type="dxa"/>
                    <w:left w:w="75" w:type="dxa"/>
                    <w:bottom w:w="30" w:type="dxa"/>
                    <w:right w:w="30" w:type="dxa"/>
                  </w:tcMar>
                  <w:hideMark/>
                </w:tcPr>
                <w:p w14:paraId="5F926891"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Pondere de risc</w:t>
                  </w:r>
                </w:p>
              </w:tc>
              <w:tc>
                <w:tcPr>
                  <w:tcW w:w="234" w:type="dxa"/>
                  <w:shd w:val="clear" w:color="auto" w:fill="FFFFFF"/>
                  <w:tcMar>
                    <w:top w:w="30" w:type="dxa"/>
                    <w:left w:w="75" w:type="dxa"/>
                    <w:bottom w:w="30" w:type="dxa"/>
                    <w:right w:w="30" w:type="dxa"/>
                  </w:tcMar>
                  <w:hideMark/>
                </w:tcPr>
                <w:p w14:paraId="0EC266B5"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0 %</w:t>
                  </w:r>
                </w:p>
              </w:tc>
              <w:tc>
                <w:tcPr>
                  <w:tcW w:w="263" w:type="dxa"/>
                  <w:shd w:val="clear" w:color="auto" w:fill="FFFFFF"/>
                  <w:tcMar>
                    <w:top w:w="30" w:type="dxa"/>
                    <w:left w:w="75" w:type="dxa"/>
                    <w:bottom w:w="30" w:type="dxa"/>
                    <w:right w:w="30" w:type="dxa"/>
                  </w:tcMar>
                  <w:hideMark/>
                </w:tcPr>
                <w:p w14:paraId="52EAF409"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0 %</w:t>
                  </w:r>
                </w:p>
              </w:tc>
              <w:tc>
                <w:tcPr>
                  <w:tcW w:w="312" w:type="dxa"/>
                  <w:shd w:val="clear" w:color="auto" w:fill="FFFFFF"/>
                  <w:tcMar>
                    <w:top w:w="30" w:type="dxa"/>
                    <w:left w:w="75" w:type="dxa"/>
                    <w:bottom w:w="30" w:type="dxa"/>
                    <w:right w:w="30" w:type="dxa"/>
                  </w:tcMar>
                  <w:hideMark/>
                </w:tcPr>
                <w:p w14:paraId="1AA0E5A6"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20 %</w:t>
                  </w:r>
                </w:p>
              </w:tc>
              <w:tc>
                <w:tcPr>
                  <w:tcW w:w="312" w:type="dxa"/>
                  <w:shd w:val="clear" w:color="auto" w:fill="FFFFFF"/>
                  <w:tcMar>
                    <w:top w:w="30" w:type="dxa"/>
                    <w:left w:w="75" w:type="dxa"/>
                    <w:bottom w:w="30" w:type="dxa"/>
                    <w:right w:w="30" w:type="dxa"/>
                  </w:tcMar>
                  <w:hideMark/>
                </w:tcPr>
                <w:p w14:paraId="2996C5C2"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50 %</w:t>
                  </w:r>
                </w:p>
              </w:tc>
              <w:tc>
                <w:tcPr>
                  <w:tcW w:w="361" w:type="dxa"/>
                  <w:shd w:val="clear" w:color="auto" w:fill="FFFFFF"/>
                  <w:tcMar>
                    <w:top w:w="30" w:type="dxa"/>
                    <w:left w:w="75" w:type="dxa"/>
                    <w:bottom w:w="30" w:type="dxa"/>
                    <w:right w:w="30" w:type="dxa"/>
                  </w:tcMar>
                  <w:hideMark/>
                </w:tcPr>
                <w:p w14:paraId="182D5CA6"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361" w:type="dxa"/>
                  <w:shd w:val="clear" w:color="auto" w:fill="FFFFFF"/>
                  <w:tcMar>
                    <w:top w:w="30" w:type="dxa"/>
                    <w:left w:w="75" w:type="dxa"/>
                    <w:bottom w:w="30" w:type="dxa"/>
                    <w:right w:w="30" w:type="dxa"/>
                  </w:tcMar>
                  <w:hideMark/>
                </w:tcPr>
                <w:p w14:paraId="1F48167C"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361" w:type="dxa"/>
                  <w:shd w:val="clear" w:color="auto" w:fill="FFFFFF"/>
                  <w:tcMar>
                    <w:top w:w="30" w:type="dxa"/>
                    <w:left w:w="75" w:type="dxa"/>
                    <w:bottom w:w="30" w:type="dxa"/>
                    <w:right w:w="30" w:type="dxa"/>
                  </w:tcMar>
                  <w:hideMark/>
                </w:tcPr>
                <w:p w14:paraId="2B936625"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100 %</w:t>
                  </w:r>
                </w:p>
              </w:tc>
              <w:tc>
                <w:tcPr>
                  <w:tcW w:w="477" w:type="dxa"/>
                  <w:shd w:val="clear" w:color="auto" w:fill="FFFFFF"/>
                  <w:tcMar>
                    <w:top w:w="30" w:type="dxa"/>
                    <w:left w:w="75" w:type="dxa"/>
                    <w:bottom w:w="30" w:type="dxa"/>
                    <w:right w:w="30" w:type="dxa"/>
                  </w:tcMar>
                  <w:hideMark/>
                </w:tcPr>
                <w:p w14:paraId="50C25DC6"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150 %</w:t>
                  </w:r>
                </w:p>
              </w:tc>
            </w:tr>
          </w:tbl>
          <w:p w14:paraId="176481CA" w14:textId="77777777" w:rsidR="0027576A" w:rsidRPr="006F5136" w:rsidRDefault="0027576A" w:rsidP="005E4694">
            <w:pPr>
              <w:spacing w:after="0" w:line="240" w:lineRule="auto"/>
              <w:rPr>
                <w:rFonts w:ascii="Times New Roman" w:hAnsi="Times New Roman" w:cs="Times New Roman"/>
                <w:sz w:val="18"/>
                <w:szCs w:val="18"/>
                <w:lang w:val="ro-RO"/>
              </w:rPr>
            </w:pPr>
          </w:p>
        </w:tc>
        <w:tc>
          <w:tcPr>
            <w:tcW w:w="503" w:type="pct"/>
          </w:tcPr>
          <w:p w14:paraId="05D3D1D1"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2A24F194" w14:textId="26647265"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22AF7C17"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0312264"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Secțiunea 4. </w:t>
            </w:r>
          </w:p>
          <w:p w14:paraId="08012E13" w14:textId="77777777" w:rsidR="0027576A" w:rsidRPr="006F5136" w:rsidRDefault="0027576A" w:rsidP="005E4694">
            <w:pPr>
              <w:pStyle w:val="CM4"/>
              <w:tabs>
                <w:tab w:val="left" w:pos="150"/>
              </w:tabs>
              <w:ind w:left="-43"/>
              <w:jc w:val="both"/>
              <w:rPr>
                <w:rFonts w:ascii="Times New Roman" w:hAnsi="Times New Roman"/>
                <w:b/>
                <w:iCs/>
                <w:sz w:val="18"/>
                <w:szCs w:val="18"/>
                <w:lang w:val="ro-RO" w:eastAsia="ru-RU"/>
              </w:rPr>
            </w:pPr>
            <w:r w:rsidRPr="006F5136">
              <w:rPr>
                <w:rFonts w:ascii="Times New Roman" w:hAnsi="Times New Roman"/>
                <w:b/>
                <w:iCs/>
                <w:sz w:val="18"/>
                <w:szCs w:val="18"/>
                <w:lang w:val="ro-RO" w:eastAsia="ru-RU"/>
              </w:rPr>
              <w:t>Utilizarea evaluărilor de credit elaborate de o ECAI pentru determinarea ponderilor de risc</w:t>
            </w:r>
          </w:p>
        </w:tc>
        <w:tc>
          <w:tcPr>
            <w:tcW w:w="1661" w:type="pct"/>
            <w:shd w:val="clear" w:color="auto" w:fill="auto"/>
          </w:tcPr>
          <w:p w14:paraId="36B488B3"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46ECFEC3" w14:textId="77777777" w:rsidR="0027576A" w:rsidRPr="006F5136" w:rsidRDefault="0027576A" w:rsidP="005E4694">
            <w:pPr>
              <w:spacing w:after="0" w:line="240" w:lineRule="auto"/>
              <w:rPr>
                <w:rFonts w:ascii="Times New Roman" w:hAnsi="Times New Roman" w:cs="Times New Roman"/>
                <w:sz w:val="18"/>
                <w:szCs w:val="18"/>
                <w:lang w:val="ro-RO"/>
              </w:rPr>
            </w:pPr>
          </w:p>
        </w:tc>
        <w:tc>
          <w:tcPr>
            <w:tcW w:w="912" w:type="pct"/>
          </w:tcPr>
          <w:p w14:paraId="0CF6607A" w14:textId="6DA2C920" w:rsidR="0027576A" w:rsidRPr="006F5136" w:rsidRDefault="0027576A" w:rsidP="005E4694">
            <w:pPr>
              <w:spacing w:after="0" w:line="240" w:lineRule="auto"/>
              <w:jc w:val="both"/>
              <w:rPr>
                <w:rFonts w:ascii="Times New Roman" w:hAnsi="Times New Roman" w:cs="Times New Roman"/>
                <w:sz w:val="18"/>
                <w:szCs w:val="18"/>
                <w:lang w:val="ro-RO"/>
              </w:rPr>
            </w:pPr>
          </w:p>
        </w:tc>
      </w:tr>
      <w:tr w:rsidR="0027576A" w:rsidRPr="006F5136" w14:paraId="1A0E662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45B045D"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138</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Cerințe generale</w:t>
            </w:r>
          </w:p>
          <w:p w14:paraId="52C3214D"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O instituție poate desemna una sau mai multe ECAI pe care le va utiliza pentru a determina ponderile de risc aplicabile activelor și elementelor extrabilanțiere. O instituție poate revoca desemnarea unei ECAI. Instituția motivează revocarea dacă există indicii concrete care arată că intenția care stă la baza revocării este reducerea cerințelor privind adecvarea capitalului. Evaluările de credit nu pot fi utilizate selectiv. O instituție utilizează evaluările de credit solicitate. </w:t>
            </w:r>
          </w:p>
          <w:p w14:paraId="22E165AF"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p>
          <w:p w14:paraId="02E7D857" w14:textId="77777777" w:rsidR="00636C7A" w:rsidRPr="006F5136" w:rsidRDefault="00636C7A" w:rsidP="005E4694">
            <w:pPr>
              <w:pStyle w:val="CM4"/>
              <w:tabs>
                <w:tab w:val="left" w:pos="150"/>
              </w:tabs>
              <w:ind w:left="-43"/>
              <w:jc w:val="both"/>
              <w:rPr>
                <w:rFonts w:ascii="Times New Roman" w:hAnsi="Times New Roman"/>
                <w:iCs/>
                <w:sz w:val="18"/>
                <w:szCs w:val="18"/>
                <w:lang w:val="ro-RO" w:eastAsia="ru-RU"/>
              </w:rPr>
            </w:pPr>
          </w:p>
          <w:p w14:paraId="5F34C118" w14:textId="77777777" w:rsidR="00636C7A" w:rsidRPr="006F5136" w:rsidRDefault="00636C7A" w:rsidP="005E4694">
            <w:pPr>
              <w:pStyle w:val="CM4"/>
              <w:tabs>
                <w:tab w:val="left" w:pos="150"/>
              </w:tabs>
              <w:ind w:left="-43"/>
              <w:jc w:val="both"/>
              <w:rPr>
                <w:rFonts w:ascii="Times New Roman" w:hAnsi="Times New Roman"/>
                <w:iCs/>
                <w:sz w:val="18"/>
                <w:szCs w:val="18"/>
                <w:lang w:val="ro-RO" w:eastAsia="ru-RU"/>
              </w:rPr>
            </w:pPr>
          </w:p>
          <w:p w14:paraId="3AB71516" w14:textId="4F7E74A5" w:rsidR="0027576A" w:rsidRPr="006F5136" w:rsidRDefault="0027576A" w:rsidP="005E4694">
            <w:pPr>
              <w:pStyle w:val="CM4"/>
              <w:tabs>
                <w:tab w:val="left" w:pos="150"/>
              </w:tabs>
              <w:ind w:left="-43"/>
              <w:jc w:val="both"/>
              <w:rPr>
                <w:rFonts w:ascii="Times New Roman" w:hAnsi="Times New Roman"/>
                <w:iCs/>
                <w:sz w:val="18"/>
                <w:szCs w:val="18"/>
                <w:lang w:val="ro-RO" w:eastAsia="ru-RU"/>
              </w:rPr>
            </w:pPr>
          </w:p>
        </w:tc>
        <w:tc>
          <w:tcPr>
            <w:tcW w:w="1661" w:type="pct"/>
            <w:shd w:val="clear" w:color="auto" w:fill="auto"/>
          </w:tcPr>
          <w:p w14:paraId="6A9A1A55" w14:textId="77777777"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Capitolul VI. Utilizarea evaluărilor de credit realizate de o ECAI pentru determinarea ponderilor de risc</w:t>
            </w:r>
          </w:p>
          <w:p w14:paraId="34F118E7" w14:textId="77777777"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 xml:space="preserve">Secțiunea 1. </w:t>
            </w:r>
            <w:r w:rsidRPr="006F5136">
              <w:rPr>
                <w:rFonts w:ascii="Times New Roman" w:hAnsi="Times New Roman"/>
                <w:b/>
                <w:bCs/>
                <w:sz w:val="18"/>
                <w:szCs w:val="18"/>
                <w:lang w:val="ro-RO" w:eastAsia="ru-RU"/>
              </w:rPr>
              <w:t>Cerințe generale</w:t>
            </w:r>
            <w:r w:rsidRPr="006F5136">
              <w:rPr>
                <w:rFonts w:ascii="Times New Roman" w:hAnsi="Times New Roman"/>
                <w:sz w:val="18"/>
                <w:szCs w:val="18"/>
                <w:lang w:val="ro-RO" w:eastAsia="ru-RU"/>
              </w:rPr>
              <w:t xml:space="preserve"> </w:t>
            </w:r>
          </w:p>
          <w:p w14:paraId="20553095"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p w14:paraId="7F3595B9" w14:textId="30611744" w:rsidR="0027576A" w:rsidRPr="006F5136" w:rsidRDefault="0027576A" w:rsidP="005E4694">
            <w:pPr>
              <w:pStyle w:val="CM4"/>
              <w:tabs>
                <w:tab w:val="left" w:pos="150"/>
              </w:tabs>
              <w:ind w:left="-36"/>
              <w:jc w:val="both"/>
              <w:rPr>
                <w:rFonts w:ascii="Times New Roman" w:hAnsi="Times New Roman"/>
                <w:sz w:val="18"/>
                <w:szCs w:val="18"/>
                <w:lang w:val="ro-RO" w:eastAsia="ru-RU"/>
              </w:rPr>
            </w:pPr>
            <w:r w:rsidRPr="006F5136">
              <w:rPr>
                <w:rFonts w:ascii="Times New Roman" w:hAnsi="Times New Roman"/>
                <w:b/>
                <w:bCs/>
                <w:sz w:val="18"/>
                <w:szCs w:val="18"/>
                <w:lang w:val="ro-RO" w:eastAsia="ru-RU"/>
              </w:rPr>
              <w:t>10</w:t>
            </w:r>
            <w:r w:rsidR="00FE6872" w:rsidRPr="006F5136">
              <w:rPr>
                <w:rFonts w:ascii="Times New Roman" w:hAnsi="Times New Roman"/>
                <w:b/>
                <w:bCs/>
                <w:sz w:val="18"/>
                <w:szCs w:val="18"/>
                <w:lang w:val="ro-RO" w:eastAsia="ru-RU"/>
              </w:rPr>
              <w:t>4</w:t>
            </w:r>
            <w:r w:rsidRPr="006F5136">
              <w:rPr>
                <w:rFonts w:ascii="Times New Roman" w:hAnsi="Times New Roman"/>
                <w:b/>
                <w:bCs/>
                <w:sz w:val="18"/>
                <w:szCs w:val="18"/>
                <w:lang w:val="ro-RO" w:eastAsia="ru-RU"/>
              </w:rPr>
              <w:t>.</w:t>
            </w:r>
            <w:r w:rsidRPr="006F5136">
              <w:rPr>
                <w:rFonts w:ascii="Times New Roman" w:hAnsi="Times New Roman"/>
                <w:sz w:val="18"/>
                <w:szCs w:val="18"/>
                <w:lang w:val="ro-RO" w:eastAsia="ru-RU"/>
              </w:rPr>
              <w:t xml:space="preserve"> O bancă poate desemna una sau mai multe ECAI recunoscute ca eligibile, ale căror evaluări de credit vor fi utilizate pentru a determina ponderile de risc aplicabile activelor și elementelor extrabilanțiere. </w:t>
            </w:r>
          </w:p>
          <w:p w14:paraId="45BDD2FE" w14:textId="31BF30D5" w:rsidR="0027576A" w:rsidRPr="006F5136" w:rsidRDefault="0027576A" w:rsidP="005E4694">
            <w:pPr>
              <w:pStyle w:val="CM4"/>
              <w:tabs>
                <w:tab w:val="left" w:pos="150"/>
              </w:tabs>
              <w:ind w:left="-36"/>
              <w:jc w:val="both"/>
              <w:rPr>
                <w:rFonts w:ascii="Times New Roman" w:hAnsi="Times New Roman"/>
                <w:sz w:val="18"/>
                <w:szCs w:val="18"/>
                <w:lang w:val="ro-RO" w:eastAsia="ru-RU"/>
              </w:rPr>
            </w:pPr>
            <w:r w:rsidRPr="006F5136">
              <w:rPr>
                <w:rFonts w:ascii="Times New Roman" w:hAnsi="Times New Roman"/>
                <w:b/>
                <w:bCs/>
                <w:sz w:val="18"/>
                <w:szCs w:val="18"/>
                <w:lang w:val="ro-RO" w:eastAsia="ru-RU"/>
              </w:rPr>
              <w:t>10</w:t>
            </w:r>
            <w:r w:rsidR="00FE6872" w:rsidRPr="006F5136">
              <w:rPr>
                <w:rFonts w:ascii="Times New Roman" w:hAnsi="Times New Roman"/>
                <w:b/>
                <w:bCs/>
                <w:sz w:val="18"/>
                <w:szCs w:val="18"/>
                <w:lang w:val="ro-RO" w:eastAsia="ru-RU"/>
              </w:rPr>
              <w:t>5</w:t>
            </w:r>
            <w:r w:rsidRPr="006F5136">
              <w:rPr>
                <w:rFonts w:ascii="Times New Roman" w:hAnsi="Times New Roman"/>
                <w:b/>
                <w:bCs/>
                <w:sz w:val="18"/>
                <w:szCs w:val="18"/>
                <w:lang w:val="ro-RO" w:eastAsia="ru-RU"/>
              </w:rPr>
              <w:t>.</w:t>
            </w:r>
            <w:r w:rsidRPr="006F5136">
              <w:rPr>
                <w:rFonts w:ascii="Times New Roman" w:hAnsi="Times New Roman"/>
                <w:sz w:val="18"/>
                <w:szCs w:val="18"/>
                <w:lang w:val="ro-RO" w:eastAsia="ru-RU"/>
              </w:rPr>
              <w:t xml:space="preserve"> O bancă poate revoca desemnarea unei ECAI în cazul în care deține indicii concrete care arată că intenția care stă la baza revocării este reducerea cerințelor privind adecvarea capitalului. </w:t>
            </w:r>
          </w:p>
          <w:p w14:paraId="1E542C9F" w14:textId="238E2941" w:rsidR="0027576A" w:rsidRPr="006F5136" w:rsidRDefault="0027576A" w:rsidP="005E4694">
            <w:pPr>
              <w:pStyle w:val="CM4"/>
              <w:tabs>
                <w:tab w:val="left" w:pos="150"/>
              </w:tabs>
              <w:ind w:left="-36"/>
              <w:jc w:val="both"/>
              <w:rPr>
                <w:rFonts w:ascii="Times New Roman" w:hAnsi="Times New Roman"/>
                <w:sz w:val="18"/>
                <w:szCs w:val="18"/>
                <w:lang w:val="ro-RO" w:eastAsia="ru-RU"/>
              </w:rPr>
            </w:pPr>
            <w:r w:rsidRPr="006F5136">
              <w:rPr>
                <w:rFonts w:ascii="Times New Roman" w:hAnsi="Times New Roman"/>
                <w:b/>
                <w:bCs/>
                <w:sz w:val="18"/>
                <w:szCs w:val="18"/>
                <w:lang w:val="ro-RO" w:eastAsia="ru-RU"/>
              </w:rPr>
              <w:t>10</w:t>
            </w:r>
            <w:r w:rsidR="00FE6872" w:rsidRPr="006F5136">
              <w:rPr>
                <w:rFonts w:ascii="Times New Roman" w:hAnsi="Times New Roman"/>
                <w:b/>
                <w:bCs/>
                <w:sz w:val="18"/>
                <w:szCs w:val="18"/>
                <w:lang w:val="ro-RO" w:eastAsia="ru-RU"/>
              </w:rPr>
              <w:t>6</w:t>
            </w:r>
            <w:r w:rsidRPr="006F5136">
              <w:rPr>
                <w:rFonts w:ascii="Times New Roman" w:hAnsi="Times New Roman"/>
                <w:b/>
                <w:bCs/>
                <w:sz w:val="18"/>
                <w:szCs w:val="18"/>
                <w:lang w:val="ro-RO" w:eastAsia="ru-RU"/>
              </w:rPr>
              <w:t>.</w:t>
            </w:r>
            <w:r w:rsidRPr="006F5136">
              <w:rPr>
                <w:rFonts w:ascii="Times New Roman" w:hAnsi="Times New Roman"/>
                <w:sz w:val="18"/>
                <w:szCs w:val="18"/>
                <w:lang w:val="ro-RO" w:eastAsia="ru-RU"/>
              </w:rPr>
              <w:t xml:space="preserve"> Evaluările de credit nu pot fi utilizate selectiv. </w:t>
            </w:r>
          </w:p>
          <w:p w14:paraId="5D0316AF" w14:textId="2FED7598" w:rsidR="0027576A" w:rsidRPr="006F5136" w:rsidRDefault="0027576A" w:rsidP="005E4694">
            <w:pPr>
              <w:pStyle w:val="CM4"/>
              <w:tabs>
                <w:tab w:val="left" w:pos="150"/>
              </w:tabs>
              <w:ind w:left="-36"/>
              <w:jc w:val="both"/>
              <w:rPr>
                <w:rFonts w:ascii="Times New Roman" w:hAnsi="Times New Roman"/>
                <w:sz w:val="18"/>
                <w:szCs w:val="18"/>
                <w:lang w:val="ro-RO" w:eastAsia="ru-RU"/>
              </w:rPr>
            </w:pPr>
            <w:r w:rsidRPr="006F5136">
              <w:rPr>
                <w:rFonts w:ascii="Times New Roman" w:hAnsi="Times New Roman"/>
                <w:b/>
                <w:bCs/>
                <w:sz w:val="18"/>
                <w:szCs w:val="18"/>
                <w:lang w:val="ro-RO" w:eastAsia="ru-RU"/>
              </w:rPr>
              <w:t>10</w:t>
            </w:r>
            <w:r w:rsidR="00FE6872" w:rsidRPr="006F5136">
              <w:rPr>
                <w:rFonts w:ascii="Times New Roman" w:hAnsi="Times New Roman"/>
                <w:b/>
                <w:bCs/>
                <w:sz w:val="18"/>
                <w:szCs w:val="18"/>
                <w:lang w:val="ro-RO" w:eastAsia="ru-RU"/>
              </w:rPr>
              <w:t>7</w:t>
            </w:r>
            <w:r w:rsidRPr="006F5136">
              <w:rPr>
                <w:rFonts w:ascii="Times New Roman" w:hAnsi="Times New Roman"/>
                <w:b/>
                <w:bCs/>
                <w:sz w:val="18"/>
                <w:szCs w:val="18"/>
                <w:lang w:val="ro-RO" w:eastAsia="ru-RU"/>
              </w:rPr>
              <w:t>.</w:t>
            </w:r>
            <w:r w:rsidRPr="006F5136">
              <w:rPr>
                <w:rFonts w:ascii="Times New Roman" w:hAnsi="Times New Roman"/>
                <w:sz w:val="18"/>
                <w:szCs w:val="18"/>
                <w:lang w:val="ro-RO" w:eastAsia="ru-RU"/>
              </w:rPr>
              <w:t xml:space="preserve"> O bancă trebuie să utilizeze evaluările de credit solicitate de către debitor. </w:t>
            </w:r>
          </w:p>
        </w:tc>
        <w:tc>
          <w:tcPr>
            <w:tcW w:w="503" w:type="pct"/>
          </w:tcPr>
          <w:p w14:paraId="7F4C0FD9"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p w14:paraId="2408E874" w14:textId="77777777" w:rsidR="0027576A" w:rsidRPr="006F5136" w:rsidRDefault="0027576A" w:rsidP="005E4694">
            <w:pPr>
              <w:spacing w:after="0" w:line="240" w:lineRule="auto"/>
              <w:rPr>
                <w:rFonts w:ascii="Times New Roman" w:hAnsi="Times New Roman" w:cs="Times New Roman"/>
                <w:sz w:val="18"/>
                <w:szCs w:val="18"/>
                <w:lang w:val="ro-RO"/>
              </w:rPr>
            </w:pPr>
          </w:p>
          <w:p w14:paraId="04CA5DEC" w14:textId="77777777" w:rsidR="0027576A" w:rsidRPr="006F5136" w:rsidRDefault="0027576A" w:rsidP="005E4694">
            <w:pPr>
              <w:spacing w:after="0" w:line="240" w:lineRule="auto"/>
              <w:rPr>
                <w:rFonts w:ascii="Times New Roman" w:hAnsi="Times New Roman" w:cs="Times New Roman"/>
                <w:sz w:val="18"/>
                <w:szCs w:val="18"/>
                <w:lang w:val="ro-RO"/>
              </w:rPr>
            </w:pPr>
          </w:p>
          <w:p w14:paraId="6281C78D" w14:textId="77777777" w:rsidR="0027576A" w:rsidRPr="006F5136" w:rsidRDefault="0027576A" w:rsidP="005E4694">
            <w:pPr>
              <w:spacing w:after="0" w:line="240" w:lineRule="auto"/>
              <w:rPr>
                <w:rFonts w:ascii="Times New Roman" w:hAnsi="Times New Roman" w:cs="Times New Roman"/>
                <w:sz w:val="18"/>
                <w:szCs w:val="18"/>
                <w:lang w:val="ro-RO"/>
              </w:rPr>
            </w:pPr>
          </w:p>
          <w:p w14:paraId="27D15B7E" w14:textId="77777777" w:rsidR="0027576A" w:rsidRPr="006F5136" w:rsidRDefault="0027576A" w:rsidP="005E4694">
            <w:pPr>
              <w:spacing w:after="0" w:line="240" w:lineRule="auto"/>
              <w:rPr>
                <w:rFonts w:ascii="Times New Roman" w:hAnsi="Times New Roman" w:cs="Times New Roman"/>
                <w:sz w:val="18"/>
                <w:szCs w:val="18"/>
                <w:lang w:val="ro-RO"/>
              </w:rPr>
            </w:pPr>
          </w:p>
          <w:p w14:paraId="2F23F75C" w14:textId="5B838FCF" w:rsidR="0027576A" w:rsidRPr="006F5136" w:rsidRDefault="0027576A" w:rsidP="005E4694">
            <w:pPr>
              <w:spacing w:after="0" w:line="240" w:lineRule="auto"/>
              <w:rPr>
                <w:rFonts w:ascii="Times New Roman" w:hAnsi="Times New Roman" w:cs="Times New Roman"/>
                <w:sz w:val="18"/>
                <w:szCs w:val="18"/>
                <w:lang w:val="ro-RO"/>
              </w:rPr>
            </w:pPr>
          </w:p>
        </w:tc>
        <w:tc>
          <w:tcPr>
            <w:tcW w:w="912" w:type="pct"/>
          </w:tcPr>
          <w:p w14:paraId="3FFB941E" w14:textId="728DF12F"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p w14:paraId="316E1DCA" w14:textId="77777777" w:rsidR="0027576A" w:rsidRPr="006F5136" w:rsidRDefault="0027576A" w:rsidP="005E4694">
            <w:pPr>
              <w:spacing w:after="0" w:line="240" w:lineRule="auto"/>
              <w:jc w:val="both"/>
              <w:rPr>
                <w:rFonts w:ascii="Times New Roman" w:hAnsi="Times New Roman" w:cs="Times New Roman"/>
                <w:sz w:val="18"/>
                <w:szCs w:val="18"/>
                <w:lang w:val="ro-RO"/>
              </w:rPr>
            </w:pPr>
          </w:p>
          <w:p w14:paraId="68798E85" w14:textId="77777777" w:rsidR="0027576A" w:rsidRPr="006F5136" w:rsidRDefault="0027576A" w:rsidP="005E4694">
            <w:pPr>
              <w:spacing w:after="0" w:line="240" w:lineRule="auto"/>
              <w:jc w:val="both"/>
              <w:rPr>
                <w:rFonts w:ascii="Times New Roman" w:hAnsi="Times New Roman" w:cs="Times New Roman"/>
                <w:sz w:val="18"/>
                <w:szCs w:val="18"/>
                <w:lang w:val="ro-RO"/>
              </w:rPr>
            </w:pPr>
          </w:p>
          <w:p w14:paraId="1A5D70BE" w14:textId="77777777" w:rsidR="0027576A" w:rsidRPr="006F5136" w:rsidRDefault="0027576A" w:rsidP="005E4694">
            <w:pPr>
              <w:spacing w:after="0" w:line="240" w:lineRule="auto"/>
              <w:jc w:val="both"/>
              <w:rPr>
                <w:rFonts w:ascii="Times New Roman" w:hAnsi="Times New Roman" w:cs="Times New Roman"/>
                <w:sz w:val="18"/>
                <w:szCs w:val="18"/>
                <w:lang w:val="ro-RO"/>
              </w:rPr>
            </w:pPr>
          </w:p>
          <w:p w14:paraId="0DBAD622" w14:textId="77777777" w:rsidR="0027576A" w:rsidRPr="006F5136" w:rsidRDefault="0027576A" w:rsidP="005E4694">
            <w:pPr>
              <w:spacing w:after="0" w:line="240" w:lineRule="auto"/>
              <w:jc w:val="both"/>
              <w:rPr>
                <w:rFonts w:ascii="Times New Roman" w:hAnsi="Times New Roman" w:cs="Times New Roman"/>
                <w:sz w:val="18"/>
                <w:szCs w:val="18"/>
                <w:lang w:val="ro-RO"/>
              </w:rPr>
            </w:pPr>
          </w:p>
          <w:p w14:paraId="40A04DD7" w14:textId="01FA910A" w:rsidR="0027576A" w:rsidRPr="006F5136" w:rsidRDefault="0027576A" w:rsidP="005E4694">
            <w:pPr>
              <w:spacing w:after="0" w:line="240" w:lineRule="auto"/>
              <w:jc w:val="both"/>
              <w:rPr>
                <w:rFonts w:ascii="Times New Roman" w:hAnsi="Times New Roman" w:cs="Times New Roman"/>
                <w:sz w:val="18"/>
                <w:szCs w:val="18"/>
                <w:lang w:val="ro-RO"/>
              </w:rPr>
            </w:pPr>
          </w:p>
        </w:tc>
      </w:tr>
      <w:tr w:rsidR="00636C7A" w:rsidRPr="006F5136" w14:paraId="2603B2C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ED43608" w14:textId="43C50A3B" w:rsidR="00636C7A" w:rsidRPr="006F5136" w:rsidRDefault="00636C7A" w:rsidP="005E4694">
            <w:pPr>
              <w:pStyle w:val="CM4"/>
              <w:tabs>
                <w:tab w:val="left" w:pos="150"/>
              </w:tabs>
              <w:ind w:left="-43"/>
              <w:jc w:val="both"/>
              <w:rPr>
                <w:rFonts w:ascii="Times New Roman" w:hAnsi="Times New Roman"/>
                <w:i/>
                <w:iCs/>
                <w:sz w:val="18"/>
                <w:szCs w:val="18"/>
                <w:lang w:val="ro-RO" w:eastAsia="ru-RU"/>
              </w:rPr>
            </w:pPr>
            <w:r w:rsidRPr="006F5136">
              <w:rPr>
                <w:rFonts w:ascii="Times New Roman" w:hAnsi="Times New Roman"/>
                <w:iCs/>
                <w:sz w:val="18"/>
                <w:szCs w:val="18"/>
                <w:lang w:val="ro-RO" w:eastAsia="ru-RU"/>
              </w:rPr>
              <w:t xml:space="preserve">Cu toate acestea, o instituție poate utiliza evaluări de credit nesolicitate în cazul în care ABE confirmă că evaluările de credit nesolicitate ale unei ECAI nu diferă, în ceea ce privește calitatea, de evaluările de credit solicitate ale respectivei ECAI. ABE refuză sau revocă respectiva confirmare în special dacă ECAI a utilizat o evaluare de credit nesolicitată pentru a pune presiuni asupra entității evaluate astfel încât aceasta să solicite o evaluare a creditului sau alte servicii. </w:t>
            </w:r>
          </w:p>
        </w:tc>
        <w:tc>
          <w:tcPr>
            <w:tcW w:w="1661" w:type="pct"/>
            <w:shd w:val="clear" w:color="auto" w:fill="auto"/>
          </w:tcPr>
          <w:p w14:paraId="6E29A72F" w14:textId="77777777" w:rsidR="00636C7A" w:rsidRPr="006F5136" w:rsidRDefault="00636C7A" w:rsidP="005E4694">
            <w:pPr>
              <w:pStyle w:val="CM4"/>
              <w:tabs>
                <w:tab w:val="left" w:pos="150"/>
              </w:tabs>
              <w:ind w:left="-36"/>
              <w:rPr>
                <w:rFonts w:ascii="Times New Roman" w:hAnsi="Times New Roman"/>
                <w:sz w:val="18"/>
                <w:szCs w:val="18"/>
                <w:lang w:val="ro-RO" w:eastAsia="ru-RU"/>
              </w:rPr>
            </w:pPr>
          </w:p>
        </w:tc>
        <w:tc>
          <w:tcPr>
            <w:tcW w:w="503" w:type="pct"/>
          </w:tcPr>
          <w:p w14:paraId="4EFFA92A" w14:textId="6130D5EF" w:rsidR="00636C7A" w:rsidRPr="006F5136" w:rsidRDefault="00636C7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Norme UE neaplicabile</w:t>
            </w:r>
          </w:p>
        </w:tc>
        <w:tc>
          <w:tcPr>
            <w:tcW w:w="912" w:type="pct"/>
          </w:tcPr>
          <w:p w14:paraId="41098A19" w14:textId="049AE176" w:rsidR="00636C7A" w:rsidRPr="006F5136" w:rsidRDefault="00636C7A"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Prevederea vizează autoritățile UE.</w:t>
            </w:r>
          </w:p>
        </w:tc>
      </w:tr>
      <w:tr w:rsidR="00636C7A" w:rsidRPr="006F5136" w14:paraId="59A98D7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414DBFA6" w14:textId="77777777" w:rsidR="00636C7A" w:rsidRPr="006F5136" w:rsidRDefault="00636C7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Atunci când utilizează evaluări de credit, instituțiile respectă următoarele cerințe:</w:t>
            </w:r>
          </w:p>
          <w:p w14:paraId="5EBE2336" w14:textId="77777777" w:rsidR="00636C7A" w:rsidRPr="006F5136" w:rsidRDefault="00636C7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o instituție care decide să utilizeze evaluările de credit efectuate de o ECAI pentru o anumită clasă de elemente trebuie să utilizeze respectivele evaluări de credit în mod consecvent, pentru toate expunerile aparținând acelei clase;</w:t>
            </w:r>
          </w:p>
          <w:p w14:paraId="3F59BBA3" w14:textId="77777777" w:rsidR="00636C7A" w:rsidRPr="006F5136" w:rsidRDefault="00636C7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o instituție care decide să utilizeze evaluări de credit efectuate de o ECAI trebuie să utilizeze respectivele evaluări în mod continuu și consecvent de-a lungul timpului;</w:t>
            </w:r>
          </w:p>
          <w:p w14:paraId="70804111" w14:textId="77777777" w:rsidR="00636C7A" w:rsidRPr="006F5136" w:rsidRDefault="00636C7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(c) o instituție utilizează numai acele evaluări de credit efectuate de o ECAI care iau în considerare toate cuantumurile, atât ca principal, cât și ca dobândă datorată pentru acesta; </w:t>
            </w:r>
          </w:p>
          <w:p w14:paraId="034D15C0" w14:textId="77777777" w:rsidR="00636C7A" w:rsidRPr="006F5136" w:rsidRDefault="00636C7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(d) în cazul în care nu este disponibilă decât o singură evaluare de credit efectuată de o ECAI desemnată pentru un element evaluat, respectiva evaluare de credit se utilizează pentru a determina ponderea de risc pentru elementul respectiv;</w:t>
            </w:r>
          </w:p>
          <w:p w14:paraId="3F4821DE" w14:textId="77777777" w:rsidR="00636C7A" w:rsidRPr="006F5136" w:rsidRDefault="00636C7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(e) în cazul în care sunt disponibile două evaluări de credit efectuate de o ECAI desemnată și ele corespund unor ponderi de risc diferite pentru un element evaluat, se aplică ponderea de risc cea mai ridicată;</w:t>
            </w:r>
          </w:p>
          <w:p w14:paraId="6301ADB0" w14:textId="4D48278E" w:rsidR="00636C7A" w:rsidRPr="006F5136" w:rsidRDefault="00636C7A" w:rsidP="005E4694">
            <w:pPr>
              <w:pStyle w:val="CM4"/>
              <w:tabs>
                <w:tab w:val="left" w:pos="150"/>
              </w:tabs>
              <w:ind w:left="-43"/>
              <w:jc w:val="both"/>
              <w:rPr>
                <w:rFonts w:ascii="Times New Roman" w:hAnsi="Times New Roman"/>
                <w:i/>
                <w:iCs/>
                <w:sz w:val="18"/>
                <w:szCs w:val="18"/>
                <w:lang w:val="ro-RO" w:eastAsia="ru-RU"/>
              </w:rPr>
            </w:pPr>
            <w:r w:rsidRPr="006F5136">
              <w:rPr>
                <w:rFonts w:ascii="Times New Roman" w:hAnsi="Times New Roman"/>
                <w:iCs/>
                <w:sz w:val="18"/>
                <w:szCs w:val="18"/>
                <w:lang w:val="ro-RO" w:eastAsia="ru-RU"/>
              </w:rPr>
              <w:t>(f) în cazul în care sunt disponibile mai mult de două evaluări de credit efectuate de o ECAI desemnată pentru un element evaluat, se iau în considerare acele două evaluări de risc care generează cele mai scăzute ponderi de risc. În cazul în care cele două ponderi de risc sunt diferite, se aplică cea mai ridicată dintre ele. În cazul în care cele două ponderi de risc sunt identice, se aplică ponderea de risc respectivă.</w:t>
            </w:r>
          </w:p>
        </w:tc>
        <w:tc>
          <w:tcPr>
            <w:tcW w:w="1661" w:type="pct"/>
            <w:shd w:val="clear" w:color="auto" w:fill="auto"/>
          </w:tcPr>
          <w:p w14:paraId="3F55A2B8" w14:textId="77777777" w:rsidR="00636C7A" w:rsidRPr="006F5136" w:rsidRDefault="00636C7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108.</w:t>
            </w:r>
            <w:r w:rsidRPr="006F5136">
              <w:rPr>
                <w:rFonts w:ascii="Times New Roman" w:eastAsia="Times New Roman" w:hAnsi="Times New Roman" w:cs="Times New Roman"/>
                <w:sz w:val="18"/>
                <w:szCs w:val="18"/>
                <w:lang w:val="ro-RO" w:eastAsia="ro-MD"/>
              </w:rPr>
              <w:t xml:space="preserve"> Atunci când utilizează evaluări de credit, băncile trebuie să respecte următoarele cerințe:</w:t>
            </w:r>
          </w:p>
          <w:p w14:paraId="53503ED0" w14:textId="77777777" w:rsidR="00636C7A" w:rsidRPr="006F5136" w:rsidRDefault="00636C7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o bancă care decide să utilizeze evaluările de credit realizate de o ECAI pentru o anumită clasă de elemente trebuie să utilizeze respectivele evaluări de credit în mod consecvent pentru toate expunerile aparținând acelei clase;</w:t>
            </w:r>
          </w:p>
          <w:p w14:paraId="4886A6D3" w14:textId="77777777" w:rsidR="00636C7A" w:rsidRPr="006F5136" w:rsidRDefault="00636C7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o bancă care decide să utilizeze evaluări de credit realizate de o ECAI trebuie să utilizeze respectivele evaluări în mod continuu și consecvent de-a lungul timpului;</w:t>
            </w:r>
          </w:p>
          <w:p w14:paraId="70BAD0C1" w14:textId="77777777" w:rsidR="00636C7A" w:rsidRPr="006F5136" w:rsidRDefault="00636C7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o bancă trebuie să utilizeze numai acele evaluări de credit realizate de o ECAI care iau în considerare toate sumele datorate acesteia, atât ca principal, cât și ca dobândă;</w:t>
            </w:r>
          </w:p>
          <w:p w14:paraId="49E76FBA" w14:textId="77777777" w:rsidR="00636C7A" w:rsidRPr="006F5136" w:rsidRDefault="00636C7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4) în cazul în care pentru un element evaluat este disponibilă numai o singură evaluare de credit realizată de o ECAI desemnată, această evaluare de credit se utilizează la determinarea ponderii de risc pentru elementul respectiv;</w:t>
            </w:r>
          </w:p>
          <w:p w14:paraId="4EB616E6" w14:textId="77777777" w:rsidR="00636C7A" w:rsidRPr="006F5136" w:rsidRDefault="00636C7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5) în cazul în care pentru un element evaluat sunt disponibile două evaluări de credit realizate de ECAI-le desemnate și aceste evaluări corespund unor ponderi de risc diferite, se aplică ponderea de risc cea mai înaltă;</w:t>
            </w:r>
          </w:p>
          <w:p w14:paraId="3A9957B6" w14:textId="77777777" w:rsidR="00636C7A" w:rsidRPr="006F5136" w:rsidRDefault="00636C7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6) în cazul în care pentru un element evaluat sunt disponibile mai mult de două evaluări de credit realizate de ECAI-le desemnate, se iau în considerare acele două evaluări de risc care generează cele mai mici ponderi de risc. În cazul în care cele două cele mai mici ponderi de risc sunt diferite, se aplică cea mai înaltă pondere de risc. În cazul în care cele două cele mai mici ponderi de risc sunt identice, se aplică ponderea de risc respectivă.</w:t>
            </w:r>
          </w:p>
          <w:p w14:paraId="52711732" w14:textId="77777777" w:rsidR="00636C7A" w:rsidRPr="006F5136" w:rsidRDefault="00636C7A" w:rsidP="005E4694">
            <w:pPr>
              <w:pStyle w:val="CM4"/>
              <w:tabs>
                <w:tab w:val="left" w:pos="150"/>
              </w:tabs>
              <w:ind w:left="-36"/>
              <w:rPr>
                <w:rFonts w:ascii="Times New Roman" w:hAnsi="Times New Roman"/>
                <w:sz w:val="18"/>
                <w:szCs w:val="18"/>
                <w:lang w:val="ro-RO" w:eastAsia="ru-RU"/>
              </w:rPr>
            </w:pPr>
          </w:p>
        </w:tc>
        <w:tc>
          <w:tcPr>
            <w:tcW w:w="503" w:type="pct"/>
          </w:tcPr>
          <w:p w14:paraId="5793C655" w14:textId="413DF583" w:rsidR="00636C7A" w:rsidRPr="006F5136" w:rsidRDefault="00636C7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0DB45E0B" w14:textId="77777777" w:rsidR="00636C7A" w:rsidRPr="006F5136" w:rsidRDefault="00636C7A"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p w14:paraId="5B2C9DAB" w14:textId="77777777" w:rsidR="00636C7A" w:rsidRPr="006F5136" w:rsidRDefault="00636C7A" w:rsidP="005E4694">
            <w:pPr>
              <w:spacing w:after="0" w:line="240" w:lineRule="auto"/>
              <w:jc w:val="both"/>
              <w:rPr>
                <w:rFonts w:ascii="Times New Roman" w:hAnsi="Times New Roman" w:cs="Times New Roman"/>
                <w:sz w:val="18"/>
                <w:szCs w:val="18"/>
                <w:lang w:val="ro-RO"/>
              </w:rPr>
            </w:pPr>
          </w:p>
        </w:tc>
      </w:tr>
      <w:tr w:rsidR="006B3BC1" w:rsidRPr="006F5136" w14:paraId="62BF4DE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45088B5" w14:textId="77777777" w:rsidR="006B3BC1" w:rsidRPr="006F5136" w:rsidRDefault="006B3BC1" w:rsidP="006B3BC1">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▼M17</w:t>
            </w:r>
          </w:p>
          <w:p w14:paraId="309975FA" w14:textId="77777777" w:rsidR="006B3BC1" w:rsidRPr="006F5136" w:rsidRDefault="006B3BC1" w:rsidP="006B3BC1">
            <w:pPr>
              <w:pStyle w:val="CM4"/>
              <w:tabs>
                <w:tab w:val="left" w:pos="150"/>
              </w:tabs>
              <w:ind w:left="-43"/>
              <w:jc w:val="both"/>
              <w:rPr>
                <w:rFonts w:ascii="Times New Roman" w:hAnsi="Times New Roman"/>
                <w:sz w:val="18"/>
                <w:szCs w:val="18"/>
                <w:lang w:val="ro-RO" w:eastAsia="ru-RU"/>
              </w:rPr>
            </w:pPr>
          </w:p>
          <w:p w14:paraId="2A248D57" w14:textId="77777777" w:rsidR="006B3BC1" w:rsidRPr="006F5136" w:rsidRDefault="006B3BC1" w:rsidP="006B3BC1">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 xml:space="preserve">(g) în cazul expunerilor față de instituții, o instituție nu utilizează o evaluare de credit efectuată de o ECAI care include ipoteze privind existența unui sprijin public implicit, cu excepția cazului în care respectiva evaluare de credit efectuată de o ECAI se referă la o instituție deținută sau înființată și finanțată de administrații centrale, administrații regionale sau autorități locale. </w:t>
            </w:r>
          </w:p>
          <w:p w14:paraId="1F92BBDD" w14:textId="4E944B96" w:rsidR="006B3BC1" w:rsidRPr="006F5136" w:rsidRDefault="006B3BC1" w:rsidP="006B3BC1">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▼M17</w:t>
            </w:r>
          </w:p>
          <w:p w14:paraId="5B3DDB23" w14:textId="77777777" w:rsidR="006B3BC1" w:rsidRPr="006F5136" w:rsidRDefault="006B3BC1" w:rsidP="006B3BC1">
            <w:pPr>
              <w:pStyle w:val="CM4"/>
              <w:tabs>
                <w:tab w:val="left" w:pos="150"/>
              </w:tabs>
              <w:ind w:left="-43"/>
              <w:jc w:val="both"/>
              <w:rPr>
                <w:rFonts w:ascii="Times New Roman" w:hAnsi="Times New Roman"/>
                <w:sz w:val="18"/>
                <w:szCs w:val="18"/>
                <w:lang w:val="ro-RO" w:eastAsia="ru-RU"/>
              </w:rPr>
            </w:pPr>
          </w:p>
          <w:p w14:paraId="6F0CAB5F" w14:textId="77777777" w:rsidR="006B3BC1" w:rsidRPr="006F5136" w:rsidRDefault="006B3BC1" w:rsidP="006B3BC1">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În sensul literei (g) de la primul paragraf, în cazul instituțiilor, altele decât instituțiile deținute sau înființate și finanțate de administrații centrale, administrații regionale sau autorități locale, pentru care sunt disponibile numai evaluări de credit efectuate de o ECAI care includ ipoteze privind existența unui sprijin public implicit, expunerile față de astfel de instituții sunt tratate ca expuneri față de instituții care nu beneficiază de rating, în conformitate cu articolul 121.</w:t>
            </w:r>
          </w:p>
          <w:p w14:paraId="77F92D6A" w14:textId="54175DA9" w:rsidR="006B3BC1" w:rsidRPr="006F5136" w:rsidRDefault="006B3BC1" w:rsidP="006B3BC1">
            <w:pPr>
              <w:pStyle w:val="CM4"/>
              <w:tabs>
                <w:tab w:val="left" w:pos="150"/>
              </w:tabs>
              <w:ind w:left="-43"/>
              <w:jc w:val="both"/>
              <w:rPr>
                <w:rFonts w:ascii="Times New Roman" w:hAnsi="Times New Roman"/>
                <w:sz w:val="18"/>
                <w:szCs w:val="18"/>
                <w:lang w:val="ro-RO" w:eastAsia="ru-RU"/>
              </w:rPr>
            </w:pPr>
          </w:p>
        </w:tc>
        <w:tc>
          <w:tcPr>
            <w:tcW w:w="1661" w:type="pct"/>
            <w:shd w:val="clear" w:color="auto" w:fill="auto"/>
          </w:tcPr>
          <w:p w14:paraId="7AF437D8" w14:textId="44AB16A7" w:rsidR="006B3BC1" w:rsidRPr="006F5136" w:rsidRDefault="006B3BC1" w:rsidP="006B3BC1">
            <w:pPr>
              <w:pStyle w:val="CM4"/>
              <w:tabs>
                <w:tab w:val="left" w:pos="150"/>
              </w:tabs>
              <w:ind w:left="-36"/>
              <w:rPr>
                <w:rFonts w:ascii="Times New Roman" w:hAnsi="Times New Roman"/>
                <w:i/>
                <w:iCs/>
                <w:sz w:val="18"/>
                <w:szCs w:val="18"/>
                <w:lang w:val="ro-RO" w:eastAsia="ro-MD"/>
              </w:rPr>
            </w:pPr>
            <w:r w:rsidRPr="006F5136">
              <w:rPr>
                <w:rFonts w:ascii="Times New Roman" w:hAnsi="Times New Roman"/>
                <w:sz w:val="18"/>
                <w:szCs w:val="18"/>
                <w:lang w:val="ro-RO" w:eastAsia="ro-MD"/>
              </w:rPr>
              <w:t>7)</w:t>
            </w:r>
            <w:r w:rsidRPr="006F5136">
              <w:rPr>
                <w:rFonts w:ascii="Times New Roman" w:hAnsi="Times New Roman"/>
                <w:sz w:val="18"/>
                <w:szCs w:val="18"/>
              </w:rPr>
              <w:t xml:space="preserve"> </w:t>
            </w:r>
            <w:r w:rsidRPr="006F5136">
              <w:rPr>
                <w:rFonts w:ascii="Times New Roman" w:hAnsi="Times New Roman"/>
                <w:sz w:val="18"/>
                <w:szCs w:val="18"/>
                <w:lang w:val="ro-RO" w:eastAsia="ro-MD"/>
              </w:rPr>
              <w:t xml:space="preserve">în cazul expunerilor față de bănci, o bancă nu utilizează o evaluare de credit efectuată de o ECAI care include ipoteze privind existența unui sprijin public implicit, cu excepția cazului în care respectiva evaluare de credit efectuată de o ECAI se referă la o bancă deținută sau înființată și finanțată de administrații centrale, administrații regionale sau autorități locale. În acest sens, în cazul băncilor, altele decât cele deținute sau înființate și finanțate de administrații centrale, administrații regionale sau autorități locale, pentru care sunt disponibile numai evaluări de credit efectuate de o ECAI care includ ipoteze privind existența unui sprijin public implicit, expunerile față de astfel de bănci sunt tratate ca expuneri față de bănci care nu beneficiază de rating, în conformitate cu punctele 55-58. </w:t>
            </w:r>
          </w:p>
          <w:p w14:paraId="2D502921" w14:textId="110299CB" w:rsidR="006B3BC1" w:rsidRPr="006F5136" w:rsidRDefault="006B3BC1" w:rsidP="006B3BC1">
            <w:pPr>
              <w:spacing w:after="0" w:line="240" w:lineRule="auto"/>
              <w:rPr>
                <w:rFonts w:ascii="Times New Roman" w:hAnsi="Times New Roman" w:cs="Times New Roman"/>
                <w:i/>
                <w:iCs/>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7746A6EF" w14:textId="65757C1C"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6C7F17C2" w14:textId="67273887"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3887ABB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10E28A1B" w14:textId="77777777" w:rsidR="006B3BC1" w:rsidRPr="006F5136" w:rsidRDefault="006B3BC1" w:rsidP="006B3BC1">
            <w:pPr>
              <w:pStyle w:val="CM4"/>
              <w:tabs>
                <w:tab w:val="left" w:pos="150"/>
              </w:tabs>
              <w:ind w:left="-43"/>
              <w:jc w:val="both"/>
              <w:rPr>
                <w:rFonts w:ascii="Times New Roman" w:hAnsi="Times New Roman"/>
                <w:sz w:val="18"/>
                <w:szCs w:val="18"/>
                <w:lang w:val="ro-RO" w:eastAsia="ru-RU"/>
              </w:rPr>
            </w:pPr>
          </w:p>
          <w:p w14:paraId="21658E08" w14:textId="5DD8E182" w:rsidR="006B3BC1" w:rsidRPr="006F5136" w:rsidRDefault="006B3BC1" w:rsidP="006B3BC1">
            <w:pPr>
              <w:pStyle w:val="CM4"/>
              <w:tabs>
                <w:tab w:val="left" w:pos="150"/>
              </w:tabs>
              <w:ind w:left="-43"/>
              <w:jc w:val="both"/>
              <w:rPr>
                <w:rFonts w:ascii="Times New Roman" w:hAnsi="Times New Roman"/>
                <w:sz w:val="18"/>
                <w:szCs w:val="18"/>
                <w:lang w:val="ro-RO" w:eastAsia="ru-RU"/>
              </w:rPr>
            </w:pPr>
            <w:r w:rsidRPr="006F5136">
              <w:rPr>
                <w:rFonts w:ascii="Times New Roman" w:hAnsi="Times New Roman"/>
                <w:sz w:val="18"/>
                <w:szCs w:val="18"/>
                <w:lang w:val="ro-RO" w:eastAsia="ru-RU"/>
              </w:rPr>
              <w:t>„Sprijin public implicit” înseamnă că administrația centrală, administrația regională sau autoritatea locală ar acționa pentru a evita înregistrarea de pierderi de către creditorii instituției în cazul în care instituția ar intra în stare de nerambursare sau în dificultate.</w:t>
            </w:r>
          </w:p>
        </w:tc>
        <w:tc>
          <w:tcPr>
            <w:tcW w:w="1661" w:type="pct"/>
            <w:shd w:val="clear" w:color="auto" w:fill="auto"/>
          </w:tcPr>
          <w:p w14:paraId="7290D2BE" w14:textId="09D67B1B" w:rsidR="006B3BC1" w:rsidRPr="006F5136" w:rsidRDefault="006B3BC1" w:rsidP="006B3BC1">
            <w:pPr>
              <w:pStyle w:val="CM4"/>
              <w:tabs>
                <w:tab w:val="left" w:pos="150"/>
              </w:tabs>
              <w:ind w:left="-36"/>
              <w:rPr>
                <w:rFonts w:ascii="Times New Roman" w:hAnsi="Times New Roman"/>
                <w:sz w:val="18"/>
                <w:szCs w:val="18"/>
                <w:lang w:val="ro-RO" w:eastAsia="ro-MD"/>
              </w:rPr>
            </w:pPr>
            <w:r w:rsidRPr="006F5136">
              <w:rPr>
                <w:rFonts w:ascii="Times New Roman" w:hAnsi="Times New Roman"/>
                <w:sz w:val="18"/>
                <w:szCs w:val="18"/>
                <w:lang w:val="ro-RO" w:eastAsia="ro-MD"/>
              </w:rPr>
              <w:t>În sensul prezentului subpunct, „sprijin public implicit” înseamnă că administrația centrală, administrația regională sau autoritatea locală ar acționa pentru a evita înregistrarea de pierderi de către creditorii băncii în cazul în care banca ar intra în stare de nerambursare sau în dificultate.</w:t>
            </w:r>
          </w:p>
          <w:p w14:paraId="50067D35" w14:textId="38F1A734" w:rsidR="006B3BC1" w:rsidRPr="006F5136" w:rsidRDefault="006B3BC1" w:rsidP="006B3BC1">
            <w:pPr>
              <w:pStyle w:val="CM4"/>
              <w:tabs>
                <w:tab w:val="left" w:pos="150"/>
              </w:tabs>
              <w:ind w:left="-36"/>
              <w:rPr>
                <w:rFonts w:ascii="Times New Roman" w:hAnsi="Times New Roman"/>
                <w:sz w:val="18"/>
                <w:szCs w:val="18"/>
                <w:lang w:val="ro-RO" w:eastAsia="ru-RU"/>
              </w:rPr>
            </w:pPr>
            <w:r w:rsidRPr="006F5136">
              <w:rPr>
                <w:rFonts w:ascii="Times New Roman" w:hAnsi="Times New Roman"/>
                <w:i/>
                <w:iCs/>
                <w:sz w:val="18"/>
                <w:szCs w:val="18"/>
                <w:lang w:val="ro-RO" w:eastAsia="ro-MD"/>
              </w:rPr>
              <w:t>Proiectul HCE al BNM privind modificarea Regulamentului nr.111/2018</w:t>
            </w:r>
          </w:p>
        </w:tc>
        <w:tc>
          <w:tcPr>
            <w:tcW w:w="503" w:type="pct"/>
          </w:tcPr>
          <w:p w14:paraId="23FE2BDA" w14:textId="08E39394"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68E51C9D" w14:textId="1DA13B48"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0BDE45F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6FAF7D9" w14:textId="77777777" w:rsidR="0027576A" w:rsidRPr="006F5136" w:rsidRDefault="0027576A" w:rsidP="005E4694">
            <w:pPr>
              <w:pStyle w:val="CM4"/>
              <w:tabs>
                <w:tab w:val="left" w:pos="150"/>
              </w:tabs>
              <w:ind w:left="-43"/>
              <w:jc w:val="both"/>
              <w:rPr>
                <w:rFonts w:ascii="Times New Roman" w:hAnsi="Times New Roman"/>
                <w:b/>
                <w:iCs/>
                <w:sz w:val="18"/>
                <w:szCs w:val="18"/>
                <w:lang w:val="ro-RO" w:eastAsia="ru-RU"/>
              </w:rPr>
            </w:pPr>
            <w:r w:rsidRPr="006F5136">
              <w:rPr>
                <w:rFonts w:ascii="Times New Roman" w:hAnsi="Times New Roman"/>
                <w:i/>
                <w:iCs/>
                <w:sz w:val="18"/>
                <w:szCs w:val="18"/>
                <w:lang w:val="ro-RO" w:eastAsia="ru-RU"/>
              </w:rPr>
              <w:t>Articolul 139</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Evaluări de credit pentru un emitent sau o emisiune</w:t>
            </w:r>
          </w:p>
          <w:p w14:paraId="7503353E"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 Atunci când există o evaluare de credit pentru un anumit program sau facilitate de emisiune căreia îi aparține elementul ce reprezintă expunerea, respectiva evaluare de credit se utilizează pentru a determina ponderea de risc aplicabilă elementului respectiv.</w:t>
            </w:r>
          </w:p>
        </w:tc>
        <w:tc>
          <w:tcPr>
            <w:tcW w:w="1661" w:type="pct"/>
            <w:shd w:val="clear" w:color="auto" w:fill="auto"/>
          </w:tcPr>
          <w:p w14:paraId="07C3E8D7" w14:textId="77777777" w:rsidR="0027576A" w:rsidRPr="006F5136" w:rsidRDefault="0027576A" w:rsidP="005E4694">
            <w:pPr>
              <w:pStyle w:val="CM4"/>
              <w:tabs>
                <w:tab w:val="left" w:pos="150"/>
              </w:tabs>
              <w:ind w:left="-36"/>
              <w:rPr>
                <w:rFonts w:ascii="Times New Roman" w:hAnsi="Times New Roman"/>
                <w:b/>
                <w:bCs/>
                <w:sz w:val="18"/>
                <w:szCs w:val="18"/>
                <w:lang w:val="ro-RO" w:eastAsia="ru-RU"/>
              </w:rPr>
            </w:pPr>
            <w:r w:rsidRPr="006F5136">
              <w:rPr>
                <w:rFonts w:ascii="Times New Roman" w:hAnsi="Times New Roman"/>
                <w:sz w:val="18"/>
                <w:szCs w:val="18"/>
                <w:lang w:val="ro-RO" w:eastAsia="ru-RU"/>
              </w:rPr>
              <w:t xml:space="preserve">Secțiunea a 2-a. </w:t>
            </w:r>
            <w:r w:rsidRPr="006F5136">
              <w:rPr>
                <w:rFonts w:ascii="Times New Roman" w:hAnsi="Times New Roman"/>
                <w:b/>
                <w:bCs/>
                <w:sz w:val="18"/>
                <w:szCs w:val="18"/>
                <w:lang w:val="ro-RO" w:eastAsia="ru-RU"/>
              </w:rPr>
              <w:t xml:space="preserve">Evaluări de credit pentru un emitent sau o emisiune </w:t>
            </w:r>
          </w:p>
          <w:p w14:paraId="01C82653" w14:textId="3A547C93" w:rsidR="0027576A" w:rsidRPr="006F5136" w:rsidRDefault="007F7048"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b/>
                <w:bCs/>
                <w:sz w:val="18"/>
                <w:szCs w:val="18"/>
                <w:lang w:val="ro-RO" w:eastAsia="ro-MD"/>
              </w:rPr>
              <w:t>109.</w:t>
            </w:r>
            <w:r w:rsidRPr="006F5136">
              <w:rPr>
                <w:rFonts w:ascii="Times New Roman" w:hAnsi="Times New Roman"/>
                <w:sz w:val="18"/>
                <w:szCs w:val="18"/>
                <w:lang w:val="ro-RO" w:eastAsia="ro-MD"/>
              </w:rPr>
              <w:t xml:space="preserve"> În cazul în care există o evaluare de credit pentru un anumit program sau facilitate de emisiune căreia îi aparține elementul ce reprezintă expunerea, respectiva evaluare de credit se utilizează pentru a determina ponderea de risc aplicabilă elementului respectiv</w:t>
            </w:r>
          </w:p>
        </w:tc>
        <w:tc>
          <w:tcPr>
            <w:tcW w:w="503" w:type="pct"/>
          </w:tcPr>
          <w:p w14:paraId="7672E3B0"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3095D738" w14:textId="761BB0A4"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71F0527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3BAC2A81"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 În cazul în care nu există o evaluare de credit aplicabilă în mod direct pentru un anumit element, însă există o evaluare de credit pentru un anumit program sau facilitate de emisiune căreia nu îi aparține elementul ce reprezintă expunerea sau există o evaluare generală de credit pentru emitent, atunci respectiva evaluare de credit se utilizează în oricare dintre cazurile următoare:</w:t>
            </w:r>
          </w:p>
          <w:p w14:paraId="5F6A1364" w14:textId="77777777" w:rsidR="00DB19C7" w:rsidRPr="006F5136" w:rsidRDefault="00DB19C7"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▼M17</w:t>
            </w:r>
          </w:p>
          <w:p w14:paraId="34DFEC1F" w14:textId="3523BA88" w:rsidR="00DB19C7" w:rsidRPr="006F5136" w:rsidRDefault="00DB19C7"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evaluarea de credit generează o pondere de risc mai ridicată decât ar fi cazul dacă expunerea ar fi tratată ca o expunere care nu beneficiază de rating, iar expunerea în cauză:</w:t>
            </w:r>
          </w:p>
          <w:p w14:paraId="6F6DE0E2" w14:textId="36B7B951" w:rsidR="00DB19C7" w:rsidRPr="006F5136" w:rsidRDefault="00DB19C7"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 nu este o expunere provenind din finanțări specializate;</w:t>
            </w:r>
          </w:p>
          <w:p w14:paraId="1D194B1C" w14:textId="414D1DF6" w:rsidR="00DB19C7" w:rsidRPr="006F5136" w:rsidRDefault="00DB19C7"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(ii) este de rang egal sau inferior, în toate privințele, față de respectivul program sau respectiva facilitate de emisiune sau față de expunerile cu rang prioritar negarantate ale emitentului respectiv, după caz;</w:t>
            </w:r>
          </w:p>
          <w:p w14:paraId="787165CF" w14:textId="46832F6C" w:rsidR="00DB19C7" w:rsidRPr="006F5136" w:rsidRDefault="00DB19C7"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evaluarea de credit generează o pondere de risc mai redusă decât ar fi cazul dacă expunerea ar fi tratată ca o expunere care nu beneficiază de rating, iar expunerea în cauză:</w:t>
            </w:r>
          </w:p>
          <w:p w14:paraId="60A8026C" w14:textId="31BF1FE5" w:rsidR="00DB19C7" w:rsidRPr="006F5136" w:rsidRDefault="00DB19C7"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 nu este o expunere provenind din finanțări specializate;</w:t>
            </w:r>
          </w:p>
          <w:p w14:paraId="665B87C4" w14:textId="0C376FFB" w:rsidR="0027576A" w:rsidRPr="006F5136" w:rsidRDefault="00DB19C7"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(ii) este de rang egal sau superior, în toate privințele, față de respectivul program sau respectiva facilitate de emisiune sau față de expunerile cu rang prioritar negarantate ale emitentului respectiv, după caz.</w:t>
            </w:r>
          </w:p>
          <w:p w14:paraId="607469E1"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În toate celelalte cazuri, expunerea trebuie să fie tratată ca o expunere care nu beneficiază de rating.</w:t>
            </w:r>
          </w:p>
        </w:tc>
        <w:tc>
          <w:tcPr>
            <w:tcW w:w="1661" w:type="pct"/>
            <w:shd w:val="clear" w:color="auto" w:fill="auto"/>
          </w:tcPr>
          <w:p w14:paraId="11808A4C" w14:textId="77777777" w:rsidR="007F7048" w:rsidRPr="006F5136" w:rsidRDefault="007F7048"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110.</w:t>
            </w:r>
            <w:r w:rsidRPr="006F5136">
              <w:rPr>
                <w:rFonts w:ascii="Times New Roman" w:eastAsia="Times New Roman" w:hAnsi="Times New Roman" w:cs="Times New Roman"/>
                <w:sz w:val="18"/>
                <w:szCs w:val="18"/>
                <w:lang w:val="ro-RO" w:eastAsia="ro-MD"/>
              </w:rPr>
              <w:t xml:space="preserve"> În cazul în care nu există o evaluare de credit aplicabilă în mod direct pentru un anumit element, însă există o evaluare de credit pentru un anumit program sau facilitate de emisiune căreia nu îi aparține elementul ce reprezintă expunerea sau există o evaluare generală de credit pentru emitent, atunci respectiva evaluare de credit se utilizează în oricare dintre următoarele cazuri:</w:t>
            </w:r>
          </w:p>
          <w:p w14:paraId="0B4650EA" w14:textId="77777777" w:rsidR="007F7048" w:rsidRPr="006F5136" w:rsidRDefault="007F7048"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xml:space="preserve">1) această evaluare generează o pondere de risc mai ridicată decât ar fi cazul dacă expunerea ar fi tratată ca o expunere care nu beneficiază de rating, iar expunerea în cauză: </w:t>
            </w:r>
          </w:p>
          <w:p w14:paraId="239AE98A" w14:textId="77777777" w:rsidR="007F7048" w:rsidRPr="006F5136" w:rsidRDefault="007F7048"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nu este o expunere provenind din finanțări specializate;</w:t>
            </w:r>
          </w:p>
          <w:p w14:paraId="08FE2662" w14:textId="77777777" w:rsidR="007F7048" w:rsidRPr="006F5136" w:rsidRDefault="007F7048"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b) este de rang egal sau inferior, în toate privințele, față de respectivul program sau facilitate de emisiune sau față de expunerile negarantate cu rang prioritar ale acelui emitent, după caz;</w:t>
            </w:r>
          </w:p>
          <w:p w14:paraId="19132983" w14:textId="77777777" w:rsidR="007F7048" w:rsidRPr="006F5136" w:rsidRDefault="007F7048"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xml:space="preserve">2) această evaluare generează o pondere de risc mai redusă decât ar fi cazul dacă expunerea ar fi tratată ca o expunere care nu beneficiază de rating, iar i expunerea în cauză </w:t>
            </w:r>
          </w:p>
          <w:p w14:paraId="0F2C4B01" w14:textId="77777777" w:rsidR="007F7048" w:rsidRPr="006F5136" w:rsidRDefault="007F7048"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nu este o expunere provenind din finanțări specializate;</w:t>
            </w:r>
          </w:p>
          <w:p w14:paraId="0FE5924C" w14:textId="77777777" w:rsidR="007F7048" w:rsidRPr="006F5136" w:rsidRDefault="007F7048" w:rsidP="005E4694">
            <w:pPr>
              <w:pStyle w:val="CM4"/>
              <w:tabs>
                <w:tab w:val="left" w:pos="150"/>
              </w:tabs>
              <w:ind w:left="-36"/>
              <w:rPr>
                <w:rFonts w:ascii="Times New Roman" w:hAnsi="Times New Roman"/>
                <w:sz w:val="18"/>
                <w:szCs w:val="18"/>
                <w:lang w:val="ro-RO" w:eastAsia="ro-MD"/>
              </w:rPr>
            </w:pPr>
            <w:r w:rsidRPr="006F5136">
              <w:rPr>
                <w:rFonts w:ascii="Times New Roman" w:hAnsi="Times New Roman"/>
                <w:sz w:val="18"/>
                <w:szCs w:val="18"/>
                <w:lang w:val="ro-RO" w:eastAsia="ro-MD"/>
              </w:rPr>
              <w:t>b) este de rang egal sau superior, în toate privințele, față de respectivul program sau facilitate de emisiune sau față de expunerile negarantate cu rang prioritar ale acelui emitent, după caz;</w:t>
            </w:r>
          </w:p>
          <w:p w14:paraId="43BAB698" w14:textId="66C43301"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În toate celelalte cazuri, expunerea trebuie să fie tratată ca o expunere care nu beneficiază de rating.</w:t>
            </w:r>
          </w:p>
        </w:tc>
        <w:tc>
          <w:tcPr>
            <w:tcW w:w="503" w:type="pct"/>
          </w:tcPr>
          <w:p w14:paraId="6CFBB59D"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0F73446B" w14:textId="06DD922A"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7021B09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77555E52"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 Alineatele (1) și (2) nu aduc atingere aplicării articolului 129.</w:t>
            </w:r>
          </w:p>
        </w:tc>
        <w:tc>
          <w:tcPr>
            <w:tcW w:w="1661" w:type="pct"/>
            <w:shd w:val="clear" w:color="auto" w:fill="auto"/>
          </w:tcPr>
          <w:p w14:paraId="1037A2EB"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4171C9DE" w14:textId="21085469"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Norme UE netranspuse</w:t>
            </w:r>
          </w:p>
        </w:tc>
        <w:tc>
          <w:tcPr>
            <w:tcW w:w="912" w:type="pct"/>
          </w:tcPr>
          <w:p w14:paraId="455A21D7" w14:textId="4E18F139" w:rsidR="0027576A" w:rsidRPr="006F5136" w:rsidRDefault="0027576A" w:rsidP="005E4694">
            <w:pPr>
              <w:spacing w:after="0" w:line="240" w:lineRule="auto"/>
              <w:jc w:val="both"/>
              <w:rPr>
                <w:rFonts w:ascii="Times New Roman" w:hAnsi="Times New Roman" w:cs="Times New Roman"/>
                <w:sz w:val="18"/>
                <w:szCs w:val="18"/>
                <w:lang w:val="ro-RO"/>
              </w:rPr>
            </w:pPr>
          </w:p>
        </w:tc>
      </w:tr>
      <w:tr w:rsidR="0027576A" w:rsidRPr="006F5136" w14:paraId="103BAA0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6A16BED"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 Evaluările de credit pentru emitenții din cadrul unui grup nu pot fi utilizate ca evaluări de credit pentru alt emitent din cadrul aceluiași grup.</w:t>
            </w:r>
          </w:p>
        </w:tc>
        <w:tc>
          <w:tcPr>
            <w:tcW w:w="1661" w:type="pct"/>
            <w:shd w:val="clear" w:color="auto" w:fill="auto"/>
          </w:tcPr>
          <w:p w14:paraId="7E721EAF" w14:textId="28165CF0"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b/>
                <w:bCs/>
                <w:sz w:val="18"/>
                <w:szCs w:val="18"/>
                <w:lang w:val="ro-RO" w:eastAsia="ru-RU"/>
              </w:rPr>
              <w:t>11</w:t>
            </w:r>
            <w:r w:rsidR="0043299C" w:rsidRPr="006F5136">
              <w:rPr>
                <w:rFonts w:ascii="Times New Roman" w:hAnsi="Times New Roman"/>
                <w:b/>
                <w:bCs/>
                <w:sz w:val="18"/>
                <w:szCs w:val="18"/>
                <w:lang w:val="ro-RO" w:eastAsia="ru-RU"/>
              </w:rPr>
              <w:t>1</w:t>
            </w:r>
            <w:r w:rsidRPr="006F5136">
              <w:rPr>
                <w:rFonts w:ascii="Times New Roman" w:hAnsi="Times New Roman"/>
                <w:b/>
                <w:bCs/>
                <w:sz w:val="18"/>
                <w:szCs w:val="18"/>
                <w:lang w:val="ro-RO" w:eastAsia="ru-RU"/>
              </w:rPr>
              <w:t>.</w:t>
            </w:r>
            <w:r w:rsidRPr="006F5136">
              <w:rPr>
                <w:rFonts w:ascii="Times New Roman" w:hAnsi="Times New Roman"/>
                <w:sz w:val="18"/>
                <w:szCs w:val="18"/>
                <w:lang w:val="ro-RO" w:eastAsia="ru-RU"/>
              </w:rPr>
              <w:t xml:space="preserve"> Evaluările de credit pentru emitenții din cadrul unui grup de societăți nu pot fi utilizate ca evaluare de credit pentru alt emitent din cadrul aceluiași grup.</w:t>
            </w:r>
          </w:p>
        </w:tc>
        <w:tc>
          <w:tcPr>
            <w:tcW w:w="503" w:type="pct"/>
          </w:tcPr>
          <w:p w14:paraId="7B10259E"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35801CF4" w14:textId="2AB87822"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41375E9E"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0D2E4CB" w14:textId="77777777" w:rsidR="0027576A" w:rsidRPr="006F5136" w:rsidRDefault="0027576A" w:rsidP="005E4694">
            <w:pPr>
              <w:pStyle w:val="CM4"/>
              <w:tabs>
                <w:tab w:val="left" w:pos="150"/>
              </w:tabs>
              <w:ind w:left="-43"/>
              <w:jc w:val="both"/>
              <w:rPr>
                <w:rFonts w:ascii="Times New Roman" w:hAnsi="Times New Roman"/>
                <w:b/>
                <w:iCs/>
                <w:sz w:val="18"/>
                <w:szCs w:val="18"/>
                <w:lang w:val="ro-RO" w:eastAsia="ru-RU"/>
              </w:rPr>
            </w:pPr>
            <w:r w:rsidRPr="006F5136">
              <w:rPr>
                <w:rFonts w:ascii="Times New Roman" w:hAnsi="Times New Roman"/>
                <w:i/>
                <w:iCs/>
                <w:sz w:val="18"/>
                <w:szCs w:val="18"/>
                <w:lang w:val="ro-RO" w:eastAsia="ru-RU"/>
              </w:rPr>
              <w:t>Articolul 140</w:t>
            </w:r>
            <w:r w:rsidRPr="006F5136">
              <w:rPr>
                <w:rFonts w:ascii="Times New Roman" w:hAnsi="Times New Roman"/>
                <w:iCs/>
                <w:sz w:val="18"/>
                <w:szCs w:val="18"/>
                <w:lang w:val="ro-RO" w:eastAsia="ru-RU"/>
              </w:rPr>
              <w:t xml:space="preserve"> </w:t>
            </w:r>
            <w:r w:rsidRPr="006F5136">
              <w:rPr>
                <w:rFonts w:ascii="Times New Roman" w:hAnsi="Times New Roman"/>
                <w:b/>
                <w:iCs/>
                <w:sz w:val="18"/>
                <w:szCs w:val="18"/>
                <w:lang w:val="ro-RO" w:eastAsia="ru-RU"/>
              </w:rPr>
              <w:t>Evaluări de credit pe termen lung și pe termen scurt</w:t>
            </w:r>
          </w:p>
          <w:p w14:paraId="45A019E3"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 Evaluările de credit pe termen scurt pot fi utilizate doar pentru activele și elementele extrabilanțiere pe termen scurt care reprezintă expuneri față de instituții și societăți.</w:t>
            </w:r>
          </w:p>
        </w:tc>
        <w:tc>
          <w:tcPr>
            <w:tcW w:w="1661" w:type="pct"/>
            <w:shd w:val="clear" w:color="auto" w:fill="auto"/>
          </w:tcPr>
          <w:p w14:paraId="71700935" w14:textId="77777777" w:rsidR="0027576A" w:rsidRPr="006F5136" w:rsidRDefault="0027576A" w:rsidP="005E4694">
            <w:pPr>
              <w:pStyle w:val="CM4"/>
              <w:tabs>
                <w:tab w:val="left" w:pos="150"/>
              </w:tabs>
              <w:ind w:left="-36"/>
              <w:jc w:val="both"/>
              <w:rPr>
                <w:rFonts w:ascii="Times New Roman" w:hAnsi="Times New Roman"/>
                <w:b/>
                <w:bCs/>
                <w:sz w:val="18"/>
                <w:szCs w:val="18"/>
                <w:lang w:val="ro-RO" w:eastAsia="ru-RU"/>
              </w:rPr>
            </w:pPr>
            <w:r w:rsidRPr="006F5136">
              <w:rPr>
                <w:rFonts w:ascii="Times New Roman" w:hAnsi="Times New Roman"/>
                <w:sz w:val="18"/>
                <w:szCs w:val="18"/>
                <w:lang w:val="ro-RO" w:eastAsia="ru-RU"/>
              </w:rPr>
              <w:t xml:space="preserve">Secțiunea a 3-a. </w:t>
            </w:r>
            <w:r w:rsidRPr="006F5136">
              <w:rPr>
                <w:rFonts w:ascii="Times New Roman" w:hAnsi="Times New Roman"/>
                <w:b/>
                <w:bCs/>
                <w:sz w:val="18"/>
                <w:szCs w:val="18"/>
                <w:lang w:val="ro-RO" w:eastAsia="ru-RU"/>
              </w:rPr>
              <w:t xml:space="preserve">Evaluări de credit pe termen lung și pe termen scurt </w:t>
            </w:r>
          </w:p>
          <w:p w14:paraId="721E2C57" w14:textId="7192879C" w:rsidR="0027576A" w:rsidRPr="006F5136" w:rsidRDefault="0027576A" w:rsidP="005E4694">
            <w:pPr>
              <w:pStyle w:val="CM4"/>
              <w:tabs>
                <w:tab w:val="left" w:pos="150"/>
              </w:tabs>
              <w:ind w:left="-36"/>
              <w:jc w:val="both"/>
              <w:rPr>
                <w:rFonts w:ascii="Times New Roman" w:hAnsi="Times New Roman"/>
                <w:sz w:val="18"/>
                <w:szCs w:val="18"/>
                <w:lang w:val="ro-RO" w:eastAsia="ru-RU"/>
              </w:rPr>
            </w:pPr>
            <w:r w:rsidRPr="006F5136">
              <w:rPr>
                <w:rFonts w:ascii="Times New Roman" w:hAnsi="Times New Roman"/>
                <w:b/>
                <w:bCs/>
                <w:sz w:val="18"/>
                <w:szCs w:val="18"/>
                <w:lang w:val="ro-RO" w:eastAsia="ru-RU"/>
              </w:rPr>
              <w:t>11</w:t>
            </w:r>
            <w:r w:rsidR="00072A3A" w:rsidRPr="006F5136">
              <w:rPr>
                <w:rFonts w:ascii="Times New Roman" w:hAnsi="Times New Roman"/>
                <w:b/>
                <w:bCs/>
                <w:sz w:val="18"/>
                <w:szCs w:val="18"/>
                <w:lang w:val="ro-RO" w:eastAsia="ru-RU"/>
              </w:rPr>
              <w:t>2</w:t>
            </w:r>
            <w:r w:rsidRPr="006F5136">
              <w:rPr>
                <w:rFonts w:ascii="Times New Roman" w:hAnsi="Times New Roman"/>
                <w:b/>
                <w:bCs/>
                <w:sz w:val="18"/>
                <w:szCs w:val="18"/>
                <w:lang w:val="ro-RO" w:eastAsia="ru-RU"/>
              </w:rPr>
              <w:t>.</w:t>
            </w:r>
            <w:r w:rsidRPr="006F5136">
              <w:rPr>
                <w:rFonts w:ascii="Times New Roman" w:hAnsi="Times New Roman"/>
                <w:sz w:val="18"/>
                <w:szCs w:val="18"/>
                <w:lang w:val="ro-RO" w:eastAsia="ru-RU"/>
              </w:rPr>
              <w:t xml:space="preserve"> Evaluările de credit pe termen scurt pot fi utilizate doar pentru activele și elementele extrabilanțiere pe termen scurt care reprezintă expuneri față de bănci și societăți.</w:t>
            </w:r>
          </w:p>
        </w:tc>
        <w:tc>
          <w:tcPr>
            <w:tcW w:w="503" w:type="pct"/>
          </w:tcPr>
          <w:p w14:paraId="0A97E9A3"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00EAD894" w14:textId="5B0DACD6"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260772A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655E3C7A"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 O evaluare de credit pe termen scurt se aplică doar elementului la care se referă evaluarea de credit pe termen scurt și nu se utilizează pentru determinarea ponderilor de risc aplicabile altor elemente, cu excepția situațiilor următoare:</w:t>
            </w:r>
          </w:p>
          <w:p w14:paraId="6B42F400"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în cazul în care o facilitate pe termen scurt, care a fost evaluată, primește o pondere de risc de 150 %, atunci toate expunerile negarantate față de respectivul debitor, care nu au fost evaluate, fie pe termen scurt, fie pe termen lung, primesc, de asemenea, o pondere de risc de 150 %;</w:t>
            </w:r>
          </w:p>
          <w:p w14:paraId="0297A27C"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în cazul în care o facilitate pe termen scurt, care a fost evaluată, primește o pondere de risc de 50 %, atunci nicio expunere pe termen scurt care nu este evaluată nu primește o pondere de risc mai mică de 100 %.</w:t>
            </w:r>
          </w:p>
        </w:tc>
        <w:tc>
          <w:tcPr>
            <w:tcW w:w="1661" w:type="pct"/>
            <w:shd w:val="clear" w:color="auto" w:fill="auto"/>
          </w:tcPr>
          <w:p w14:paraId="71975A37" w14:textId="6D9641FD" w:rsidR="0027576A" w:rsidRPr="006F5136" w:rsidRDefault="0027576A" w:rsidP="005E4694">
            <w:pPr>
              <w:pStyle w:val="CM4"/>
              <w:tabs>
                <w:tab w:val="left" w:pos="150"/>
              </w:tabs>
              <w:ind w:left="-36"/>
              <w:jc w:val="both"/>
              <w:rPr>
                <w:rFonts w:ascii="Times New Roman" w:hAnsi="Times New Roman"/>
                <w:sz w:val="18"/>
                <w:szCs w:val="18"/>
                <w:lang w:val="ro-RO" w:eastAsia="ru-RU"/>
              </w:rPr>
            </w:pPr>
            <w:r w:rsidRPr="006F5136">
              <w:rPr>
                <w:rFonts w:ascii="Times New Roman" w:hAnsi="Times New Roman"/>
                <w:b/>
                <w:bCs/>
                <w:sz w:val="18"/>
                <w:szCs w:val="18"/>
                <w:lang w:val="ro-RO" w:eastAsia="ru-RU"/>
              </w:rPr>
              <w:t>11</w:t>
            </w:r>
            <w:r w:rsidR="00072A3A" w:rsidRPr="006F5136">
              <w:rPr>
                <w:rFonts w:ascii="Times New Roman" w:hAnsi="Times New Roman"/>
                <w:b/>
                <w:bCs/>
                <w:sz w:val="18"/>
                <w:szCs w:val="18"/>
                <w:lang w:val="ro-RO" w:eastAsia="ru-RU"/>
              </w:rPr>
              <w:t>3</w:t>
            </w:r>
            <w:r w:rsidRPr="006F5136">
              <w:rPr>
                <w:rFonts w:ascii="Times New Roman" w:hAnsi="Times New Roman"/>
                <w:b/>
                <w:bCs/>
                <w:sz w:val="18"/>
                <w:szCs w:val="18"/>
                <w:lang w:val="ro-RO" w:eastAsia="ru-RU"/>
              </w:rPr>
              <w:t>.</w:t>
            </w:r>
            <w:r w:rsidRPr="006F5136">
              <w:rPr>
                <w:rFonts w:ascii="Times New Roman" w:hAnsi="Times New Roman"/>
                <w:sz w:val="18"/>
                <w:szCs w:val="18"/>
                <w:lang w:val="ro-RO" w:eastAsia="ru-RU"/>
              </w:rPr>
              <w:t xml:space="preserve"> O evaluare de credit pe termen scurt se aplică doar elementului la care se referă evaluarea de credit pe termen scurt și nu poate fi utilizată pentru determinarea ponderilor de risc aplicabile altor elemente, cu excepția următoarelor situații:</w:t>
            </w:r>
          </w:p>
          <w:p w14:paraId="566CF2F4" w14:textId="77777777" w:rsidR="0027576A" w:rsidRPr="006F5136" w:rsidRDefault="0027576A" w:rsidP="005E4694">
            <w:pPr>
              <w:pStyle w:val="CM4"/>
              <w:tabs>
                <w:tab w:val="left" w:pos="150"/>
              </w:tabs>
              <w:ind w:left="-36"/>
              <w:jc w:val="both"/>
              <w:rPr>
                <w:rFonts w:ascii="Times New Roman" w:hAnsi="Times New Roman"/>
                <w:sz w:val="18"/>
                <w:szCs w:val="18"/>
                <w:lang w:val="ro-RO" w:eastAsia="ru-RU"/>
              </w:rPr>
            </w:pPr>
            <w:r w:rsidRPr="006F5136">
              <w:rPr>
                <w:rFonts w:ascii="Times New Roman" w:hAnsi="Times New Roman"/>
                <w:sz w:val="18"/>
                <w:szCs w:val="18"/>
                <w:lang w:val="ro-RO" w:eastAsia="ru-RU"/>
              </w:rPr>
              <w:t>1) în cazul în care o expunere pe termen scurt, care a fost evaluată, primește o pondere de risc de 150 %, atunci toate expunerile negarantate față de respectivul debitor, care nu au fost evaluate, fie pe termen scurt, fie pe termen lung, primesc, de asemenea, o pondere de risc de 150 %;</w:t>
            </w:r>
          </w:p>
          <w:p w14:paraId="2CB167F6" w14:textId="77777777" w:rsidR="0027576A" w:rsidRPr="006F5136" w:rsidRDefault="0027576A" w:rsidP="005E4694">
            <w:pPr>
              <w:pStyle w:val="CM4"/>
              <w:tabs>
                <w:tab w:val="left" w:pos="150"/>
              </w:tabs>
              <w:ind w:left="-36"/>
              <w:jc w:val="both"/>
              <w:rPr>
                <w:rFonts w:ascii="Times New Roman" w:hAnsi="Times New Roman"/>
                <w:sz w:val="18"/>
                <w:szCs w:val="18"/>
                <w:lang w:val="ro-RO" w:eastAsia="ru-RU"/>
              </w:rPr>
            </w:pPr>
            <w:r w:rsidRPr="006F5136">
              <w:rPr>
                <w:rFonts w:ascii="Times New Roman" w:hAnsi="Times New Roman"/>
                <w:sz w:val="18"/>
                <w:szCs w:val="18"/>
                <w:lang w:val="ro-RO" w:eastAsia="ru-RU"/>
              </w:rPr>
              <w:t>2) în cazul în care o expunere pe termen scurt, care a fost evaluată, primește o pondere de risc de 50 %, atunci celelalte expuneri pe termen scurt neevaluate nu primesc o pondere de risc mai mică de 100 %.</w:t>
            </w:r>
          </w:p>
        </w:tc>
        <w:tc>
          <w:tcPr>
            <w:tcW w:w="503" w:type="pct"/>
          </w:tcPr>
          <w:p w14:paraId="2CEE22BB"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46B73C05" w14:textId="13197940"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0257EE5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58401A64" w14:textId="3B3452AF"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
                <w:iCs/>
                <w:sz w:val="18"/>
                <w:szCs w:val="18"/>
                <w:lang w:val="ro-RO" w:eastAsia="ru-RU"/>
              </w:rPr>
              <w:t>Articolul 141</w:t>
            </w:r>
            <w:r w:rsidRPr="006F5136">
              <w:rPr>
                <w:rFonts w:ascii="Times New Roman" w:hAnsi="Times New Roman"/>
                <w:iCs/>
                <w:sz w:val="18"/>
                <w:szCs w:val="18"/>
                <w:lang w:val="ro-RO" w:eastAsia="ru-RU"/>
              </w:rPr>
              <w:t xml:space="preserve"> </w:t>
            </w:r>
            <w:r w:rsidR="00DB19C7" w:rsidRPr="006F5136">
              <w:rPr>
                <w:rFonts w:ascii="Times New Roman" w:hAnsi="Times New Roman"/>
                <w:b/>
                <w:iCs/>
                <w:sz w:val="18"/>
                <w:szCs w:val="18"/>
                <w:lang w:val="ro-RO" w:eastAsia="ru-RU"/>
              </w:rPr>
              <w:t>Elemente denominate în moneda națională și într-o monedă străină</w:t>
            </w:r>
          </w:p>
          <w:p w14:paraId="14CB0BC5" w14:textId="77777777" w:rsidR="00DB19C7" w:rsidRPr="006F5136" w:rsidRDefault="00DB19C7"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(1)   O evaluare de credit pentru un element denominat în moneda națională a debitorului nu se utilizează la determinarea unei ponderi de risc pentru o expunere față de același debitor care este denominată într-o monedă străină.</w:t>
            </w:r>
          </w:p>
          <w:p w14:paraId="4C8F508B" w14:textId="77777777" w:rsidR="00DB19C7" w:rsidRPr="006F5136" w:rsidRDefault="00DB19C7"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   Prin derogare de la alineatul (1), în cazul în care o expunere rezultă din participarea unei instituții la un împrumut care a fost acordat sau a fost garantat împotriva riscului de convertibilitate și de transfer de către o bancă multilaterală de dezvoltare menționată la articolul 117 alineatul (2), cu statut de creditor preferențial recunoscut pe piață, evaluarea de credit pentru elementul denominat în moneda națională a debitorului poate fi utilizată cu scopul de a obține o pondere de risc pentru o expunere față de același debitor care este denominată într-o monedă străină.</w:t>
            </w:r>
          </w:p>
          <w:p w14:paraId="33245ACA" w14:textId="41446A74" w:rsidR="0027576A" w:rsidRPr="006F5136" w:rsidRDefault="0027576A" w:rsidP="005E4694">
            <w:pPr>
              <w:pStyle w:val="CM4"/>
              <w:tabs>
                <w:tab w:val="left" w:pos="150"/>
              </w:tabs>
              <w:ind w:left="-43"/>
              <w:jc w:val="both"/>
              <w:rPr>
                <w:rFonts w:ascii="Times New Roman" w:hAnsi="Times New Roman"/>
                <w:iCs/>
                <w:sz w:val="18"/>
                <w:szCs w:val="18"/>
                <w:lang w:val="ro-RO" w:eastAsia="ru-RU"/>
              </w:rPr>
            </w:pPr>
          </w:p>
        </w:tc>
        <w:tc>
          <w:tcPr>
            <w:tcW w:w="1661" w:type="pct"/>
            <w:shd w:val="clear" w:color="auto" w:fill="auto"/>
          </w:tcPr>
          <w:p w14:paraId="04450A29" w14:textId="77777777"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sz w:val="18"/>
                <w:szCs w:val="18"/>
                <w:lang w:val="ro-RO" w:eastAsia="ru-RU"/>
              </w:rPr>
              <w:t xml:space="preserve">Secțiunea a 4-a. </w:t>
            </w:r>
            <w:r w:rsidRPr="006F5136">
              <w:rPr>
                <w:rFonts w:ascii="Times New Roman" w:hAnsi="Times New Roman"/>
                <w:b/>
                <w:bCs/>
                <w:sz w:val="18"/>
                <w:szCs w:val="18"/>
                <w:lang w:val="ro-RO" w:eastAsia="ru-RU"/>
              </w:rPr>
              <w:t>Elemente exprimate în moneda națională a debitorului și în monedă străină</w:t>
            </w:r>
          </w:p>
          <w:p w14:paraId="26A59E15" w14:textId="77777777" w:rsidR="00B73EBA" w:rsidRPr="006F5136" w:rsidRDefault="00B73EBA"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114.</w:t>
            </w:r>
            <w:r w:rsidRPr="006F5136">
              <w:rPr>
                <w:rFonts w:ascii="Times New Roman" w:eastAsia="Times New Roman" w:hAnsi="Times New Roman" w:cs="Times New Roman"/>
                <w:sz w:val="18"/>
                <w:szCs w:val="18"/>
                <w:lang w:val="ro-RO" w:eastAsia="ro-MD"/>
              </w:rPr>
              <w:t xml:space="preserve"> O evaluare de credit pentru un element exprimat în moneda națională a debitorului nu poate fi utilizată la determinarea unei ponderi de risc pentru o altă expunere față de același debitor, dar care este exprimată într-o monedă străină.</w:t>
            </w:r>
          </w:p>
          <w:p w14:paraId="42F22B1D" w14:textId="77777777" w:rsidR="0027576A" w:rsidRPr="006F5136" w:rsidRDefault="00B73EB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b/>
                <w:bCs/>
                <w:sz w:val="18"/>
                <w:szCs w:val="18"/>
                <w:lang w:val="ro-RO" w:eastAsia="ru-RU"/>
              </w:rPr>
              <w:t>115</w:t>
            </w:r>
            <w:r w:rsidRPr="006F5136">
              <w:rPr>
                <w:rFonts w:ascii="Times New Roman" w:hAnsi="Times New Roman"/>
                <w:sz w:val="18"/>
                <w:szCs w:val="18"/>
                <w:lang w:val="ro-RO" w:eastAsia="ru-RU"/>
              </w:rPr>
              <w:t>. Fără a aduce atingere prevederilor punctului 114, în cazul în care o expunere exprimată într-o monedă străină rezultă din participarea unei bănci la un împrumut care a fost acordat sau a fost garantat împotriva riscului de convertibilitate și de transfer de către o bancă de dezvoltare multilaterală, al cărei statut de creditor preferat este recunoscut de piață, în scopul ponderării la risc poate fi utilizată cu scopul de a obține o pondere de risc pentru o expunere față de același debitor care este denominată într-o monedă străină.</w:t>
            </w:r>
          </w:p>
          <w:p w14:paraId="037DF880" w14:textId="7D71FE90" w:rsidR="00B73EBA" w:rsidRPr="006F5136" w:rsidRDefault="00B6105E" w:rsidP="005E4694">
            <w:pPr>
              <w:spacing w:after="0" w:line="240" w:lineRule="auto"/>
              <w:rPr>
                <w:rFonts w:ascii="Times New Roman" w:hAnsi="Times New Roman" w:cs="Times New Roman"/>
                <w:i/>
                <w:iCs/>
                <w:sz w:val="18"/>
                <w:szCs w:val="18"/>
                <w:lang w:val="ro-RO" w:eastAsia="ru-RU"/>
              </w:rPr>
            </w:pPr>
            <w:r w:rsidRPr="006F5136">
              <w:rPr>
                <w:rFonts w:ascii="Times New Roman" w:hAnsi="Times New Roman" w:cs="Times New Roman"/>
                <w:i/>
                <w:iCs/>
                <w:sz w:val="18"/>
                <w:szCs w:val="18"/>
                <w:lang w:val="ro-RO" w:eastAsia="ru-RU"/>
              </w:rPr>
              <w:t xml:space="preserve">Pct.115 </w:t>
            </w:r>
            <w:r w:rsidR="00B73EBA" w:rsidRPr="006F5136">
              <w:rPr>
                <w:rFonts w:ascii="Times New Roman" w:hAnsi="Times New Roman" w:cs="Times New Roman"/>
                <w:i/>
                <w:iCs/>
                <w:sz w:val="18"/>
                <w:szCs w:val="18"/>
                <w:lang w:val="ro-RO" w:eastAsia="ru-RU"/>
              </w:rPr>
              <w:t>Modificat prin Proiectul HCE al BNM privind modificarea Regulamentului nr.111/2018.</w:t>
            </w:r>
          </w:p>
        </w:tc>
        <w:tc>
          <w:tcPr>
            <w:tcW w:w="503" w:type="pct"/>
          </w:tcPr>
          <w:p w14:paraId="12B30106"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783AF155" w14:textId="56086EF0"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6B3BC1" w:rsidRPr="006F5136" w14:paraId="65FC999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1"/>
        </w:trPr>
        <w:tc>
          <w:tcPr>
            <w:tcW w:w="1924" w:type="pct"/>
          </w:tcPr>
          <w:p w14:paraId="2119362B" w14:textId="78B4B942" w:rsidR="006B3BC1" w:rsidRPr="006F5136" w:rsidRDefault="006B3BC1" w:rsidP="006B3BC1">
            <w:pPr>
              <w:pStyle w:val="CM4"/>
              <w:tabs>
                <w:tab w:val="left" w:pos="150"/>
              </w:tabs>
              <w:ind w:left="-43"/>
              <w:jc w:val="both"/>
              <w:rPr>
                <w:rFonts w:ascii="Times New Roman" w:hAnsi="Times New Roman"/>
                <w:i/>
                <w:iCs/>
                <w:sz w:val="18"/>
                <w:szCs w:val="18"/>
                <w:lang w:val="ro-RO" w:eastAsia="ru-RU"/>
              </w:rPr>
            </w:pPr>
            <w:r w:rsidRPr="006F5136">
              <w:rPr>
                <w:rFonts w:ascii="Times New Roman" w:hAnsi="Times New Roman"/>
                <w:iCs/>
                <w:sz w:val="18"/>
                <w:szCs w:val="18"/>
                <w:lang w:val="ro-RO" w:eastAsia="ru-RU"/>
              </w:rPr>
              <w:t>În sensul primului paragraf, în cazul în care expunerea denominată într-o monedă străină este garantată împotriva riscului de convertibilitate și de transfer, evaluarea de credit pentru elementul denominat în moneda națională a debitorului poate fi utilizată numai în scopul ponderării la risc a părții garantate a expunerii respective. Partea din expunerea respectivă care nu este garantată este ponderată la risc pe baza unei evaluări de credit a debitorului care se referă la un element denominat în respectiva monedă străină.</w:t>
            </w:r>
          </w:p>
        </w:tc>
        <w:tc>
          <w:tcPr>
            <w:tcW w:w="1661" w:type="pct"/>
            <w:shd w:val="clear" w:color="auto" w:fill="auto"/>
          </w:tcPr>
          <w:p w14:paraId="1B65C008" w14:textId="77777777" w:rsidR="006B3BC1" w:rsidRPr="006F5136" w:rsidRDefault="006B3BC1" w:rsidP="006B3BC1">
            <w:pPr>
              <w:pStyle w:val="CM4"/>
              <w:tabs>
                <w:tab w:val="left" w:pos="150"/>
              </w:tabs>
              <w:ind w:left="-36"/>
              <w:rPr>
                <w:rFonts w:ascii="Times New Roman" w:hAnsi="Times New Roman"/>
                <w:sz w:val="18"/>
                <w:szCs w:val="18"/>
                <w:lang w:val="ro-RO" w:eastAsia="ro-MD"/>
              </w:rPr>
            </w:pPr>
            <w:r w:rsidRPr="006F5136">
              <w:rPr>
                <w:rFonts w:ascii="Times New Roman" w:hAnsi="Times New Roman"/>
                <w:b/>
                <w:bCs/>
                <w:sz w:val="18"/>
                <w:szCs w:val="18"/>
                <w:lang w:val="ro-RO" w:eastAsia="ro-MD"/>
              </w:rPr>
              <w:t>115</w:t>
            </w:r>
            <w:r w:rsidRPr="006F5136">
              <w:rPr>
                <w:rFonts w:ascii="Times New Roman" w:hAnsi="Times New Roman"/>
                <w:b/>
                <w:bCs/>
                <w:sz w:val="18"/>
                <w:szCs w:val="18"/>
                <w:vertAlign w:val="superscript"/>
                <w:lang w:val="ro-RO" w:eastAsia="ro-MD"/>
              </w:rPr>
              <w:t>1</w:t>
            </w:r>
            <w:r w:rsidRPr="006F5136">
              <w:rPr>
                <w:rFonts w:ascii="Times New Roman" w:hAnsi="Times New Roman"/>
                <w:b/>
                <w:bCs/>
                <w:sz w:val="18"/>
                <w:szCs w:val="18"/>
                <w:lang w:val="ro-RO" w:eastAsia="ro-MD"/>
              </w:rPr>
              <w:t>.</w:t>
            </w:r>
            <w:r w:rsidRPr="006F5136">
              <w:rPr>
                <w:rFonts w:ascii="Times New Roman" w:hAnsi="Times New Roman"/>
                <w:sz w:val="18"/>
                <w:szCs w:val="18"/>
                <w:lang w:val="ro-RO" w:eastAsia="ro-MD"/>
              </w:rPr>
              <w:t> În sensul punctului 115, în cazul în care expunerea denominată într-o monedă străină este garantată împotriva riscului de convertibilitate și de transfer, evaluarea de credit pentru elementul denominat în moneda națională a  debitorului poate fi utilizată numai în scopul ponderării la risc a părții garantate a expunerii respective. Partea din expunerea respectivă care nu este garantată este ponderată la risc pe baza unei evaluări de credit a debitorului care se referă la un element denominat în respectiva monedă străină.</w:t>
            </w:r>
          </w:p>
          <w:p w14:paraId="5F3FC57E" w14:textId="2BE2FBDA" w:rsidR="006B3BC1" w:rsidRPr="006F5136" w:rsidRDefault="006B3BC1" w:rsidP="006B3BC1">
            <w:pPr>
              <w:spacing w:after="0" w:line="240" w:lineRule="auto"/>
              <w:rPr>
                <w:rFonts w:ascii="Times New Roman" w:hAnsi="Times New Roman" w:cs="Times New Roman"/>
                <w:sz w:val="18"/>
                <w:szCs w:val="18"/>
                <w:lang w:val="ro-RO" w:eastAsia="ro-MD"/>
              </w:rPr>
            </w:pPr>
            <w:r w:rsidRPr="006F5136">
              <w:rPr>
                <w:rFonts w:ascii="Times New Roman" w:hAnsi="Times New Roman" w:cs="Times New Roman"/>
                <w:i/>
                <w:iCs/>
                <w:sz w:val="18"/>
                <w:szCs w:val="18"/>
                <w:lang w:val="ro-RO" w:eastAsia="ru-RU"/>
              </w:rPr>
              <w:t>Proiectul HCE al BNM privind modificarea Regulamentului nr.111/2018.</w:t>
            </w:r>
          </w:p>
        </w:tc>
        <w:tc>
          <w:tcPr>
            <w:tcW w:w="503" w:type="pct"/>
          </w:tcPr>
          <w:p w14:paraId="2C88639E" w14:textId="5E759B94" w:rsidR="006B3BC1" w:rsidRPr="006F5136" w:rsidRDefault="006B3BC1" w:rsidP="006B3BC1">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07626D02" w14:textId="60DE60CB" w:rsidR="006B3BC1" w:rsidRPr="006F5136" w:rsidRDefault="006B3BC1" w:rsidP="006B3BC1">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3A58053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F90DAE2"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CAPITOLUL 3</w:t>
            </w:r>
          </w:p>
          <w:p w14:paraId="3329D4D0" w14:textId="77777777" w:rsidR="0027576A" w:rsidRPr="006F5136" w:rsidRDefault="0027576A" w:rsidP="005E4694">
            <w:pPr>
              <w:spacing w:after="0" w:line="240" w:lineRule="auto"/>
              <w:rPr>
                <w:rFonts w:ascii="Times New Roman" w:hAnsi="Times New Roman" w:cs="Times New Roman"/>
                <w:b/>
                <w:sz w:val="18"/>
                <w:szCs w:val="18"/>
                <w:lang w:val="ro-RO"/>
              </w:rPr>
            </w:pPr>
            <w:r w:rsidRPr="006F5136">
              <w:rPr>
                <w:rFonts w:ascii="Times New Roman" w:hAnsi="Times New Roman" w:cs="Times New Roman"/>
                <w:b/>
                <w:sz w:val="18"/>
                <w:szCs w:val="18"/>
                <w:lang w:val="ro-RO"/>
              </w:rPr>
              <w:t xml:space="preserve">Abordarea bazată pe modele interne de rating </w:t>
            </w:r>
          </w:p>
        </w:tc>
        <w:tc>
          <w:tcPr>
            <w:tcW w:w="1661" w:type="pct"/>
          </w:tcPr>
          <w:p w14:paraId="66D5F8B1" w14:textId="77777777" w:rsidR="0027576A" w:rsidRPr="006F5136" w:rsidRDefault="0027576A" w:rsidP="005E4694">
            <w:pPr>
              <w:spacing w:after="0" w:line="240" w:lineRule="auto"/>
              <w:rPr>
                <w:rFonts w:ascii="Times New Roman" w:hAnsi="Times New Roman" w:cs="Times New Roman"/>
                <w:b/>
                <w:sz w:val="18"/>
                <w:szCs w:val="18"/>
                <w:lang w:val="ro-RO"/>
              </w:rPr>
            </w:pPr>
          </w:p>
        </w:tc>
        <w:tc>
          <w:tcPr>
            <w:tcW w:w="503" w:type="pct"/>
          </w:tcPr>
          <w:p w14:paraId="39B282EE" w14:textId="77777777" w:rsidR="0027576A" w:rsidRPr="006F5136" w:rsidRDefault="0027576A" w:rsidP="005E4694">
            <w:pPr>
              <w:spacing w:after="0" w:line="240" w:lineRule="auto"/>
              <w:rPr>
                <w:rFonts w:ascii="Times New Roman" w:hAnsi="Times New Roman" w:cs="Times New Roman"/>
                <w:sz w:val="18"/>
                <w:szCs w:val="18"/>
                <w:lang w:val="ro-RO"/>
              </w:rPr>
            </w:pPr>
          </w:p>
        </w:tc>
        <w:tc>
          <w:tcPr>
            <w:tcW w:w="912" w:type="pct"/>
          </w:tcPr>
          <w:p w14:paraId="1055BC21" w14:textId="02DAA396" w:rsidR="0027576A" w:rsidRPr="006F5136" w:rsidRDefault="0027576A" w:rsidP="005E4694">
            <w:pPr>
              <w:spacing w:after="0" w:line="240" w:lineRule="auto"/>
              <w:jc w:val="both"/>
              <w:rPr>
                <w:rFonts w:ascii="Times New Roman" w:hAnsi="Times New Roman" w:cs="Times New Roman"/>
                <w:sz w:val="18"/>
                <w:szCs w:val="18"/>
                <w:lang w:val="ro-RO"/>
              </w:rPr>
            </w:pPr>
          </w:p>
        </w:tc>
      </w:tr>
      <w:tr w:rsidR="0027576A" w:rsidRPr="006F5136" w14:paraId="066D1A6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DCD40EF"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eastAsia="Arial Unicode MS" w:hAnsi="Times New Roman"/>
                <w:i/>
                <w:iCs/>
                <w:sz w:val="18"/>
                <w:szCs w:val="18"/>
                <w:lang w:val="ro-RO"/>
              </w:rPr>
              <w:t xml:space="preserve">Articolul 142 </w:t>
            </w:r>
            <w:r w:rsidRPr="006F5136">
              <w:rPr>
                <w:rFonts w:ascii="Times New Roman" w:eastAsia="Arial Unicode MS" w:hAnsi="Times New Roman"/>
                <w:b/>
                <w:bCs/>
                <w:sz w:val="18"/>
                <w:szCs w:val="18"/>
                <w:lang w:val="ro-RO"/>
              </w:rPr>
              <w:t xml:space="preserve">Definiții – </w:t>
            </w:r>
            <w:r w:rsidRPr="006F5136">
              <w:rPr>
                <w:rFonts w:ascii="Times New Roman" w:eastAsia="Arial Unicode MS" w:hAnsi="Times New Roman"/>
                <w:bCs/>
                <w:i/>
                <w:sz w:val="18"/>
                <w:szCs w:val="18"/>
                <w:lang w:val="ro-RO"/>
              </w:rPr>
              <w:t xml:space="preserve">Articolul 177 </w:t>
            </w:r>
            <w:r w:rsidRPr="006F5136">
              <w:rPr>
                <w:rFonts w:ascii="Times New Roman" w:eastAsia="Arial Unicode MS" w:hAnsi="Times New Roman"/>
                <w:b/>
                <w:bCs/>
                <w:sz w:val="18"/>
                <w:szCs w:val="18"/>
                <w:lang w:val="ro-RO"/>
              </w:rPr>
              <w:t xml:space="preserve">Simulările de criză (stress tests) utilizate la evaluarea adecvării capitalului </w:t>
            </w:r>
          </w:p>
        </w:tc>
        <w:tc>
          <w:tcPr>
            <w:tcW w:w="1661" w:type="pct"/>
          </w:tcPr>
          <w:p w14:paraId="2640F9E0" w14:textId="77777777" w:rsidR="0027576A" w:rsidRPr="006F5136" w:rsidRDefault="0027576A" w:rsidP="005E4694">
            <w:pPr>
              <w:spacing w:after="0" w:line="240" w:lineRule="auto"/>
              <w:rPr>
                <w:rFonts w:ascii="Times New Roman" w:hAnsi="Times New Roman" w:cs="Times New Roman"/>
                <w:b/>
                <w:sz w:val="18"/>
                <w:szCs w:val="18"/>
                <w:lang w:val="ro-RO"/>
              </w:rPr>
            </w:pPr>
          </w:p>
        </w:tc>
        <w:tc>
          <w:tcPr>
            <w:tcW w:w="503" w:type="pct"/>
          </w:tcPr>
          <w:p w14:paraId="25BED32E" w14:textId="579B1304"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Norme UE netranspuse</w:t>
            </w:r>
          </w:p>
        </w:tc>
        <w:tc>
          <w:tcPr>
            <w:tcW w:w="912" w:type="pct"/>
          </w:tcPr>
          <w:p w14:paraId="24B84628" w14:textId="74F5EC46"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Va fi transpusă în reglementările ce țin de abordarea IRB.</w:t>
            </w:r>
          </w:p>
        </w:tc>
      </w:tr>
      <w:tr w:rsidR="0027576A" w:rsidRPr="006F5136" w14:paraId="0D7D040D"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29A7234" w14:textId="77777777" w:rsidR="0027576A" w:rsidRPr="006F5136" w:rsidRDefault="0027576A" w:rsidP="005E4694">
            <w:pPr>
              <w:pStyle w:val="CM4"/>
              <w:tabs>
                <w:tab w:val="left" w:pos="150"/>
              </w:tabs>
              <w:ind w:left="-43"/>
              <w:jc w:val="center"/>
              <w:rPr>
                <w:rFonts w:ascii="Times New Roman" w:hAnsi="Times New Roman"/>
                <w:iCs/>
                <w:sz w:val="18"/>
                <w:szCs w:val="18"/>
                <w:lang w:val="ro-RO" w:eastAsia="ru-RU"/>
              </w:rPr>
            </w:pPr>
            <w:r w:rsidRPr="006F5136">
              <w:rPr>
                <w:rFonts w:ascii="Times New Roman" w:hAnsi="Times New Roman"/>
                <w:iCs/>
                <w:sz w:val="18"/>
                <w:szCs w:val="18"/>
                <w:lang w:val="ro-RO" w:eastAsia="ru-RU"/>
              </w:rPr>
              <w:t>Subsecțiunea 2</w:t>
            </w:r>
          </w:p>
          <w:p w14:paraId="3FA2024C" w14:textId="1DF85614" w:rsidR="0027576A" w:rsidRPr="006F5136" w:rsidRDefault="0027576A" w:rsidP="005E4694">
            <w:pPr>
              <w:pStyle w:val="CM4"/>
              <w:tabs>
                <w:tab w:val="left" w:pos="150"/>
              </w:tabs>
              <w:ind w:left="-43"/>
              <w:jc w:val="center"/>
              <w:rPr>
                <w:rFonts w:ascii="Times New Roman" w:hAnsi="Times New Roman"/>
                <w:iCs/>
                <w:sz w:val="18"/>
                <w:szCs w:val="18"/>
                <w:lang w:val="ro-RO" w:eastAsia="ru-RU"/>
              </w:rPr>
            </w:pPr>
            <w:r w:rsidRPr="006F5136">
              <w:rPr>
                <w:rFonts w:ascii="Times New Roman" w:hAnsi="Times New Roman"/>
                <w:b/>
                <w:iCs/>
                <w:sz w:val="18"/>
                <w:szCs w:val="18"/>
                <w:lang w:val="ro-RO" w:eastAsia="ru-RU"/>
              </w:rPr>
              <w:t>Cuantificarea riscului</w:t>
            </w:r>
          </w:p>
        </w:tc>
        <w:tc>
          <w:tcPr>
            <w:tcW w:w="1661" w:type="pct"/>
          </w:tcPr>
          <w:p w14:paraId="453EFE31" w14:textId="77777777" w:rsidR="0027576A" w:rsidRPr="006F5136" w:rsidRDefault="0027576A" w:rsidP="005E4694">
            <w:pPr>
              <w:spacing w:after="0" w:line="240" w:lineRule="auto"/>
              <w:rPr>
                <w:rFonts w:ascii="Times New Roman" w:hAnsi="Times New Roman" w:cs="Times New Roman"/>
                <w:b/>
                <w:sz w:val="18"/>
                <w:szCs w:val="18"/>
                <w:lang w:val="ro-RO"/>
              </w:rPr>
            </w:pPr>
          </w:p>
        </w:tc>
        <w:tc>
          <w:tcPr>
            <w:tcW w:w="503" w:type="pct"/>
          </w:tcPr>
          <w:p w14:paraId="1CAA7CD0" w14:textId="77777777" w:rsidR="0027576A" w:rsidRPr="006F5136" w:rsidRDefault="0027576A" w:rsidP="005E4694">
            <w:pPr>
              <w:spacing w:after="0" w:line="240" w:lineRule="auto"/>
              <w:rPr>
                <w:rFonts w:ascii="Times New Roman" w:hAnsi="Times New Roman" w:cs="Times New Roman"/>
                <w:sz w:val="18"/>
                <w:szCs w:val="18"/>
                <w:lang w:val="ro-RO"/>
              </w:rPr>
            </w:pPr>
          </w:p>
        </w:tc>
        <w:tc>
          <w:tcPr>
            <w:tcW w:w="912" w:type="pct"/>
          </w:tcPr>
          <w:p w14:paraId="5382F753" w14:textId="65C1E24A" w:rsidR="0027576A" w:rsidRPr="006F5136" w:rsidRDefault="0027576A" w:rsidP="005E4694">
            <w:pPr>
              <w:spacing w:after="0" w:line="240" w:lineRule="auto"/>
              <w:jc w:val="both"/>
              <w:rPr>
                <w:rFonts w:ascii="Times New Roman" w:hAnsi="Times New Roman" w:cs="Times New Roman"/>
                <w:sz w:val="18"/>
                <w:szCs w:val="18"/>
                <w:lang w:val="ro-RO"/>
              </w:rPr>
            </w:pPr>
          </w:p>
        </w:tc>
      </w:tr>
      <w:tr w:rsidR="0027576A" w:rsidRPr="006F5136" w14:paraId="4834D193"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1924" w:type="pct"/>
          </w:tcPr>
          <w:p w14:paraId="00432B41" w14:textId="7335563E" w:rsidR="0027576A" w:rsidRPr="006F5136" w:rsidRDefault="0027576A" w:rsidP="005E4694">
            <w:pPr>
              <w:shd w:val="clear" w:color="auto" w:fill="FFFFFF"/>
              <w:spacing w:after="0" w:line="240" w:lineRule="auto"/>
              <w:rPr>
                <w:rFonts w:ascii="Times New Roman" w:eastAsia="Times New Roman" w:hAnsi="Times New Roman" w:cs="Times New Roman"/>
                <w:b/>
                <w:bCs/>
                <w:color w:val="000000" w:themeColor="text1"/>
                <w:sz w:val="18"/>
                <w:szCs w:val="18"/>
                <w:lang w:eastAsia="ro-MD"/>
              </w:rPr>
            </w:pPr>
            <w:r w:rsidRPr="006F5136">
              <w:rPr>
                <w:rFonts w:ascii="Times New Roman" w:hAnsi="Times New Roman" w:cs="Times New Roman"/>
                <w:i/>
                <w:iCs/>
                <w:sz w:val="18"/>
                <w:szCs w:val="18"/>
                <w:lang w:val="ro-RO" w:eastAsia="ru-RU"/>
              </w:rPr>
              <w:t>Articolul 178</w:t>
            </w:r>
            <w:r w:rsidRPr="006F5136">
              <w:rPr>
                <w:rFonts w:ascii="Times New Roman" w:hAnsi="Times New Roman" w:cs="Times New Roman"/>
                <w:iCs/>
                <w:sz w:val="18"/>
                <w:szCs w:val="18"/>
                <w:lang w:val="ro-RO" w:eastAsia="ru-RU"/>
              </w:rPr>
              <w:t xml:space="preserve"> </w:t>
            </w:r>
            <w:r w:rsidRPr="006F5136">
              <w:rPr>
                <w:rFonts w:ascii="Times New Roman" w:eastAsia="Times New Roman" w:hAnsi="Times New Roman" w:cs="Times New Roman"/>
                <w:b/>
                <w:bCs/>
                <w:sz w:val="18"/>
                <w:szCs w:val="18"/>
                <w:lang w:eastAsia="ro-MD"/>
              </w:rPr>
              <w:t>Intrarea</w:t>
            </w:r>
            <w:r w:rsidRPr="006F5136">
              <w:rPr>
                <w:rFonts w:ascii="Times New Roman" w:eastAsia="Times New Roman" w:hAnsi="Times New Roman" w:cs="Times New Roman"/>
                <w:b/>
                <w:bCs/>
                <w:color w:val="000000" w:themeColor="text1"/>
                <w:sz w:val="18"/>
                <w:szCs w:val="18"/>
                <w:lang w:eastAsia="ro-MD"/>
              </w:rPr>
              <w:t xml:space="preserve"> în stare de nerambursare</w:t>
            </w:r>
            <w:r w:rsidRPr="006F5136">
              <w:rPr>
                <w:rFonts w:ascii="Times New Roman" w:eastAsia="Times New Roman" w:hAnsi="Times New Roman" w:cs="Times New Roman"/>
                <w:b/>
                <w:bCs/>
                <w:sz w:val="18"/>
                <w:szCs w:val="18"/>
                <w:lang w:eastAsia="ro-MD"/>
              </w:rPr>
              <w:t xml:space="preserve"> a unui debitor sau a unei facilități de credit</w:t>
            </w:r>
          </w:p>
          <w:p w14:paraId="2BDF1735"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(1) Se consideră că un debitor se află în stare de nerambursare atunci când are loc cel puțin una dintre următoarele situații: </w:t>
            </w:r>
          </w:p>
          <w:p w14:paraId="13B58AAF" w14:textId="603A87E6" w:rsidR="0027576A" w:rsidRPr="006F5136" w:rsidRDefault="0027576A" w:rsidP="005E4694">
            <w:pPr>
              <w:pStyle w:val="CM4"/>
              <w:tabs>
                <w:tab w:val="left" w:pos="150"/>
              </w:tabs>
              <w:ind w:left="-43"/>
              <w:jc w:val="both"/>
              <w:rPr>
                <w:rFonts w:ascii="Times New Roman" w:hAnsi="Times New Roman"/>
                <w:b/>
                <w:bCs/>
                <w:iCs/>
                <w:sz w:val="18"/>
                <w:szCs w:val="18"/>
                <w:lang w:val="ro-RO" w:eastAsia="ru-RU"/>
              </w:rPr>
            </w:pPr>
            <w:r w:rsidRPr="006F5136">
              <w:rPr>
                <w:rFonts w:ascii="Times New Roman" w:hAnsi="Times New Roman"/>
                <w:iCs/>
                <w:sz w:val="18"/>
                <w:szCs w:val="18"/>
                <w:lang w:val="ro-RO" w:eastAsia="ru-RU"/>
              </w:rPr>
              <w:t>(a) instituția consideră că, în lipsa recurgerii la măsuri precum executarea garanței, este improbabil ca debitorul să-și achite în întregime obligațiile din credite față de instituție, de întreprinderea-mamă sau de oricare din filialele acesteia;</w:t>
            </w:r>
            <w:r w:rsidRPr="006F5136">
              <w:rPr>
                <w:rFonts w:ascii="Times New Roman" w:hAnsi="Times New Roman"/>
                <w:b/>
                <w:bCs/>
                <w:iCs/>
                <w:sz w:val="18"/>
                <w:szCs w:val="18"/>
                <w:lang w:val="ro-RO" w:eastAsia="ru-RU"/>
              </w:rPr>
              <w:t>M17</w:t>
            </w:r>
          </w:p>
          <w:p w14:paraId="11C9098A" w14:textId="4D6ADFBF"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(b) întârzierea la plată a debitorului a depășit 90 de zile pentru oricare din obligațiile semnificative din credite față de instituție, de întreprinderea-mamă sau de oricare dintre filialele acesteia. </w:t>
            </w:r>
          </w:p>
        </w:tc>
        <w:tc>
          <w:tcPr>
            <w:tcW w:w="1661" w:type="pct"/>
            <w:shd w:val="clear" w:color="auto" w:fill="auto"/>
          </w:tcPr>
          <w:p w14:paraId="3B93B179" w14:textId="77777777" w:rsidR="00113622" w:rsidRPr="006F5136" w:rsidRDefault="0027576A"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hAnsi="Times New Roman" w:cs="Times New Roman"/>
                <w:sz w:val="18"/>
                <w:szCs w:val="18"/>
                <w:lang w:val="ro-RO" w:eastAsia="ru-RU"/>
              </w:rPr>
              <w:t xml:space="preserve">Secțiunea a 4-a. </w:t>
            </w:r>
            <w:bookmarkStart w:id="14" w:name="_Hlk206506184"/>
            <w:r w:rsidR="00113622" w:rsidRPr="006F5136">
              <w:rPr>
                <w:rFonts w:ascii="Times New Roman" w:eastAsia="Times New Roman" w:hAnsi="Times New Roman" w:cs="Times New Roman"/>
                <w:b/>
                <w:bCs/>
                <w:i/>
                <w:iCs/>
                <w:sz w:val="18"/>
                <w:szCs w:val="18"/>
                <w:lang w:val="ro-RO" w:eastAsia="ro-MD"/>
              </w:rPr>
              <w:t> Intrarea în stare de nerambursare a unui debitor sau a unei facilități de credit</w:t>
            </w:r>
          </w:p>
          <w:bookmarkEnd w:id="14"/>
          <w:p w14:paraId="546400B0" w14:textId="77FC12AC" w:rsidR="0027576A" w:rsidRPr="006F5136" w:rsidRDefault="0027576A" w:rsidP="005E4694">
            <w:pPr>
              <w:pStyle w:val="CM4"/>
              <w:tabs>
                <w:tab w:val="left" w:pos="150"/>
              </w:tabs>
              <w:ind w:left="-36"/>
              <w:jc w:val="both"/>
              <w:rPr>
                <w:rFonts w:ascii="Times New Roman" w:hAnsi="Times New Roman"/>
                <w:sz w:val="18"/>
                <w:szCs w:val="18"/>
                <w:lang w:val="ro-RO" w:eastAsia="ru-RU"/>
              </w:rPr>
            </w:pPr>
            <w:r w:rsidRPr="006F5136">
              <w:rPr>
                <w:rFonts w:ascii="Times New Roman" w:hAnsi="Times New Roman"/>
                <w:b/>
                <w:bCs/>
                <w:sz w:val="18"/>
                <w:szCs w:val="18"/>
                <w:lang w:val="ro-RO" w:eastAsia="ru-RU"/>
              </w:rPr>
              <w:t>23.</w:t>
            </w:r>
            <w:r w:rsidRPr="006F5136">
              <w:rPr>
                <w:rFonts w:ascii="Times New Roman" w:hAnsi="Times New Roman"/>
                <w:sz w:val="18"/>
                <w:szCs w:val="18"/>
                <w:lang w:val="ro-RO" w:eastAsia="ru-RU"/>
              </w:rPr>
              <w:t xml:space="preserve"> Se consideră că debitorul se află în stare de nerambursare (default), atunci când are loc cel puțin una dintre următoarele situații:</w:t>
            </w:r>
          </w:p>
          <w:p w14:paraId="1B7B4FBC" w14:textId="77777777" w:rsidR="0027576A" w:rsidRPr="006F5136" w:rsidRDefault="0027576A" w:rsidP="005E4694">
            <w:pPr>
              <w:pStyle w:val="CM4"/>
              <w:tabs>
                <w:tab w:val="left" w:pos="150"/>
              </w:tabs>
              <w:ind w:left="-36"/>
              <w:jc w:val="both"/>
              <w:rPr>
                <w:rFonts w:ascii="Times New Roman" w:hAnsi="Times New Roman"/>
                <w:sz w:val="18"/>
                <w:szCs w:val="18"/>
                <w:lang w:val="ro-RO" w:eastAsia="ru-RU"/>
              </w:rPr>
            </w:pPr>
            <w:r w:rsidRPr="006F5136">
              <w:rPr>
                <w:rFonts w:ascii="Times New Roman" w:hAnsi="Times New Roman"/>
                <w:sz w:val="18"/>
                <w:szCs w:val="18"/>
                <w:lang w:val="ro-RO" w:eastAsia="ru-RU"/>
              </w:rPr>
              <w:t>1) banca consideră că fără a recurge la măsuri precum executarea garanției, este improbabil ca debitorul să-și achite în întregime obligațiile din credite față de bancă, de întreprinderea-mamă sau față de oricare din filialele acesteia;</w:t>
            </w:r>
          </w:p>
          <w:p w14:paraId="2F154F2E" w14:textId="380A6ADB" w:rsidR="0027576A" w:rsidRPr="006F5136" w:rsidRDefault="0027576A" w:rsidP="005E4694">
            <w:pPr>
              <w:pStyle w:val="CM4"/>
              <w:tabs>
                <w:tab w:val="left" w:pos="150"/>
              </w:tabs>
              <w:ind w:left="-36"/>
              <w:jc w:val="both"/>
              <w:rPr>
                <w:rFonts w:ascii="Times New Roman" w:hAnsi="Times New Roman"/>
                <w:sz w:val="18"/>
                <w:szCs w:val="18"/>
                <w:lang w:val="ro-RO"/>
              </w:rPr>
            </w:pPr>
            <w:r w:rsidRPr="006F5136">
              <w:rPr>
                <w:rFonts w:ascii="Times New Roman" w:hAnsi="Times New Roman"/>
                <w:sz w:val="18"/>
                <w:szCs w:val="18"/>
                <w:lang w:val="ro-RO" w:eastAsia="ru-RU"/>
              </w:rPr>
              <w:t>2) întârzierea la plată a debitorului a depășit 90 de zile pentru oricare din obligațiile semnificative din credite față de bancă, de întreprinderea-mamă sau față de oricare din filialele acesteia.</w:t>
            </w:r>
          </w:p>
        </w:tc>
        <w:tc>
          <w:tcPr>
            <w:tcW w:w="503" w:type="pct"/>
          </w:tcPr>
          <w:p w14:paraId="5F8B541A" w14:textId="15C8DF7C" w:rsidR="0027576A" w:rsidRPr="006F5136" w:rsidRDefault="00113622"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w:t>
            </w:r>
            <w:r w:rsidR="0027576A" w:rsidRPr="006F5136">
              <w:rPr>
                <w:rFonts w:ascii="Times New Roman" w:hAnsi="Times New Roman" w:cs="Times New Roman"/>
                <w:sz w:val="18"/>
                <w:szCs w:val="18"/>
                <w:lang w:val="ro-RO"/>
              </w:rPr>
              <w:t>ompatibil</w:t>
            </w:r>
          </w:p>
          <w:p w14:paraId="01E246A4" w14:textId="7BACC26F" w:rsidR="0027576A" w:rsidRPr="006F5136" w:rsidRDefault="0027576A" w:rsidP="005E4694">
            <w:pPr>
              <w:spacing w:after="0" w:line="240" w:lineRule="auto"/>
              <w:rPr>
                <w:rFonts w:ascii="Times New Roman" w:hAnsi="Times New Roman" w:cs="Times New Roman"/>
                <w:sz w:val="18"/>
                <w:szCs w:val="18"/>
                <w:lang w:val="ro-RO"/>
              </w:rPr>
            </w:pPr>
          </w:p>
        </w:tc>
        <w:tc>
          <w:tcPr>
            <w:tcW w:w="912" w:type="pct"/>
          </w:tcPr>
          <w:p w14:paraId="183D5E68" w14:textId="15FFA28D"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p w14:paraId="60BCA4F1" w14:textId="56325DBB" w:rsidR="0027576A" w:rsidRPr="006F5136" w:rsidRDefault="0027576A" w:rsidP="005E4694">
            <w:pPr>
              <w:spacing w:after="0" w:line="240" w:lineRule="auto"/>
              <w:jc w:val="both"/>
              <w:rPr>
                <w:rFonts w:ascii="Times New Roman" w:hAnsi="Times New Roman" w:cs="Times New Roman"/>
                <w:sz w:val="18"/>
                <w:szCs w:val="18"/>
                <w:lang w:val="ro-RO"/>
              </w:rPr>
            </w:pPr>
          </w:p>
        </w:tc>
      </w:tr>
      <w:tr w:rsidR="0027576A" w:rsidRPr="006F5136" w14:paraId="4F3C856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1924" w:type="pct"/>
          </w:tcPr>
          <w:p w14:paraId="762CCE3E" w14:textId="75BA9CE9" w:rsidR="0027576A" w:rsidRPr="006F5136" w:rsidRDefault="0027576A" w:rsidP="005E4694">
            <w:pPr>
              <w:pStyle w:val="CM4"/>
              <w:tabs>
                <w:tab w:val="left" w:pos="150"/>
              </w:tabs>
              <w:ind w:left="-43"/>
              <w:jc w:val="both"/>
              <w:rPr>
                <w:rFonts w:ascii="Times New Roman" w:hAnsi="Times New Roman"/>
                <w:i/>
                <w:iCs/>
                <w:sz w:val="18"/>
                <w:szCs w:val="18"/>
                <w:lang w:val="ro-RO" w:eastAsia="ru-RU"/>
              </w:rPr>
            </w:pPr>
            <w:r w:rsidRPr="006F5136">
              <w:rPr>
                <w:rFonts w:ascii="Times New Roman" w:hAnsi="Times New Roman"/>
                <w:iCs/>
                <w:sz w:val="18"/>
                <w:szCs w:val="18"/>
                <w:lang w:val="ro-RO" w:eastAsia="ru-RU"/>
              </w:rPr>
              <w:t>În cazul expunerilor de tip retail, instituțiile pot aplica definiția stării de nerambursare prevăzută la literele (a) și (b) de la primul paragraf mai degrabă la nivelul facilităților de credit individuale decât referitor la obligațiile totale ale debitorului.</w:t>
            </w:r>
          </w:p>
        </w:tc>
        <w:tc>
          <w:tcPr>
            <w:tcW w:w="1661" w:type="pct"/>
            <w:shd w:val="clear" w:color="auto" w:fill="auto"/>
          </w:tcPr>
          <w:p w14:paraId="2FF10FDE" w14:textId="74B2EED1" w:rsidR="0027576A" w:rsidRPr="006F5136" w:rsidRDefault="0027576A" w:rsidP="005E4694">
            <w:pPr>
              <w:pStyle w:val="CM4"/>
              <w:tabs>
                <w:tab w:val="left" w:pos="150"/>
              </w:tabs>
              <w:ind w:left="-36"/>
              <w:rPr>
                <w:rFonts w:ascii="Times New Roman" w:hAnsi="Times New Roman"/>
                <w:sz w:val="18"/>
                <w:szCs w:val="18"/>
                <w:lang w:val="ro-RO" w:eastAsia="ru-RU"/>
              </w:rPr>
            </w:pPr>
            <w:r w:rsidRPr="006F5136">
              <w:rPr>
                <w:rFonts w:ascii="Times New Roman" w:hAnsi="Times New Roman"/>
                <w:b/>
                <w:bCs/>
                <w:sz w:val="18"/>
                <w:szCs w:val="18"/>
                <w:lang w:val="ro-RO" w:eastAsia="ru-RU"/>
              </w:rPr>
              <w:t>24.</w:t>
            </w:r>
            <w:r w:rsidRPr="006F5136">
              <w:rPr>
                <w:rFonts w:ascii="Times New Roman" w:hAnsi="Times New Roman"/>
                <w:sz w:val="18"/>
                <w:szCs w:val="18"/>
                <w:lang w:val="ro-RO" w:eastAsia="ru-RU"/>
              </w:rPr>
              <w:t xml:space="preserve"> În cazul expunerilor de tip retail, băncile pot aplica definiția stării de nerambursare prevăzută la punctul 22 mai degrabă la nivelul facilităților de credit individuale decât referitor la obligațiile totale ale debitorului.</w:t>
            </w:r>
          </w:p>
        </w:tc>
        <w:tc>
          <w:tcPr>
            <w:tcW w:w="503" w:type="pct"/>
          </w:tcPr>
          <w:p w14:paraId="4DFA8E7D" w14:textId="2DAC1C61"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20393F42" w14:textId="5979435D"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5ED64AB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1924" w:type="pct"/>
          </w:tcPr>
          <w:p w14:paraId="3E16FBB0"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(2) În sensul alineatului (1) litera (b) se aplică următoarele:</w:t>
            </w:r>
          </w:p>
          <w:p w14:paraId="12C25B5E"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în cazul tragerilor pe descoperit de cont, întârzierea la plată începe să curgă de la data la care debitorul a depășit o limită autorizată, a fost anunțat că limita este inferioară soldului curent sau a tras credit fără autorizație, cuantumul acestuia fiind semnificativ;</w:t>
            </w:r>
          </w:p>
          <w:p w14:paraId="4537E31D"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(b) în sensul literei (a), o limită autorizată înseamnă orice limită de credit pe care instituția o stabilește și o comunică debitorului;</w:t>
            </w:r>
          </w:p>
          <w:p w14:paraId="0C10B1B2"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 în cazul cardurilor de credit, zilele restante la plată curg de la data scadenței plății minime;</w:t>
            </w:r>
          </w:p>
          <w:p w14:paraId="777DAB30"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(d) importanța unei obligații din credite restante este evaluată în raport cu un prag stabilit de autoritățile competente. Acest prag reflectă un nivel de risc pe care autoritățile competente îl consideră rezonabil;</w:t>
            </w:r>
          </w:p>
          <w:p w14:paraId="2B1D531D"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(e) instituțiile trebuie să aibă politici formalizate în ceea ce privește numărarea zilelor restante, în special în ceea ce privește modificarea scadențelor tranzacțiilor și acordarea de prelungiri, modificări sau amânări, reînnoiri și compensarea conturilor existente. Aceste politici trebuie să fie aplicate consecvent în timp și trebuie să fie conforme cu gestionarea internă a riscurilor și cu procesele decizionale ale instituției.</w:t>
            </w:r>
          </w:p>
        </w:tc>
        <w:tc>
          <w:tcPr>
            <w:tcW w:w="1661" w:type="pct"/>
            <w:shd w:val="clear" w:color="auto" w:fill="auto"/>
          </w:tcPr>
          <w:p w14:paraId="6FD9B1E6" w14:textId="631646B0" w:rsidR="00113622" w:rsidRPr="006F5136" w:rsidRDefault="0011362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26.</w:t>
            </w:r>
            <w:r w:rsidRPr="006F5136">
              <w:rPr>
                <w:rFonts w:ascii="Times New Roman" w:eastAsia="Times New Roman" w:hAnsi="Times New Roman" w:cs="Times New Roman"/>
                <w:sz w:val="18"/>
                <w:szCs w:val="18"/>
                <w:lang w:val="ro-RO" w:eastAsia="ro-MD"/>
              </w:rPr>
              <w:t xml:space="preserve"> În sensul punctului 23 subpunctul 2), se aplică următoarele prevederi:</w:t>
            </w:r>
            <w:r w:rsidRPr="006F5136">
              <w:rPr>
                <w:rFonts w:ascii="Times New Roman" w:eastAsia="Times New Roman" w:hAnsi="Times New Roman" w:cs="Times New Roman"/>
                <w:sz w:val="18"/>
                <w:szCs w:val="18"/>
                <w:highlight w:val="lightGray"/>
                <w:lang w:val="ro-RO" w:eastAsia="ro-MD"/>
              </w:rPr>
              <w:t xml:space="preserve"> </w:t>
            </w:r>
          </w:p>
          <w:p w14:paraId="0D8AAF8E" w14:textId="77777777" w:rsidR="00113622" w:rsidRPr="006F5136" w:rsidRDefault="0011362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în cazul tragerilor pe descoperit de cont (overdraft), zilele de întârziere la plată încep de la data la care debitorul a depășit o limită autorizată, a fost anunțat că limita este inferioară soldului curent sau a retras credit fără autorizație, suma acestuia fiind semnificativă;</w:t>
            </w:r>
          </w:p>
          <w:p w14:paraId="1C7D9CC0" w14:textId="77777777" w:rsidR="00113622" w:rsidRPr="006F5136" w:rsidRDefault="0011362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în sensul subpunctului 1), o limită autorizată înseamnă orice limită de credit pe care banca o stabilește și o comunică debitorului;</w:t>
            </w:r>
          </w:p>
          <w:p w14:paraId="19F33424" w14:textId="77777777" w:rsidR="00113622" w:rsidRPr="006F5136" w:rsidRDefault="0011362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în cazul cardurilor de credit, zilele de întârziere la plată încep de la data scadenței plății minime;</w:t>
            </w:r>
          </w:p>
          <w:p w14:paraId="2223FA02" w14:textId="77777777" w:rsidR="00113622" w:rsidRPr="006F5136" w:rsidRDefault="0011362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4) caracterul semnificativ al unei obligații din credite restante trebuie să fie evaluat în raport cu:</w:t>
            </w:r>
          </w:p>
          <w:p w14:paraId="593AE9A7" w14:textId="77777777" w:rsidR="00113622" w:rsidRPr="006F5136" w:rsidRDefault="0011362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o componentă în mărime absolută, exprimată ca valoarea maximă a soldului total al obligației din credit restante pe care debitorul le datorează băncii, întreprinderii-mamă a băncii sau uneia dintre filialele acesteia egală cu echivalentul în MDL a 100 EUR pentru expunerile de tip retail și echivalentul în MDL a 500 EUR pentru alte tipuri de expuneri; și</w:t>
            </w:r>
          </w:p>
          <w:p w14:paraId="44229E15" w14:textId="5A8FCEFB" w:rsidR="00113622" w:rsidRPr="006F5136" w:rsidRDefault="0011362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b) un prag de 1% care reprezintă raportul dintre soldul total al obligațiilor din credite restante ale debitorului și valoarea totală a tuturor expunerilor bilanțiere față de acel debitor, ale băncii,</w:t>
            </w:r>
            <w:r w:rsidRPr="006F5136">
              <w:rPr>
                <w:rFonts w:ascii="Times New Roman" w:hAnsi="Times New Roman" w:cs="Times New Roman"/>
                <w:sz w:val="18"/>
                <w:szCs w:val="18"/>
              </w:rPr>
              <w:t xml:space="preserve"> </w:t>
            </w:r>
            <w:r w:rsidRPr="006F5136">
              <w:rPr>
                <w:rFonts w:ascii="Times New Roman" w:eastAsia="Times New Roman" w:hAnsi="Times New Roman" w:cs="Times New Roman"/>
                <w:sz w:val="18"/>
                <w:szCs w:val="18"/>
                <w:lang w:val="ro-RO" w:eastAsia="ro-MD"/>
              </w:rPr>
              <w:t>întreprinderii-mamă a băncii sau uneia dintre filialele acesteia, excluzând expunerile din titluri de capital.</w:t>
            </w:r>
          </w:p>
          <w:p w14:paraId="7F17737A" w14:textId="77777777" w:rsidR="00113622" w:rsidRPr="006F5136" w:rsidRDefault="0011362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Băncile pot identifica stările de nerambursare pe baza unui prag inferior în cazul în care pot demonstra că acest prag inferior este un indiciu relevant al improbabilității de plată și că nu conduce la un număr excesiv de stări de nerambursare ce vor reveni la o altă stare decât cea de nerambursare la scurt timp după ce au fost recunoscute ca fiind în incapacitate de plată sau reducere a cerințelor de capital. În acest caz, băncile ar trebui să înregistreze în bazele lor de date informațiile privind factorii care declanșează starea de nerambursare ca un indiciu specific suplimentar al improbabilității de plată;</w:t>
            </w:r>
          </w:p>
          <w:p w14:paraId="41B60615" w14:textId="77777777" w:rsidR="00113622" w:rsidRPr="006F5136" w:rsidRDefault="0011362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5) băncile trebuie să dispună de politici în ceea ce privește numărarea zilelor de întârziere la plată, în special în ceea ce privește modificarea scadențelor tranzacțiilor și acordarea de prelungiri, modificări sau amânări, reînnoiri și compensarea conturilor existente. Aceste politici trebuie să fie aplicate consecvent în timp și trebuie să fie conforme cu gestionarea internă a riscurilor și cu procesele decizionale ale băncii.</w:t>
            </w:r>
          </w:p>
          <w:p w14:paraId="6CABBA61" w14:textId="69D8442D" w:rsidR="00FE3E08" w:rsidRPr="006F5136" w:rsidRDefault="00FE3E08" w:rsidP="005E4694">
            <w:pPr>
              <w:spacing w:after="0" w:line="240" w:lineRule="auto"/>
              <w:jc w:val="both"/>
              <w:rPr>
                <w:rFonts w:ascii="Times New Roman" w:eastAsia="Times New Roman" w:hAnsi="Times New Roman" w:cs="Times New Roman"/>
                <w:i/>
                <w:iCs/>
                <w:sz w:val="18"/>
                <w:szCs w:val="18"/>
                <w:lang w:val="ro-RO" w:eastAsia="ro-MD"/>
              </w:rPr>
            </w:pPr>
            <w:r w:rsidRPr="006F5136">
              <w:rPr>
                <w:rFonts w:ascii="Times New Roman" w:eastAsia="Times New Roman" w:hAnsi="Times New Roman" w:cs="Times New Roman"/>
                <w:i/>
                <w:iCs/>
                <w:sz w:val="18"/>
                <w:szCs w:val="18"/>
                <w:lang w:val="ro-RO" w:eastAsia="ro-MD"/>
              </w:rPr>
              <w:t>Modificat prin Proiectul HCE al BNM privind modificarea Regulamentului nr.111/2018.</w:t>
            </w:r>
          </w:p>
          <w:p w14:paraId="323FB153" w14:textId="2E1ED4E2" w:rsidR="0027576A" w:rsidRPr="006F5136" w:rsidRDefault="0027576A" w:rsidP="005E4694">
            <w:pPr>
              <w:pStyle w:val="CM4"/>
              <w:tabs>
                <w:tab w:val="left" w:pos="150"/>
              </w:tabs>
              <w:ind w:left="-36"/>
              <w:jc w:val="both"/>
              <w:rPr>
                <w:rFonts w:ascii="Times New Roman" w:hAnsi="Times New Roman"/>
                <w:sz w:val="18"/>
                <w:szCs w:val="18"/>
                <w:lang w:val="ro-RO" w:eastAsia="ru-RU"/>
              </w:rPr>
            </w:pPr>
          </w:p>
        </w:tc>
        <w:tc>
          <w:tcPr>
            <w:tcW w:w="503" w:type="pct"/>
          </w:tcPr>
          <w:p w14:paraId="50827AE4"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492EAB98" w14:textId="32737F83"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p w14:paraId="38B17071" w14:textId="422905BE" w:rsidR="0027576A" w:rsidRPr="006F5136" w:rsidRDefault="0027576A"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Ref la lit.d) a fost consultat Regulamaentul delegat UE 2018/171</w:t>
            </w:r>
          </w:p>
        </w:tc>
      </w:tr>
      <w:tr w:rsidR="0027576A" w:rsidRPr="006F5136" w14:paraId="5C0A944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1924" w:type="pct"/>
          </w:tcPr>
          <w:p w14:paraId="7A48A413"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(3) În sensul alineatului (1) litera (a), elementele care trebuie considerate indicii ale improbabilității de plată includ următoarele:</w:t>
            </w:r>
          </w:p>
          <w:p w14:paraId="4FCB6BFB"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 instituția încetează să mai contabilizeze dobânda aferentă obligației din credite;</w:t>
            </w:r>
          </w:p>
          <w:p w14:paraId="49FA586C"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(b) instituția recunoaște o ajustare specifică pentru riscul de credit, rezultată în urma perceperii unei deteriorări semnificative a calității creditului, ulterioară momentului în care instituția s-a expus la risc; </w:t>
            </w:r>
          </w:p>
          <w:p w14:paraId="241EF1B7"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 instituția vinde obligația din credite înregistrând o pierdere economică semnificativă;</w:t>
            </w:r>
          </w:p>
          <w:p w14:paraId="32FDF11C"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M17</w:t>
            </w:r>
          </w:p>
          <w:p w14:paraId="522BC216" w14:textId="37D9FA50"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 xml:space="preserve">(d) instituția </w:t>
            </w:r>
            <w:r w:rsidRPr="006F5136">
              <w:rPr>
                <w:rFonts w:ascii="Times New Roman" w:hAnsi="Times New Roman"/>
                <w:sz w:val="18"/>
                <w:szCs w:val="18"/>
                <w:lang w:eastAsia="ro-MD"/>
              </w:rPr>
              <w:t>este de acord cu o măsură de restructurare datorată dificultăților financiare, astfel cum se menționează la articolul 47b,</w:t>
            </w:r>
            <w:r w:rsidRPr="006F5136" w:rsidDel="00496780">
              <w:rPr>
                <w:rFonts w:ascii="Times New Roman" w:hAnsi="Times New Roman"/>
                <w:iCs/>
                <w:sz w:val="18"/>
                <w:szCs w:val="18"/>
                <w:lang w:val="ro-RO" w:eastAsia="ru-RU"/>
              </w:rPr>
              <w:t xml:space="preserve"> </w:t>
            </w:r>
            <w:r w:rsidRPr="006F5136">
              <w:rPr>
                <w:rFonts w:ascii="Times New Roman" w:hAnsi="Times New Roman"/>
                <w:iCs/>
                <w:sz w:val="18"/>
                <w:szCs w:val="18"/>
                <w:lang w:val="ro-RO" w:eastAsia="ru-RU"/>
              </w:rPr>
              <w:t xml:space="preserve">obligația din credite în cazul în care măsura respectivă este posibil să conducă la reducerea obligației financiare, ca urmare a anulării  unei părți semnificative a principalului, a dobânzii sau, dacă este cazul, a comisioanelor sau a amânării la plată a acestora. </w:t>
            </w:r>
          </w:p>
          <w:p w14:paraId="73C1A034"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(e) instituția a introdus o cerere prin care solicită deschiderea procedurii de faliment împotriva debitorului sau aplicarea unei măsuri similare pentru o obligație din credite a debitorului față de instituție, de întreprinderea-mamă sau de oricare din filialele acesteia;</w:t>
            </w:r>
          </w:p>
          <w:p w14:paraId="662BDF67"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(f) debitorul a solicitat deschiderea procedurii de faliment sau face obiectul acesteia sau al unei protecții similare, în cazul în care acest lucru ar conduce la evitarea sau amânarea plății unei obligații din credite față de instituție, de întreprinderea-mamă sau de oricare din filialele acesteia.</w:t>
            </w:r>
          </w:p>
        </w:tc>
        <w:tc>
          <w:tcPr>
            <w:tcW w:w="1661" w:type="pct"/>
            <w:shd w:val="clear" w:color="auto" w:fill="auto"/>
          </w:tcPr>
          <w:p w14:paraId="794BE621" w14:textId="206C4DA5" w:rsidR="00423706" w:rsidRPr="006F5136" w:rsidRDefault="0042370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25.</w:t>
            </w:r>
            <w:r w:rsidRPr="006F5136">
              <w:rPr>
                <w:rFonts w:ascii="Times New Roman" w:eastAsia="Times New Roman" w:hAnsi="Times New Roman" w:cs="Times New Roman"/>
                <w:sz w:val="18"/>
                <w:szCs w:val="18"/>
                <w:lang w:val="ro-RO" w:eastAsia="ro-MD"/>
              </w:rPr>
              <w:t xml:space="preserve"> În sensul punctului 23 subpunctul 1), elementele care trebuie considerate indicii ale improbabilității de plată includ următoarele:</w:t>
            </w:r>
          </w:p>
          <w:p w14:paraId="6FC870FA" w14:textId="77777777" w:rsidR="00423706" w:rsidRPr="006F5136" w:rsidRDefault="0042370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banca încetează să mai contabilizeze dobânda aferentă obligației din credite;</w:t>
            </w:r>
          </w:p>
          <w:p w14:paraId="77A323B9" w14:textId="77777777" w:rsidR="00423706" w:rsidRPr="006F5136" w:rsidRDefault="0042370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banca recunoaște o ajustare specifică pentru riscul de credit, rezultată în urma perceperii unei deteriorări semnificative a calității creditului, ulterioară momentului în care banca s-a expus la risc;</w:t>
            </w:r>
          </w:p>
          <w:p w14:paraId="489E689E" w14:textId="77777777" w:rsidR="00423706" w:rsidRPr="006F5136" w:rsidRDefault="0042370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banca vinde obligația din credite înregistrând o pierdere economică semnificativă în legătură cu creditul;</w:t>
            </w:r>
          </w:p>
          <w:p w14:paraId="00204B58" w14:textId="36DBBBAC" w:rsidR="00423706" w:rsidRPr="006F5136" w:rsidRDefault="0042370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xml:space="preserve">4) banca </w:t>
            </w:r>
            <w:bookmarkStart w:id="15" w:name="_Hlk206506562"/>
            <w:r w:rsidRPr="006F5136">
              <w:rPr>
                <w:rFonts w:ascii="Times New Roman" w:eastAsia="Times New Roman" w:hAnsi="Times New Roman" w:cs="Times New Roman"/>
                <w:sz w:val="18"/>
                <w:szCs w:val="18"/>
                <w:lang w:val="ro-RO" w:eastAsia="ro-MD"/>
              </w:rPr>
              <w:t>este de acord cu o măsură de restructurare datorată dificultăților financiare, astfel cum se menționează în Regulamentul nr.109/2018</w:t>
            </w:r>
            <w:bookmarkEnd w:id="15"/>
            <w:r w:rsidRPr="006F5136">
              <w:rPr>
                <w:rFonts w:ascii="Times New Roman" w:eastAsia="Times New Roman" w:hAnsi="Times New Roman" w:cs="Times New Roman"/>
                <w:sz w:val="18"/>
                <w:szCs w:val="18"/>
                <w:lang w:val="ro-RO" w:eastAsia="ro-MD"/>
              </w:rPr>
              <w:t>, a obligației din credite, în cazul în care măsura respectivă poate conduce la reducerea obligației financiare, ca urmare a amânării sau a anulării la plată a unei părți semnificative a principalului, a dobânzii sau, dacă este cazul, a comisioanelor;</w:t>
            </w:r>
          </w:p>
          <w:p w14:paraId="71F72F8E" w14:textId="77777777" w:rsidR="00423706" w:rsidRPr="006F5136" w:rsidRDefault="0042370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5) banca a introdus o cerere prin care solicită deschiderea procedurii de faliment împotriva debitorului sau aplicarea unei măsuri similare pentru o obligație din credite a debitorului față de bancă, de întreprinderea-mamă sau față de oricare din filialele acesteia;</w:t>
            </w:r>
          </w:p>
          <w:p w14:paraId="32E84A75" w14:textId="77777777" w:rsidR="00423706" w:rsidRPr="006F5136" w:rsidRDefault="0042370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6) debitorul a solicitat deschiderea procedurii de faliment sau face obiectul acesteia sau al unei protecții similare, în cazul în care acest lucru ar conduce la evitarea sau întârzierea plății unei obligații din credite față de bancă, de întreprinderea-mamă sau față de oricare din filialele acesteia.</w:t>
            </w:r>
          </w:p>
          <w:p w14:paraId="02AF929E" w14:textId="77777777" w:rsidR="00423706" w:rsidRPr="006F5136" w:rsidRDefault="00423706" w:rsidP="005E4694">
            <w:pPr>
              <w:spacing w:after="0" w:line="240" w:lineRule="auto"/>
              <w:jc w:val="both"/>
              <w:rPr>
                <w:rFonts w:ascii="Times New Roman" w:eastAsia="Times New Roman" w:hAnsi="Times New Roman" w:cs="Times New Roman"/>
                <w:i/>
                <w:iCs/>
                <w:sz w:val="18"/>
                <w:szCs w:val="18"/>
                <w:lang w:val="ro-RO" w:eastAsia="ro-MD"/>
              </w:rPr>
            </w:pPr>
            <w:r w:rsidRPr="006F5136">
              <w:rPr>
                <w:rFonts w:ascii="Times New Roman" w:eastAsia="Times New Roman" w:hAnsi="Times New Roman" w:cs="Times New Roman"/>
                <w:i/>
                <w:iCs/>
                <w:sz w:val="18"/>
                <w:szCs w:val="18"/>
                <w:lang w:val="ro-RO" w:eastAsia="ro-MD"/>
              </w:rPr>
              <w:t>Modificat prin Proiectul HCE al BNM privind modificarea Regulamentului nr.111/2018.</w:t>
            </w:r>
          </w:p>
          <w:p w14:paraId="163B7977" w14:textId="77777777" w:rsidR="00423706" w:rsidRPr="006F5136" w:rsidRDefault="00423706" w:rsidP="005E4694">
            <w:pPr>
              <w:spacing w:after="0" w:line="240" w:lineRule="auto"/>
              <w:jc w:val="both"/>
              <w:rPr>
                <w:rFonts w:ascii="Times New Roman" w:eastAsia="Times New Roman" w:hAnsi="Times New Roman" w:cs="Times New Roman"/>
                <w:sz w:val="18"/>
                <w:szCs w:val="18"/>
                <w:lang w:val="ro-RO" w:eastAsia="ro-MD"/>
              </w:rPr>
            </w:pPr>
          </w:p>
          <w:p w14:paraId="4A815155" w14:textId="1522DD39" w:rsidR="0027576A" w:rsidRPr="006F5136" w:rsidRDefault="0027576A" w:rsidP="005E4694">
            <w:pPr>
              <w:pStyle w:val="CM4"/>
              <w:tabs>
                <w:tab w:val="left" w:pos="150"/>
              </w:tabs>
              <w:ind w:left="-36"/>
              <w:jc w:val="both"/>
              <w:rPr>
                <w:rFonts w:ascii="Times New Roman" w:hAnsi="Times New Roman"/>
                <w:sz w:val="18"/>
                <w:szCs w:val="18"/>
                <w:lang w:val="ro-RO" w:eastAsia="ru-RU"/>
              </w:rPr>
            </w:pPr>
          </w:p>
        </w:tc>
        <w:tc>
          <w:tcPr>
            <w:tcW w:w="503" w:type="pct"/>
          </w:tcPr>
          <w:p w14:paraId="5E19FAA6" w14:textId="0572D072" w:rsidR="0027576A" w:rsidRPr="006F5136" w:rsidRDefault="00D60A71" w:rsidP="005E4694">
            <w:pPr>
              <w:spacing w:after="0" w:line="240" w:lineRule="auto"/>
              <w:rPr>
                <w:rFonts w:ascii="Times New Roman" w:hAnsi="Times New Roman" w:cs="Times New Roman"/>
                <w:sz w:val="18"/>
                <w:szCs w:val="18"/>
                <w:lang w:val="ro-RO"/>
              </w:rPr>
            </w:pPr>
            <w:r>
              <w:rPr>
                <w:rFonts w:ascii="Times New Roman" w:hAnsi="Times New Roman" w:cs="Times New Roman"/>
                <w:sz w:val="18"/>
                <w:szCs w:val="18"/>
                <w:lang w:val="ro-RO"/>
              </w:rPr>
              <w:t>C</w:t>
            </w:r>
            <w:r w:rsidR="0027576A" w:rsidRPr="006F5136">
              <w:rPr>
                <w:rFonts w:ascii="Times New Roman" w:hAnsi="Times New Roman" w:cs="Times New Roman"/>
                <w:sz w:val="18"/>
                <w:szCs w:val="18"/>
                <w:lang w:val="ro-RO"/>
              </w:rPr>
              <w:t>ompatibil</w:t>
            </w:r>
          </w:p>
        </w:tc>
        <w:tc>
          <w:tcPr>
            <w:tcW w:w="912" w:type="pct"/>
          </w:tcPr>
          <w:p w14:paraId="14FAFCC8" w14:textId="695EA1FC" w:rsidR="0027576A" w:rsidRPr="006F5136"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p w14:paraId="25B1AB2A" w14:textId="70DE7585" w:rsidR="0027576A" w:rsidRPr="006F5136" w:rsidRDefault="0027576A" w:rsidP="005E4694">
            <w:pPr>
              <w:spacing w:after="0" w:line="240" w:lineRule="auto"/>
              <w:jc w:val="both"/>
              <w:rPr>
                <w:rFonts w:ascii="Times New Roman" w:hAnsi="Times New Roman" w:cs="Times New Roman"/>
                <w:sz w:val="18"/>
                <w:szCs w:val="18"/>
                <w:lang w:val="ro-RO"/>
              </w:rPr>
            </w:pPr>
          </w:p>
        </w:tc>
      </w:tr>
      <w:tr w:rsidR="006B3BC1" w:rsidRPr="006F5136" w14:paraId="3BF06D8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1924" w:type="pct"/>
          </w:tcPr>
          <w:p w14:paraId="72CF87CD" w14:textId="77777777" w:rsidR="006B3BC1" w:rsidRPr="006F5136" w:rsidRDefault="006B3BC1" w:rsidP="006B3BC1">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(4) Instituțiile care utilizează date externe care nu sunt prin ele însele coerente cu definiția stării de nerambursare prevăzută la alineatul (1), trebuie să efectueze ajustările adecvate pentru a obține o echivalență substanțială cu definiția stării de nerambursare.</w:t>
            </w:r>
          </w:p>
        </w:tc>
        <w:tc>
          <w:tcPr>
            <w:tcW w:w="1661" w:type="pct"/>
            <w:shd w:val="clear" w:color="auto" w:fill="auto"/>
          </w:tcPr>
          <w:p w14:paraId="7E18C2B8" w14:textId="77777777" w:rsidR="006B3BC1" w:rsidRPr="006F5136" w:rsidRDefault="006B3BC1" w:rsidP="006B3BC1">
            <w:pPr>
              <w:pStyle w:val="CM4"/>
              <w:tabs>
                <w:tab w:val="left" w:pos="150"/>
              </w:tabs>
              <w:ind w:left="-36"/>
              <w:rPr>
                <w:rFonts w:ascii="Times New Roman" w:hAnsi="Times New Roman"/>
                <w:sz w:val="18"/>
                <w:szCs w:val="18"/>
                <w:lang w:val="ro-RO" w:eastAsia="ro-MD"/>
              </w:rPr>
            </w:pPr>
            <w:r w:rsidRPr="006F5136">
              <w:rPr>
                <w:rFonts w:ascii="Times New Roman" w:hAnsi="Times New Roman"/>
                <w:b/>
                <w:bCs/>
                <w:sz w:val="18"/>
                <w:szCs w:val="18"/>
                <w:lang w:val="ro-RO" w:eastAsia="ro-MD"/>
              </w:rPr>
              <w:t>27</w:t>
            </w:r>
            <w:r w:rsidRPr="006F5136">
              <w:rPr>
                <w:rFonts w:ascii="Times New Roman" w:hAnsi="Times New Roman"/>
                <w:b/>
                <w:bCs/>
                <w:sz w:val="18"/>
                <w:szCs w:val="18"/>
                <w:vertAlign w:val="superscript"/>
                <w:lang w:val="ro-RO" w:eastAsia="ro-MD"/>
              </w:rPr>
              <w:t>1</w:t>
            </w:r>
            <w:r w:rsidRPr="006F5136">
              <w:rPr>
                <w:rFonts w:ascii="Times New Roman" w:hAnsi="Times New Roman"/>
                <w:b/>
                <w:bCs/>
                <w:sz w:val="18"/>
                <w:szCs w:val="18"/>
                <w:lang w:val="ro-RO" w:eastAsia="ro-MD"/>
              </w:rPr>
              <w:t>.</w:t>
            </w:r>
            <w:r w:rsidRPr="006F5136">
              <w:rPr>
                <w:rFonts w:ascii="Times New Roman" w:hAnsi="Times New Roman"/>
                <w:sz w:val="18"/>
                <w:szCs w:val="18"/>
                <w:lang w:val="ro-RO" w:eastAsia="ro-MD"/>
              </w:rPr>
              <w:t xml:space="preserve"> Băncile care utilizează date externe care nu sunt coerente cu definiția stării de nerambursare prevăzută la prezenta secțiune, trebuie să efectueze ajustările adecvate pentru a obține o echivalență substanțială cu definiția stării de nerambursare.</w:t>
            </w:r>
          </w:p>
          <w:p w14:paraId="0B0BC026" w14:textId="02A1F5A2" w:rsidR="006B3BC1" w:rsidRPr="006F5136" w:rsidRDefault="006B3BC1" w:rsidP="006B3BC1">
            <w:pPr>
              <w:spacing w:after="0" w:line="240" w:lineRule="auto"/>
              <w:rPr>
                <w:rFonts w:ascii="Times New Roman" w:hAnsi="Times New Roman" w:cs="Times New Roman"/>
                <w:i/>
                <w:iCs/>
                <w:sz w:val="18"/>
                <w:szCs w:val="18"/>
                <w:lang w:val="ro-RO" w:eastAsia="ro-MD"/>
              </w:rPr>
            </w:pPr>
            <w:r w:rsidRPr="006F5136">
              <w:rPr>
                <w:rFonts w:ascii="Times New Roman" w:hAnsi="Times New Roman" w:cs="Times New Roman"/>
                <w:i/>
                <w:iCs/>
                <w:sz w:val="18"/>
                <w:szCs w:val="18"/>
                <w:lang w:val="ro-RO" w:eastAsia="ro-MD"/>
              </w:rPr>
              <w:t>Proiectul HCE al BNM privind modificarea Regulamentului nr.111/2018</w:t>
            </w:r>
          </w:p>
        </w:tc>
        <w:tc>
          <w:tcPr>
            <w:tcW w:w="503" w:type="pct"/>
          </w:tcPr>
          <w:p w14:paraId="5CD7274D" w14:textId="2D748264" w:rsidR="006B3BC1" w:rsidRPr="006F5136" w:rsidRDefault="006B3BC1" w:rsidP="006B3BC1">
            <w:pPr>
              <w:spacing w:after="0" w:line="240" w:lineRule="auto"/>
              <w:rPr>
                <w:rFonts w:ascii="Times New Roman" w:eastAsia="Arial Unicode MS"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450BA956" w14:textId="69BAFAA9" w:rsidR="006B3BC1" w:rsidRPr="006F5136" w:rsidRDefault="006B3BC1" w:rsidP="006B3BC1">
            <w:pPr>
              <w:spacing w:after="0" w:line="240" w:lineRule="auto"/>
              <w:rPr>
                <w:rFonts w:ascii="Times New Roman" w:eastAsia="Arial Unicode MS"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27576A" w:rsidRPr="006F5136" w14:paraId="6E840631"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1924" w:type="pct"/>
          </w:tcPr>
          <w:p w14:paraId="760B0170"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(5) Dacă instituția consideră că o expunere clasificată anterior ca fiind aflată în stare de nerambursare nu mai prezintă niciuna din caracteristicile care declanșează starea de nerambursare, aceasta clasifică debitorul sau tranzacția astfel cum ar proceda în cazul unei expuneri care nu se află în stare de nerambursare. Dacă definiția stării de nerambursare devine ulterior aplicabilă, instituția consideră că a intervenit o altă stare de nerambursare.</w:t>
            </w:r>
          </w:p>
        </w:tc>
        <w:tc>
          <w:tcPr>
            <w:tcW w:w="1661" w:type="pct"/>
            <w:shd w:val="clear" w:color="auto" w:fill="auto"/>
          </w:tcPr>
          <w:p w14:paraId="18D515B2" w14:textId="77777777" w:rsidR="0027576A" w:rsidRPr="006F5136" w:rsidRDefault="0027576A" w:rsidP="005E4694">
            <w:pPr>
              <w:pStyle w:val="CM4"/>
              <w:tabs>
                <w:tab w:val="left" w:pos="150"/>
              </w:tabs>
              <w:ind w:left="-36"/>
              <w:jc w:val="both"/>
              <w:rPr>
                <w:rFonts w:ascii="Times New Roman" w:hAnsi="Times New Roman"/>
                <w:sz w:val="18"/>
                <w:szCs w:val="18"/>
                <w:lang w:val="ro-RO" w:eastAsia="ru-RU"/>
              </w:rPr>
            </w:pPr>
            <w:r w:rsidRPr="006F5136">
              <w:rPr>
                <w:rFonts w:ascii="Times New Roman" w:hAnsi="Times New Roman"/>
                <w:b/>
                <w:bCs/>
                <w:sz w:val="18"/>
                <w:szCs w:val="18"/>
                <w:lang w:val="ro-RO" w:eastAsia="ru-RU"/>
              </w:rPr>
              <w:t>27.</w:t>
            </w:r>
            <w:r w:rsidRPr="006F5136">
              <w:rPr>
                <w:rFonts w:ascii="Times New Roman" w:hAnsi="Times New Roman"/>
                <w:sz w:val="18"/>
                <w:szCs w:val="18"/>
                <w:lang w:val="ro-RO" w:eastAsia="ru-RU"/>
              </w:rPr>
              <w:t xml:space="preserve"> Dacă banca constată că o expunere considerată anterior ca fiind în stare de nerambursare nu mai prezintă niciuna din caracteristicile care declanșează starea de nerambursare timp de cel puțin 3 luni, se clasifică astfel cum ar proceda în cazul unei expuneri care nu se află în stare de nerambursare. În cursul perioadei menționate, banca va lua în considerare comportamentul și situația financiară a debitorului. Dacă definiția stării de nerambursare devine ulterior aplicabilă, banca consideră că a intervenit o altă stare de nerambursare.</w:t>
            </w:r>
          </w:p>
          <w:p w14:paraId="69FB1CA6" w14:textId="1B968135" w:rsidR="00CB343A" w:rsidRPr="006F5136" w:rsidRDefault="00CB343A" w:rsidP="005E4694">
            <w:pPr>
              <w:spacing w:after="0" w:line="240" w:lineRule="auto"/>
              <w:jc w:val="both"/>
              <w:rPr>
                <w:rFonts w:ascii="Times New Roman" w:hAnsi="Times New Roman" w:cs="Times New Roman"/>
                <w:sz w:val="18"/>
                <w:szCs w:val="18"/>
                <w:lang w:val="ro-RO" w:eastAsia="ru-RU"/>
              </w:rPr>
            </w:pPr>
            <w:r w:rsidRPr="006F5136">
              <w:rPr>
                <w:rFonts w:ascii="Times New Roman" w:eastAsia="Times New Roman" w:hAnsi="Times New Roman" w:cs="Times New Roman"/>
                <w:b/>
                <w:bCs/>
                <w:sz w:val="18"/>
                <w:szCs w:val="18"/>
                <w:lang w:val="ro-RO" w:eastAsia="ro-MD"/>
              </w:rPr>
              <w:t>28.</w:t>
            </w:r>
            <w:r w:rsidRPr="006F5136">
              <w:rPr>
                <w:rFonts w:ascii="Times New Roman" w:eastAsia="Times New Roman" w:hAnsi="Times New Roman" w:cs="Times New Roman"/>
                <w:sz w:val="18"/>
                <w:szCs w:val="18"/>
                <w:lang w:val="ro-RO" w:eastAsia="ro-MD"/>
              </w:rPr>
              <w:t xml:space="preserve"> În cazul în care unei expuneri în stare de nerambursare i se aplică o restructurare datorată dificultăților financiare, pentru excluderea expunerii din clasa „expuneri în starea de nerambursare”, banca ia în considerare faptul că niciun factor care declanșează starea de nerambursare nu continuă să se aplice respectivei expuneri timp de cel puțin 1 an de la cel mai recent eveniment dintre momentul în care expunerea a fost clasificată în stare de nerambursare, momentul extinderii măsurilor de restructurare sau sfârșitul perioadei de grație incluse în acordurile de restructurare.</w:t>
            </w:r>
          </w:p>
        </w:tc>
        <w:tc>
          <w:tcPr>
            <w:tcW w:w="503" w:type="pct"/>
          </w:tcPr>
          <w:p w14:paraId="6186F08F" w14:textId="77777777"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7BC03BE0" w14:textId="3C347D3E" w:rsidR="0027576A" w:rsidRDefault="004C773E"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p w14:paraId="544B3994" w14:textId="77777777" w:rsidR="001414D9" w:rsidRPr="006F5136" w:rsidRDefault="001414D9" w:rsidP="005E4694">
            <w:pPr>
              <w:spacing w:after="0" w:line="240" w:lineRule="auto"/>
              <w:jc w:val="both"/>
              <w:rPr>
                <w:rFonts w:ascii="Times New Roman" w:hAnsi="Times New Roman" w:cs="Times New Roman"/>
                <w:sz w:val="18"/>
                <w:szCs w:val="18"/>
                <w:lang w:val="ro-RO"/>
              </w:rPr>
            </w:pPr>
          </w:p>
          <w:p w14:paraId="10C77924" w14:textId="7EE191E1" w:rsidR="0027576A" w:rsidRPr="006F5136" w:rsidRDefault="00CB343A"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C</w:t>
            </w:r>
            <w:r w:rsidR="0027576A" w:rsidRPr="006F5136">
              <w:rPr>
                <w:rFonts w:ascii="Times New Roman" w:hAnsi="Times New Roman" w:cs="Times New Roman"/>
                <w:sz w:val="18"/>
                <w:szCs w:val="18"/>
                <w:lang w:val="ro-RO"/>
              </w:rPr>
              <w:t>ompletat cu prevederi din Ghidul EBA EBA/GL/2016/07 din 18/01/2017 privind aplicarea definiției stării de nerambursare în temeiul articolului 178 din Regulamentul (UE) nr. 575/2013.</w:t>
            </w:r>
          </w:p>
        </w:tc>
      </w:tr>
      <w:tr w:rsidR="0027576A" w:rsidRPr="006F5136" w14:paraId="63C3E05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1924" w:type="pct"/>
          </w:tcPr>
          <w:p w14:paraId="3C0C3DA0"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(6) ABE elaborează proiecte de standarde tehnice de reglementare care să specifice condițiile în conformitate cu care o autoritate competentă trebuie să stabilească pragul menționat la alineatul (2) litera (d).</w:t>
            </w:r>
          </w:p>
          <w:p w14:paraId="3CA4E97C"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ABE transmite Comisiei aceste proiecte de standarde tehnice de reglementare până la 31 decembrie 2014.</w:t>
            </w:r>
          </w:p>
          <w:p w14:paraId="1D9E0308"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Competența de a adopta standardele tehnice de reglementare menționate la primul paragraf este delegată Comisiei în conformitate cu articolele 10-14 din Regulamentul (UE) nr. 1093/2010.</w:t>
            </w:r>
          </w:p>
        </w:tc>
        <w:tc>
          <w:tcPr>
            <w:tcW w:w="1661" w:type="pct"/>
            <w:shd w:val="clear" w:color="auto" w:fill="auto"/>
          </w:tcPr>
          <w:p w14:paraId="251AAFB5"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0BD3796A" w14:textId="4F428F41"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Norme UE neaplicabile</w:t>
            </w:r>
          </w:p>
        </w:tc>
        <w:tc>
          <w:tcPr>
            <w:tcW w:w="912" w:type="pct"/>
          </w:tcPr>
          <w:p w14:paraId="4AE595FF" w14:textId="4A606C26" w:rsidR="0027576A" w:rsidRPr="006F5136" w:rsidRDefault="0027576A"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Prevederea vizează atribuțiile ABE.</w:t>
            </w:r>
          </w:p>
        </w:tc>
      </w:tr>
      <w:tr w:rsidR="0027576A" w:rsidRPr="006F5136" w14:paraId="6A44861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3"/>
        </w:trPr>
        <w:tc>
          <w:tcPr>
            <w:tcW w:w="1924" w:type="pct"/>
          </w:tcPr>
          <w:p w14:paraId="4B6BB949"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hAnsi="Times New Roman"/>
                <w:iCs/>
                <w:sz w:val="18"/>
                <w:szCs w:val="18"/>
                <w:lang w:val="ro-RO" w:eastAsia="ru-RU"/>
              </w:rPr>
              <w:t>(7) ABE emite ghiduri cu privire la aplicarea prezentului articol. Respectivele ghiduri se adoptă în conformitate cu articolul 16 din Regulamentul (UE) nr. 1093/2010.</w:t>
            </w:r>
          </w:p>
          <w:p w14:paraId="322F4BED" w14:textId="77777777" w:rsidR="0027576A" w:rsidRPr="006F5136" w:rsidRDefault="0027576A" w:rsidP="005E4694">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▼M17</w:t>
            </w:r>
          </w:p>
          <w:p w14:paraId="5B808316" w14:textId="77777777" w:rsidR="0027576A" w:rsidRPr="006F5136" w:rsidRDefault="0027576A" w:rsidP="005E4694">
            <w:pPr>
              <w:spacing w:after="0" w:line="240" w:lineRule="auto"/>
              <w:jc w:val="both"/>
              <w:rPr>
                <w:rFonts w:ascii="Times New Roman" w:eastAsia="Times New Roman" w:hAnsi="Times New Roman" w:cs="Times New Roman"/>
                <w:iCs/>
                <w:sz w:val="18"/>
                <w:szCs w:val="18"/>
                <w:lang w:val="ro-RO" w:eastAsia="ru-RU"/>
              </w:rPr>
            </w:pPr>
            <w:r w:rsidRPr="006F5136">
              <w:rPr>
                <w:rFonts w:ascii="Times New Roman" w:eastAsia="Times New Roman" w:hAnsi="Times New Roman" w:cs="Times New Roman"/>
                <w:iCs/>
                <w:sz w:val="18"/>
                <w:szCs w:val="18"/>
                <w:lang w:val="ro-RO" w:eastAsia="ru-RU"/>
              </w:rPr>
              <w:t>Până la 10 iulie 2025, ABE emite ghiduri, în conformitate cu articolul 16 din Regulamentul (UE) nr. 1093/2010, pentru a actualiza ghidurile menționate la primul paragraf de la prezentul alineat. În special, actualizarea respectivă ține seama în mod corespunzător de necesitatea de a încuraja instituțiile să se angajeze într-o restructurare proactivă, preventivă și semnificativă a datoriilor pentru a sprijini debitorii.</w:t>
            </w:r>
          </w:p>
          <w:p w14:paraId="2F00B1A3" w14:textId="6C31C179" w:rsidR="0027576A" w:rsidRPr="006F5136" w:rsidRDefault="0027576A" w:rsidP="005E4694">
            <w:pPr>
              <w:spacing w:after="0" w:line="240" w:lineRule="auto"/>
              <w:jc w:val="both"/>
              <w:rPr>
                <w:rFonts w:ascii="Times New Roman" w:hAnsi="Times New Roman" w:cs="Times New Roman"/>
                <w:sz w:val="18"/>
                <w:szCs w:val="18"/>
                <w:lang w:eastAsia="ru-RU"/>
              </w:rPr>
            </w:pPr>
            <w:r w:rsidRPr="006F5136">
              <w:rPr>
                <w:rFonts w:ascii="Times New Roman" w:eastAsia="Times New Roman" w:hAnsi="Times New Roman" w:cs="Times New Roman"/>
                <w:iCs/>
                <w:sz w:val="18"/>
                <w:szCs w:val="18"/>
                <w:lang w:val="ro-RO" w:eastAsia="ru-RU"/>
              </w:rPr>
              <w:t>La elaborarea ghidurilor respective, ABE ia în considerare în mod corespunzător necesitatea de a acorda instituțiilor suficientă flexibilitate pentru precizarea a ceea ce constituie o obligație financiară diminuată în sensul alineatului (3) litera (d).</w:t>
            </w:r>
          </w:p>
        </w:tc>
        <w:tc>
          <w:tcPr>
            <w:tcW w:w="1661" w:type="pct"/>
            <w:shd w:val="clear" w:color="auto" w:fill="auto"/>
          </w:tcPr>
          <w:p w14:paraId="76E62B14" w14:textId="77777777" w:rsidR="0027576A" w:rsidRPr="006F5136" w:rsidRDefault="0027576A" w:rsidP="005E4694">
            <w:pPr>
              <w:pStyle w:val="CM4"/>
              <w:tabs>
                <w:tab w:val="left" w:pos="150"/>
              </w:tabs>
              <w:ind w:left="-36"/>
              <w:rPr>
                <w:rFonts w:ascii="Times New Roman" w:hAnsi="Times New Roman"/>
                <w:sz w:val="18"/>
                <w:szCs w:val="18"/>
                <w:lang w:val="ro-RO" w:eastAsia="ru-RU"/>
              </w:rPr>
            </w:pPr>
          </w:p>
        </w:tc>
        <w:tc>
          <w:tcPr>
            <w:tcW w:w="503" w:type="pct"/>
          </w:tcPr>
          <w:p w14:paraId="770F8BCF" w14:textId="5C6CF77E"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Norme UE neaplicabile</w:t>
            </w:r>
          </w:p>
        </w:tc>
        <w:tc>
          <w:tcPr>
            <w:tcW w:w="912" w:type="pct"/>
          </w:tcPr>
          <w:p w14:paraId="2A73739F" w14:textId="5BE36BE1" w:rsidR="0027576A" w:rsidRPr="006F5136" w:rsidRDefault="0027576A" w:rsidP="005E4694">
            <w:pPr>
              <w:spacing w:after="0" w:line="240" w:lineRule="auto"/>
              <w:jc w:val="both"/>
              <w:rPr>
                <w:rFonts w:ascii="Times New Roman" w:hAnsi="Times New Roman" w:cs="Times New Roman"/>
                <w:sz w:val="18"/>
                <w:szCs w:val="18"/>
                <w:lang w:val="ro-RO"/>
              </w:rPr>
            </w:pPr>
            <w:r w:rsidRPr="006F5136">
              <w:rPr>
                <w:rFonts w:ascii="Times New Roman" w:hAnsi="Times New Roman" w:cs="Times New Roman"/>
                <w:sz w:val="18"/>
                <w:szCs w:val="18"/>
                <w:lang w:val="ro-RO"/>
              </w:rPr>
              <w:t>Prevederea vizează atribuțiile ABE.</w:t>
            </w:r>
          </w:p>
        </w:tc>
      </w:tr>
      <w:tr w:rsidR="0027576A" w:rsidRPr="006F5136" w14:paraId="6815420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1B8A774" w14:textId="77777777" w:rsidR="0027576A" w:rsidRPr="006F5136" w:rsidRDefault="0027576A" w:rsidP="005E4694">
            <w:pPr>
              <w:pStyle w:val="CM4"/>
              <w:tabs>
                <w:tab w:val="left" w:pos="150"/>
              </w:tabs>
              <w:ind w:left="-43"/>
              <w:jc w:val="both"/>
              <w:rPr>
                <w:rFonts w:ascii="Times New Roman" w:hAnsi="Times New Roman"/>
                <w:iCs/>
                <w:sz w:val="18"/>
                <w:szCs w:val="18"/>
                <w:lang w:val="ro-RO" w:eastAsia="ru-RU"/>
              </w:rPr>
            </w:pPr>
            <w:r w:rsidRPr="006F5136">
              <w:rPr>
                <w:rFonts w:ascii="Times New Roman" w:eastAsia="Arial Unicode MS" w:hAnsi="Times New Roman"/>
                <w:i/>
                <w:iCs/>
                <w:sz w:val="18"/>
                <w:szCs w:val="18"/>
                <w:lang w:val="ro-RO"/>
              </w:rPr>
              <w:t>Articolul 1</w:t>
            </w:r>
            <w:r w:rsidRPr="006F5136">
              <w:rPr>
                <w:rFonts w:ascii="Times New Roman" w:eastAsia="Arial Unicode MS" w:hAnsi="Times New Roman"/>
                <w:bCs/>
                <w:i/>
                <w:sz w:val="18"/>
                <w:szCs w:val="18"/>
                <w:lang w:val="ro-RO"/>
              </w:rPr>
              <w:t xml:space="preserve">79 </w:t>
            </w:r>
            <w:r w:rsidRPr="006F5136">
              <w:rPr>
                <w:rFonts w:ascii="Times New Roman" w:eastAsia="Arial Unicode MS" w:hAnsi="Times New Roman"/>
                <w:b/>
                <w:bCs/>
                <w:sz w:val="18"/>
                <w:szCs w:val="18"/>
                <w:lang w:val="ro-RO"/>
              </w:rPr>
              <w:t>Cerințe generale privind estimare</w:t>
            </w:r>
            <w:r w:rsidRPr="006F5136">
              <w:rPr>
                <w:rFonts w:ascii="Times New Roman" w:eastAsia="Arial Unicode MS" w:hAnsi="Times New Roman"/>
                <w:bCs/>
                <w:sz w:val="18"/>
                <w:szCs w:val="18"/>
                <w:lang w:val="ro-RO"/>
              </w:rPr>
              <w:t xml:space="preserve"> - </w:t>
            </w:r>
            <w:r w:rsidRPr="006F5136">
              <w:rPr>
                <w:rFonts w:ascii="Times New Roman" w:eastAsia="Arial Unicode MS" w:hAnsi="Times New Roman"/>
                <w:bCs/>
                <w:i/>
                <w:sz w:val="18"/>
                <w:szCs w:val="18"/>
                <w:lang w:val="ro-RO"/>
              </w:rPr>
              <w:t>Articolul 191</w:t>
            </w:r>
            <w:r w:rsidRPr="006F5136">
              <w:rPr>
                <w:rFonts w:ascii="Times New Roman" w:eastAsia="Arial Unicode MS" w:hAnsi="Times New Roman"/>
                <w:b/>
                <w:bCs/>
                <w:sz w:val="18"/>
                <w:szCs w:val="18"/>
                <w:lang w:val="ro-RO"/>
              </w:rPr>
              <w:t xml:space="preserve"> Auditul intern</w:t>
            </w:r>
          </w:p>
        </w:tc>
        <w:tc>
          <w:tcPr>
            <w:tcW w:w="1661" w:type="pct"/>
          </w:tcPr>
          <w:p w14:paraId="43FCE4A8" w14:textId="77777777" w:rsidR="0027576A" w:rsidRPr="006F5136" w:rsidRDefault="0027576A" w:rsidP="005E4694">
            <w:pPr>
              <w:spacing w:after="0" w:line="240" w:lineRule="auto"/>
              <w:rPr>
                <w:rFonts w:ascii="Times New Roman" w:hAnsi="Times New Roman" w:cs="Times New Roman"/>
                <w:b/>
                <w:sz w:val="18"/>
                <w:szCs w:val="18"/>
                <w:lang w:val="ro-RO"/>
              </w:rPr>
            </w:pPr>
          </w:p>
        </w:tc>
        <w:tc>
          <w:tcPr>
            <w:tcW w:w="503" w:type="pct"/>
          </w:tcPr>
          <w:p w14:paraId="57DCE0DD" w14:textId="5B5F855F"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Norme UE netranspuse</w:t>
            </w:r>
          </w:p>
        </w:tc>
        <w:tc>
          <w:tcPr>
            <w:tcW w:w="912" w:type="pct"/>
          </w:tcPr>
          <w:p w14:paraId="7D352037" w14:textId="458EEA86" w:rsidR="0027576A" w:rsidRPr="006F5136" w:rsidRDefault="0027576A"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Va fi transpusă în reglementările ce țin de abordarea IRB.</w:t>
            </w:r>
          </w:p>
        </w:tc>
      </w:tr>
      <w:tr w:rsidR="00DF23AE" w:rsidRPr="006F5136" w14:paraId="0FB4C7DE"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5308BDF" w14:textId="2849AD0B" w:rsidR="00DF23AE" w:rsidRPr="006F5136" w:rsidRDefault="00DF23AE" w:rsidP="005E4694">
            <w:pPr>
              <w:pStyle w:val="title-article-norm"/>
              <w:shd w:val="clear" w:color="auto" w:fill="FFFFFF"/>
              <w:spacing w:before="0" w:after="0"/>
              <w:jc w:val="left"/>
              <w:rPr>
                <w:rFonts w:eastAsia="Arial Unicode MS"/>
                <w:b/>
                <w:bCs/>
                <w:color w:val="000000" w:themeColor="text1"/>
                <w:sz w:val="18"/>
                <w:szCs w:val="18"/>
              </w:rPr>
            </w:pPr>
            <w:r w:rsidRPr="006F5136">
              <w:rPr>
                <w:rFonts w:eastAsia="Arial Unicode MS"/>
                <w:color w:val="000000" w:themeColor="text1"/>
                <w:sz w:val="18"/>
                <w:szCs w:val="18"/>
              </w:rPr>
              <w:t>Articolul 208</w:t>
            </w:r>
            <w:r w:rsidRPr="006F5136">
              <w:rPr>
                <w:rFonts w:eastAsia="Arial Unicode MS"/>
                <w:i w:val="0"/>
                <w:iCs w:val="0"/>
                <w:color w:val="000000" w:themeColor="text1"/>
                <w:sz w:val="18"/>
                <w:szCs w:val="18"/>
              </w:rPr>
              <w:t xml:space="preserve"> </w:t>
            </w:r>
            <w:r w:rsidRPr="006F5136">
              <w:rPr>
                <w:rFonts w:eastAsia="Arial Unicode MS"/>
                <w:b/>
                <w:bCs/>
                <w:color w:val="000000" w:themeColor="text1"/>
                <w:sz w:val="18"/>
                <w:szCs w:val="18"/>
              </w:rPr>
              <w:t xml:space="preserve">Cerințe privind garanțiile sub forma bunurilor </w:t>
            </w:r>
            <w:r w:rsidR="00CF769C" w:rsidRPr="006F5136">
              <w:rPr>
                <w:rFonts w:eastAsia="Arial Unicode MS"/>
                <w:b/>
                <w:bCs/>
                <w:color w:val="000000" w:themeColor="text1"/>
                <w:sz w:val="18"/>
                <w:szCs w:val="18"/>
              </w:rPr>
              <w:t>immobile</w:t>
            </w:r>
          </w:p>
          <w:p w14:paraId="68D3199C" w14:textId="77777777" w:rsidR="00CF769C" w:rsidRPr="006F5136" w:rsidRDefault="00CF769C" w:rsidP="005E4694">
            <w:pPr>
              <w:pStyle w:val="title-article-norm"/>
              <w:shd w:val="clear" w:color="auto" w:fill="FFFFFF"/>
              <w:spacing w:before="0" w:after="0"/>
              <w:jc w:val="left"/>
              <w:rPr>
                <w:rFonts w:eastAsia="Arial Unicode MS"/>
                <w:b/>
                <w:bCs/>
                <w:i w:val="0"/>
                <w:iCs w:val="0"/>
                <w:color w:val="000000" w:themeColor="text1"/>
                <w:sz w:val="18"/>
                <w:szCs w:val="18"/>
              </w:rPr>
            </w:pPr>
          </w:p>
          <w:p w14:paraId="4CA666DB" w14:textId="77777777" w:rsidR="00CF769C" w:rsidRPr="006F5136" w:rsidRDefault="00CF769C" w:rsidP="005E4694">
            <w:pPr>
              <w:pStyle w:val="title-article-norm"/>
              <w:shd w:val="clear" w:color="auto" w:fill="FFFFFF"/>
              <w:spacing w:before="0" w:after="0"/>
              <w:jc w:val="left"/>
              <w:rPr>
                <w:rFonts w:eastAsia="Arial Unicode MS"/>
                <w:b/>
                <w:bCs/>
                <w:i w:val="0"/>
                <w:iCs w:val="0"/>
                <w:color w:val="000000" w:themeColor="text1"/>
                <w:sz w:val="18"/>
                <w:szCs w:val="18"/>
              </w:rPr>
            </w:pPr>
          </w:p>
          <w:p w14:paraId="6528C2CB" w14:textId="77777777" w:rsidR="00CF769C" w:rsidRPr="006F5136" w:rsidRDefault="00CF769C" w:rsidP="005E4694">
            <w:pPr>
              <w:pStyle w:val="title-article-norm"/>
              <w:shd w:val="clear" w:color="auto" w:fill="FFFFFF"/>
              <w:spacing w:before="0" w:after="0"/>
              <w:jc w:val="left"/>
              <w:rPr>
                <w:rFonts w:eastAsia="Arial Unicode MS"/>
                <w:b/>
                <w:bCs/>
                <w:i w:val="0"/>
                <w:iCs w:val="0"/>
                <w:color w:val="000000" w:themeColor="text1"/>
                <w:sz w:val="18"/>
                <w:szCs w:val="18"/>
              </w:rPr>
            </w:pPr>
          </w:p>
          <w:p w14:paraId="29BDDEDF" w14:textId="77777777" w:rsidR="00CF769C" w:rsidRPr="006F5136" w:rsidRDefault="00CF769C" w:rsidP="005E4694">
            <w:pPr>
              <w:pStyle w:val="title-article-norm"/>
              <w:shd w:val="clear" w:color="auto" w:fill="FFFFFF"/>
              <w:spacing w:before="0" w:after="0"/>
              <w:jc w:val="left"/>
              <w:rPr>
                <w:rFonts w:eastAsia="Arial Unicode MS"/>
                <w:b/>
                <w:bCs/>
                <w:i w:val="0"/>
                <w:iCs w:val="0"/>
                <w:color w:val="000000" w:themeColor="text1"/>
                <w:sz w:val="18"/>
                <w:szCs w:val="18"/>
              </w:rPr>
            </w:pPr>
          </w:p>
          <w:p w14:paraId="0EC76923" w14:textId="77777777" w:rsidR="00410626" w:rsidRPr="006F5136" w:rsidRDefault="00410626" w:rsidP="005E4694">
            <w:pPr>
              <w:pStyle w:val="title-article-norm"/>
              <w:shd w:val="clear" w:color="auto" w:fill="FFFFFF"/>
              <w:spacing w:before="0" w:after="0"/>
              <w:jc w:val="left"/>
              <w:rPr>
                <w:rFonts w:eastAsia="Arial Unicode MS"/>
                <w:b/>
                <w:bCs/>
                <w:i w:val="0"/>
                <w:iCs w:val="0"/>
                <w:color w:val="000000" w:themeColor="text1"/>
                <w:sz w:val="18"/>
                <w:szCs w:val="18"/>
              </w:rPr>
            </w:pPr>
          </w:p>
          <w:p w14:paraId="4ABF18D0" w14:textId="131918D8" w:rsidR="00DF23AE" w:rsidRPr="006F5136" w:rsidRDefault="00DF23AE" w:rsidP="005E4694">
            <w:pPr>
              <w:shd w:val="clear" w:color="auto" w:fill="FFFFFF"/>
              <w:spacing w:after="0" w:line="240" w:lineRule="auto"/>
              <w:rPr>
                <w:rFonts w:ascii="Times New Roman" w:eastAsia="Arial Unicode MS" w:hAnsi="Times New Roman" w:cs="Times New Roman"/>
                <w:i/>
                <w:iCs/>
                <w:color w:val="000000" w:themeColor="text1"/>
                <w:sz w:val="18"/>
                <w:szCs w:val="18"/>
              </w:rPr>
            </w:pPr>
            <w:r w:rsidRPr="006F5136">
              <w:rPr>
                <w:rStyle w:val="no-parag"/>
                <w:rFonts w:ascii="Times New Roman" w:eastAsia="Arial Unicode MS" w:hAnsi="Times New Roman" w:cs="Times New Roman"/>
                <w:color w:val="000000" w:themeColor="text1"/>
                <w:sz w:val="18"/>
                <w:szCs w:val="18"/>
              </w:rPr>
              <w:t>(1)  </w:t>
            </w:r>
            <w:r w:rsidRPr="006F5136">
              <w:rPr>
                <w:rFonts w:ascii="Times New Roman" w:eastAsia="Arial Unicode MS" w:hAnsi="Times New Roman" w:cs="Times New Roman"/>
                <w:color w:val="000000" w:themeColor="text1"/>
                <w:sz w:val="18"/>
                <w:szCs w:val="18"/>
              </w:rPr>
              <w:t> Bunurile imobile se califică drept garanții reale eligibile numai dacă sunt îndeplinite toate cerințele prevăzute la alineatele (2)-(5).</w:t>
            </w:r>
          </w:p>
        </w:tc>
        <w:tc>
          <w:tcPr>
            <w:tcW w:w="1661" w:type="pct"/>
          </w:tcPr>
          <w:p w14:paraId="673DE87B" w14:textId="338D8354" w:rsidR="00CF769C" w:rsidRPr="006F5136" w:rsidRDefault="00CF769C"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Anexa nr.2 la Regulamentul cu privire la tratamentul riscului de credit pentru bănci potrivit abordării standardizate</w:t>
            </w:r>
          </w:p>
          <w:p w14:paraId="186F28E7" w14:textId="77777777" w:rsidR="00DF23AE" w:rsidRPr="006F5136" w:rsidRDefault="00CF769C" w:rsidP="005E4694">
            <w:pPr>
              <w:spacing w:after="0" w:line="240" w:lineRule="auto"/>
              <w:rPr>
                <w:rFonts w:ascii="Times New Roman" w:hAnsi="Times New Roman" w:cs="Times New Roman"/>
                <w:b/>
                <w:sz w:val="18"/>
                <w:szCs w:val="18"/>
                <w:lang w:val="ro-RO"/>
              </w:rPr>
            </w:pPr>
            <w:r w:rsidRPr="006F5136">
              <w:rPr>
                <w:rFonts w:ascii="Times New Roman" w:hAnsi="Times New Roman" w:cs="Times New Roman"/>
                <w:b/>
                <w:sz w:val="18"/>
                <w:szCs w:val="18"/>
                <w:lang w:val="ro-RO"/>
              </w:rPr>
              <w:t>Cerințe aferente bunurilor imobile și reguli de evaluare în sensul atribuirii expunerilor clasei garantate  cu ipoteci asupra bunurilor imobile</w:t>
            </w:r>
          </w:p>
          <w:p w14:paraId="2027C9B1" w14:textId="44DAC1A1" w:rsidR="00CF769C" w:rsidRPr="006F5136" w:rsidRDefault="00CF769C" w:rsidP="005E4694">
            <w:pPr>
              <w:spacing w:after="0" w:line="240" w:lineRule="auto"/>
              <w:jc w:val="both"/>
              <w:rPr>
                <w:rFonts w:ascii="Times New Roman" w:hAnsi="Times New Roman" w:cs="Times New Roman"/>
                <w:bCs/>
                <w:sz w:val="18"/>
                <w:szCs w:val="18"/>
                <w:lang w:val="ro-RO"/>
              </w:rPr>
            </w:pPr>
            <w:r w:rsidRPr="006F5136">
              <w:rPr>
                <w:rFonts w:ascii="Times New Roman" w:eastAsia="Times New Roman" w:hAnsi="Times New Roman" w:cs="Times New Roman"/>
                <w:b/>
                <w:bCs/>
                <w:sz w:val="18"/>
                <w:szCs w:val="18"/>
                <w:lang w:val="ro-RO" w:eastAsia="ro-MD"/>
              </w:rPr>
              <w:t>1.</w:t>
            </w:r>
            <w:r w:rsidRPr="006F5136">
              <w:rPr>
                <w:rFonts w:ascii="Times New Roman" w:eastAsia="Times New Roman" w:hAnsi="Times New Roman" w:cs="Times New Roman"/>
                <w:sz w:val="18"/>
                <w:szCs w:val="18"/>
                <w:lang w:val="ro-RO" w:eastAsia="ro-MD"/>
              </w:rPr>
              <w:t xml:space="preserve"> Bunurile imobile se califică drept garanții reale eligibile în scopul punctelor 70 și 72 numai dacă sunt îndeplinite toate cerințele prevăzute la punctele 2-6 din prezenta anexă.</w:t>
            </w:r>
          </w:p>
        </w:tc>
        <w:tc>
          <w:tcPr>
            <w:tcW w:w="503" w:type="pct"/>
          </w:tcPr>
          <w:p w14:paraId="317154E2" w14:textId="4985BC99" w:rsidR="00DF23AE" w:rsidRPr="006F5136" w:rsidRDefault="00410626"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63D223D0" w14:textId="7E8A3DE3" w:rsidR="00DF23AE" w:rsidRPr="006F5136" w:rsidRDefault="00410626"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410626" w:rsidRPr="006F5136" w14:paraId="56B06A00"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8ADC2E4" w14:textId="77777777" w:rsidR="00410626" w:rsidRPr="006F5136" w:rsidRDefault="00410626" w:rsidP="005E4694">
            <w:pPr>
              <w:shd w:val="clear" w:color="auto" w:fill="FFFFFF"/>
              <w:spacing w:after="0" w:line="240" w:lineRule="auto"/>
              <w:rPr>
                <w:rFonts w:ascii="Times New Roman" w:eastAsia="Arial Unicode MS" w:hAnsi="Times New Roman" w:cs="Times New Roman"/>
                <w:color w:val="000000" w:themeColor="text1"/>
                <w:sz w:val="18"/>
                <w:szCs w:val="18"/>
              </w:rPr>
            </w:pPr>
            <w:r w:rsidRPr="006F5136">
              <w:rPr>
                <w:rStyle w:val="no-parag"/>
                <w:rFonts w:ascii="Times New Roman" w:eastAsia="Arial Unicode MS" w:hAnsi="Times New Roman" w:cs="Times New Roman"/>
                <w:color w:val="000000" w:themeColor="text1"/>
                <w:sz w:val="18"/>
                <w:szCs w:val="18"/>
              </w:rPr>
              <w:t>(2)  </w:t>
            </w:r>
            <w:r w:rsidRPr="006F5136">
              <w:rPr>
                <w:rFonts w:ascii="Times New Roman" w:eastAsia="Arial Unicode MS" w:hAnsi="Times New Roman" w:cs="Times New Roman"/>
                <w:color w:val="000000" w:themeColor="text1"/>
                <w:sz w:val="18"/>
                <w:szCs w:val="18"/>
              </w:rPr>
              <w:t> Trebuie îndeplinite următoarele cerințe privind securitatea juridică:</w:t>
            </w:r>
          </w:p>
          <w:p w14:paraId="1D1A83EA" w14:textId="77777777" w:rsidR="00410626" w:rsidRPr="006F5136" w:rsidRDefault="00410626"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(a) o ipotecă sau un privilegiu trebuie să fie executorii în toate jurisdicțiile relevante la momentul încheierii contractului de credit iar cerințele de publicitate referitoare la aceste garanții trebuie îndeplinite în mod corespunzător și în timp </w:t>
            </w:r>
            <w:proofErr w:type="gramStart"/>
            <w:r w:rsidRPr="006F5136">
              <w:rPr>
                <w:rFonts w:ascii="Times New Roman" w:eastAsia="Arial Unicode MS" w:hAnsi="Times New Roman" w:cs="Times New Roman"/>
                <w:color w:val="000000" w:themeColor="text1"/>
                <w:sz w:val="18"/>
                <w:szCs w:val="18"/>
              </w:rPr>
              <w:t>util;</w:t>
            </w:r>
            <w:proofErr w:type="gramEnd"/>
          </w:p>
          <w:p w14:paraId="1D436EBE" w14:textId="77777777" w:rsidR="00410626" w:rsidRPr="006F5136" w:rsidRDefault="00410626"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(b) toate cerințele juridice privind stabilirea gajului trebuie să fi fost </w:t>
            </w:r>
            <w:proofErr w:type="gramStart"/>
            <w:r w:rsidRPr="006F5136">
              <w:rPr>
                <w:rFonts w:ascii="Times New Roman" w:eastAsia="Arial Unicode MS" w:hAnsi="Times New Roman" w:cs="Times New Roman"/>
                <w:color w:val="000000" w:themeColor="text1"/>
                <w:sz w:val="18"/>
                <w:szCs w:val="18"/>
              </w:rPr>
              <w:t>îndeplinite;</w:t>
            </w:r>
            <w:proofErr w:type="gramEnd"/>
          </w:p>
          <w:p w14:paraId="46F403EA" w14:textId="7435C708" w:rsidR="00410626" w:rsidRPr="006F5136" w:rsidRDefault="00410626"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(c) contractul de protecție și procesul juridic care stă la baza acestuia trebuie să permită instituției să valorifice protecția într-un interval de timp rezonabil.</w:t>
            </w:r>
          </w:p>
        </w:tc>
        <w:tc>
          <w:tcPr>
            <w:tcW w:w="1661" w:type="pct"/>
          </w:tcPr>
          <w:p w14:paraId="75371FAF" w14:textId="77777777" w:rsidR="00410626" w:rsidRPr="006F5136" w:rsidRDefault="0041062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2.</w:t>
            </w:r>
            <w:r w:rsidRPr="006F5136">
              <w:rPr>
                <w:rFonts w:ascii="Times New Roman" w:eastAsia="Times New Roman" w:hAnsi="Times New Roman" w:cs="Times New Roman"/>
                <w:sz w:val="18"/>
                <w:szCs w:val="18"/>
                <w:lang w:val="ro-RO" w:eastAsia="ro-MD"/>
              </w:rPr>
              <w:t xml:space="preserve"> Următoarele cerințe privind securitatea juridică trebuie să fie îndeplinite:</w:t>
            </w:r>
          </w:p>
          <w:p w14:paraId="5EC785EB" w14:textId="77777777" w:rsidR="00410626" w:rsidRPr="006F5136" w:rsidRDefault="00410626" w:rsidP="005E4694">
            <w:pPr>
              <w:spacing w:after="0" w:line="240" w:lineRule="auto"/>
              <w:ind w:firstLine="567"/>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o ipotecă sau o sarcină de orice fel asupra bunului imobil trebuie să poată fi puse în aplicare/executare și trebuie să fie înregistrate în mod corespunzător și în timp util;</w:t>
            </w:r>
          </w:p>
          <w:p w14:paraId="27696044" w14:textId="77777777" w:rsidR="00410626" w:rsidRPr="006F5136" w:rsidRDefault="00410626" w:rsidP="005E4694">
            <w:pPr>
              <w:spacing w:after="0" w:line="240" w:lineRule="auto"/>
              <w:ind w:firstLine="567"/>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b) toate cerințele juridice pentru stabilirea gajului sunt îndeplinite;</w:t>
            </w:r>
          </w:p>
          <w:p w14:paraId="1A4700CD" w14:textId="56577524" w:rsidR="00410626" w:rsidRPr="006F5136" w:rsidRDefault="00410626" w:rsidP="005E4694">
            <w:pPr>
              <w:spacing w:after="0" w:line="240" w:lineRule="auto"/>
              <w:ind w:firstLine="567"/>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c) contractul de gaj și procesul juridic care stă la baza acestuia permite băncii să realizeze valoarea protecției într-un interval de timp rezonabil.</w:t>
            </w:r>
          </w:p>
        </w:tc>
        <w:tc>
          <w:tcPr>
            <w:tcW w:w="503" w:type="pct"/>
          </w:tcPr>
          <w:p w14:paraId="30F67551" w14:textId="024F4BD4" w:rsidR="00410626" w:rsidRPr="006F5136" w:rsidRDefault="00410626"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79FF6AC8" w14:textId="371CA43C" w:rsidR="00410626" w:rsidRPr="006F5136" w:rsidRDefault="00410626"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0710E6" w:rsidRPr="006F5136" w14:paraId="7774DC4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5623E92" w14:textId="77777777" w:rsidR="000710E6" w:rsidRPr="006F5136" w:rsidRDefault="000710E6" w:rsidP="005E4694">
            <w:pPr>
              <w:shd w:val="clear" w:color="auto" w:fill="FFFFFF"/>
              <w:spacing w:after="0" w:line="240" w:lineRule="auto"/>
              <w:rPr>
                <w:rFonts w:ascii="Times New Roman" w:eastAsia="Arial Unicode MS" w:hAnsi="Times New Roman" w:cs="Times New Roman"/>
                <w:color w:val="000000" w:themeColor="text1"/>
                <w:sz w:val="18"/>
                <w:szCs w:val="18"/>
              </w:rPr>
            </w:pPr>
            <w:r w:rsidRPr="006F5136">
              <w:rPr>
                <w:rStyle w:val="no-parag"/>
                <w:rFonts w:ascii="Times New Roman" w:eastAsia="Arial Unicode MS" w:hAnsi="Times New Roman" w:cs="Times New Roman"/>
                <w:color w:val="000000" w:themeColor="text1"/>
                <w:sz w:val="18"/>
                <w:szCs w:val="18"/>
              </w:rPr>
              <w:t>(3)  </w:t>
            </w:r>
            <w:r w:rsidRPr="006F5136">
              <w:rPr>
                <w:rFonts w:ascii="Times New Roman" w:eastAsia="Arial Unicode MS" w:hAnsi="Times New Roman" w:cs="Times New Roman"/>
                <w:color w:val="000000" w:themeColor="text1"/>
                <w:sz w:val="18"/>
                <w:szCs w:val="18"/>
              </w:rPr>
              <w:t> Se îndeplinesc următoarele cerințe privind monitorizarea valorii bunurilor imobile și evaluarea bunurilor imobile:</w:t>
            </w:r>
          </w:p>
          <w:p w14:paraId="25070B62" w14:textId="77777777" w:rsidR="000710E6" w:rsidRPr="006F5136" w:rsidRDefault="000710E6"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(a) instituțiile monitorizează valoarea bunurilor imobile în mod frecvent, și anume cel puțin anual în cazul bunurilor imobile comerciale și cel puțin o dată la trei ani în cazul bunurilor imobile locative. Instituțiile efectuează monitorizări mai frecvente în cazul în care condițiile de piață suferă modificări </w:t>
            </w:r>
            <w:proofErr w:type="gramStart"/>
            <w:r w:rsidRPr="006F5136">
              <w:rPr>
                <w:rFonts w:ascii="Times New Roman" w:eastAsia="Arial Unicode MS" w:hAnsi="Times New Roman" w:cs="Times New Roman"/>
                <w:color w:val="000000" w:themeColor="text1"/>
                <w:sz w:val="18"/>
                <w:szCs w:val="18"/>
              </w:rPr>
              <w:t>semnificative;</w:t>
            </w:r>
            <w:proofErr w:type="gramEnd"/>
          </w:p>
          <w:p w14:paraId="1A4C65C0" w14:textId="77777777" w:rsidR="000710E6" w:rsidRPr="006F5136" w:rsidRDefault="000710E6" w:rsidP="005E4694">
            <w:pPr>
              <w:pStyle w:val="modref"/>
              <w:shd w:val="clear" w:color="auto" w:fill="FFFFFF"/>
              <w:spacing w:before="0" w:beforeAutospacing="0" w:after="0" w:afterAutospacing="0"/>
              <w:rPr>
                <w:rFonts w:eastAsia="Arial Unicode MS"/>
                <w:b/>
                <w:bCs/>
                <w:color w:val="000000" w:themeColor="text1"/>
                <w:sz w:val="18"/>
                <w:szCs w:val="18"/>
              </w:rPr>
            </w:pPr>
            <w:hyperlink r:id="rId35" w:tooltip="32024R1623: REPLACED" w:history="1">
              <w:r w:rsidRPr="006F5136">
                <w:rPr>
                  <w:rStyle w:val="Hyperlink"/>
                  <w:rFonts w:eastAsia="Arial Unicode MS"/>
                  <w:b/>
                  <w:bCs/>
                  <w:color w:val="000000" w:themeColor="text1"/>
                  <w:sz w:val="18"/>
                  <w:szCs w:val="18"/>
                </w:rPr>
                <w:t>▼M17</w:t>
              </w:r>
            </w:hyperlink>
          </w:p>
          <w:p w14:paraId="7FE84499" w14:textId="77777777" w:rsidR="000710E6" w:rsidRPr="006F5136" w:rsidRDefault="000710E6"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(b) evaluarea bunurilor imobile se revizuiește atunci când informațiile de care dispun instituțiile indică faptul că valoarea bunurilor imobile ar fi putut să scadă semnificativ în comparație cu nivelul general al prețurilor de pe piață; această revizuire este efectuată de către un evaluator care are calificarea, abilitățile și experiența necesare pentru a efectua o evaluare și este independent de procesul de luare a deciziei de acordare a creditului; considerații legate de ESG, inclusiv cele legate de limitările impuse de obiectivele de reglementare și actele juridice relevante ale Uniunii și ale statelor membre, precum și, dacă este relevant pentru instituțiile active la nivel internațional, de obiectivele juridice și de reglementare ale țărilor terțe, sunt considerate un indiciu al faptului că valoarea bunurilor imobile ar fi putut să scadă semnificativ în comparație cu nivelul general al prețurilor de pe piață; pentru împrumuturile care depășesc 3 milioane EUR sau 5 % din valoarea fondurilor proprii ale unei instituții, evaluarea bunurilor imobile se revizuiește de către un astfel de evaluator cel puțin o dată la trei ani.</w:t>
            </w:r>
          </w:p>
          <w:p w14:paraId="601864D9" w14:textId="77777777" w:rsidR="000710E6" w:rsidRPr="006F5136" w:rsidRDefault="000710E6" w:rsidP="005E4694">
            <w:pPr>
              <w:pStyle w:val="title-article-norm"/>
              <w:shd w:val="clear" w:color="auto" w:fill="FFFFFF"/>
              <w:spacing w:before="0" w:after="0"/>
              <w:jc w:val="left"/>
              <w:rPr>
                <w:rFonts w:eastAsia="Arial Unicode MS"/>
                <w:color w:val="000000" w:themeColor="text1"/>
                <w:sz w:val="18"/>
                <w:szCs w:val="18"/>
              </w:rPr>
            </w:pPr>
          </w:p>
        </w:tc>
        <w:tc>
          <w:tcPr>
            <w:tcW w:w="1661" w:type="pct"/>
          </w:tcPr>
          <w:p w14:paraId="44296AF5" w14:textId="77777777" w:rsidR="000710E6" w:rsidRPr="006F5136" w:rsidRDefault="000710E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3.</w:t>
            </w:r>
            <w:r w:rsidRPr="006F5136">
              <w:rPr>
                <w:rFonts w:ascii="Times New Roman" w:eastAsia="Times New Roman" w:hAnsi="Times New Roman" w:cs="Times New Roman"/>
                <w:sz w:val="18"/>
                <w:szCs w:val="18"/>
                <w:lang w:val="ro-RO" w:eastAsia="ro-MD"/>
              </w:rPr>
              <w:t xml:space="preserve"> Trebuie să fie îndeplinite următoarele cerințe privind monitorizarea valorilor bunurilor imobile și evaluarea bunurilor imobile:</w:t>
            </w:r>
          </w:p>
          <w:p w14:paraId="03F901B0" w14:textId="77777777" w:rsidR="000710E6" w:rsidRPr="006F5136" w:rsidRDefault="000710E6" w:rsidP="005E4694">
            <w:pPr>
              <w:spacing w:after="0" w:line="240" w:lineRule="auto"/>
              <w:ind w:firstLine="567"/>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băncile trebuie să monitorizeze valoarea bunurilor imobile în mod frecvent, și cel puțin o dată în fiecare an în cazul bunurilor imobile comerciale și cel puțin o dată la fiecare trei ani în cazul bunurilor imobile locative. Băncile trebuie să efectueze monitorizarea mai frecventă în cazul în care condițiile de piață suferă modificări semnificative;</w:t>
            </w:r>
          </w:p>
          <w:p w14:paraId="02C277C3" w14:textId="77777777" w:rsidR="000710E6" w:rsidRPr="006F5136" w:rsidRDefault="000710E6" w:rsidP="005E4694">
            <w:pPr>
              <w:spacing w:after="0" w:line="240" w:lineRule="auto"/>
              <w:ind w:firstLine="567"/>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xml:space="preserve">b) bunurile imobile trebuie să fie reevaluate atunci când informațiile de care dispun băncile indică faptul că valoarea bunurilor imobile ar fi putut să scadă semnificativ în comparație cu nivelul general al prețurilor de pe piață. </w:t>
            </w:r>
            <w:bookmarkStart w:id="16" w:name="_Hlk206779808"/>
            <w:r w:rsidRPr="006F5136">
              <w:rPr>
                <w:rFonts w:ascii="Times New Roman" w:eastAsia="Times New Roman" w:hAnsi="Times New Roman" w:cs="Times New Roman"/>
                <w:sz w:val="18"/>
                <w:szCs w:val="18"/>
                <w:lang w:val="ro-RO" w:eastAsia="ro-MD"/>
              </w:rPr>
              <w:t xml:space="preserve">Considerații legate de riscul de mediu, social și guvernanță, inclusiv cele legate de limitările impuse de obiectivele de reglementare, precum și, dacă este relevant pentru băncile active la nivel internațional, de obiectivele juridice și de reglementare ale țărilor terțe, sunt considerate un indiciu al faptului că valoarea bunurilor imobile ar fi putut să scadă semnificativ în comparație cu nivelul general al prețurilor de pe piață. </w:t>
            </w:r>
            <w:bookmarkEnd w:id="16"/>
            <w:r w:rsidRPr="006F5136">
              <w:rPr>
                <w:rFonts w:ascii="Times New Roman" w:eastAsia="Times New Roman" w:hAnsi="Times New Roman" w:cs="Times New Roman"/>
                <w:sz w:val="18"/>
                <w:szCs w:val="18"/>
                <w:lang w:val="ro-RO" w:eastAsia="ro-MD"/>
              </w:rPr>
              <w:t>Pentru creditele totale pe debitor care depășesc echivalentul a 3 milioane EUR sau 2% din fondurile proprii ale băncii, reevaluarea bunului imobil se efectuează cel puțin o dată la fiecare trei ani de către - un evaluator independent, conform Legii nr.989/2002 cu privire la activitatea de evaluare.</w:t>
            </w:r>
          </w:p>
          <w:p w14:paraId="03360CA9" w14:textId="7F121C2F" w:rsidR="000710E6" w:rsidRPr="006F5136" w:rsidRDefault="000710E6" w:rsidP="005E4694">
            <w:pPr>
              <w:spacing w:after="0" w:line="240" w:lineRule="auto"/>
              <w:jc w:val="both"/>
              <w:rPr>
                <w:rFonts w:ascii="Times New Roman" w:eastAsia="Times New Roman" w:hAnsi="Times New Roman" w:cs="Times New Roman"/>
                <w:i/>
                <w:iCs/>
                <w:sz w:val="18"/>
                <w:szCs w:val="18"/>
                <w:lang w:val="ro-RO" w:eastAsia="ro-MD"/>
              </w:rPr>
            </w:pPr>
            <w:r w:rsidRPr="006F5136">
              <w:rPr>
                <w:rFonts w:ascii="Times New Roman" w:eastAsia="Times New Roman" w:hAnsi="Times New Roman" w:cs="Times New Roman"/>
                <w:i/>
                <w:iCs/>
                <w:sz w:val="18"/>
                <w:szCs w:val="18"/>
                <w:lang w:val="ro-RO" w:eastAsia="ro-MD"/>
              </w:rPr>
              <w:t>Completat prin Proiectul HCE al BNM privind modificarea Regulamentului nr.111/2018.</w:t>
            </w:r>
          </w:p>
          <w:p w14:paraId="22E1D178" w14:textId="77777777" w:rsidR="000710E6" w:rsidRPr="006F5136" w:rsidRDefault="000710E6" w:rsidP="005E4694">
            <w:pPr>
              <w:spacing w:after="0" w:line="240" w:lineRule="auto"/>
              <w:rPr>
                <w:rFonts w:ascii="Times New Roman" w:eastAsia="Times New Roman" w:hAnsi="Times New Roman" w:cs="Times New Roman"/>
                <w:sz w:val="18"/>
                <w:szCs w:val="18"/>
                <w:lang w:val="ro-RO" w:eastAsia="ro-MD"/>
              </w:rPr>
            </w:pPr>
          </w:p>
        </w:tc>
        <w:tc>
          <w:tcPr>
            <w:tcW w:w="503" w:type="pct"/>
          </w:tcPr>
          <w:p w14:paraId="4C2DAD01" w14:textId="4AB8F1AD" w:rsidR="000710E6" w:rsidRPr="006F5136" w:rsidRDefault="000710E6"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0F52D2FD" w14:textId="341C5D47" w:rsidR="000710E6" w:rsidRPr="006F5136" w:rsidRDefault="000710E6"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0710E6" w:rsidRPr="006F5136" w14:paraId="26D456B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BF9D1BB" w14:textId="77777777" w:rsidR="000710E6" w:rsidRPr="006F5136" w:rsidRDefault="000710E6" w:rsidP="005E4694">
            <w:pPr>
              <w:pStyle w:val="modref"/>
              <w:shd w:val="clear" w:color="auto" w:fill="FFFFFF"/>
              <w:spacing w:before="0" w:beforeAutospacing="0" w:after="0" w:afterAutospacing="0"/>
              <w:rPr>
                <w:rFonts w:eastAsia="Arial Unicode MS"/>
                <w:b/>
                <w:bCs/>
                <w:color w:val="000000" w:themeColor="text1"/>
                <w:sz w:val="18"/>
                <w:szCs w:val="18"/>
              </w:rPr>
            </w:pPr>
            <w:hyperlink r:id="rId36" w:tooltip="32024R1623: INSERTED" w:history="1">
              <w:r w:rsidRPr="006F5136">
                <w:rPr>
                  <w:rStyle w:val="Hyperlink"/>
                  <w:rFonts w:eastAsia="Arial Unicode MS"/>
                  <w:b/>
                  <w:bCs/>
                  <w:color w:val="000000" w:themeColor="text1"/>
                  <w:sz w:val="18"/>
                  <w:szCs w:val="18"/>
                </w:rPr>
                <w:t>▼M17</w:t>
              </w:r>
            </w:hyperlink>
          </w:p>
          <w:p w14:paraId="19EFE74D" w14:textId="77777777" w:rsidR="000710E6" w:rsidRPr="006F5136" w:rsidRDefault="000710E6" w:rsidP="005E4694">
            <w:pPr>
              <w:shd w:val="clear" w:color="auto" w:fill="FFFFFF"/>
              <w:spacing w:after="0" w:line="240" w:lineRule="auto"/>
              <w:rPr>
                <w:rFonts w:ascii="Times New Roman" w:eastAsia="Arial Unicode MS" w:hAnsi="Times New Roman" w:cs="Times New Roman"/>
                <w:color w:val="000000" w:themeColor="text1"/>
                <w:sz w:val="18"/>
                <w:szCs w:val="18"/>
              </w:rPr>
            </w:pPr>
            <w:r w:rsidRPr="006F5136">
              <w:rPr>
                <w:rStyle w:val="no-parag"/>
                <w:rFonts w:ascii="Times New Roman" w:eastAsia="Arial Unicode MS" w:hAnsi="Times New Roman" w:cs="Times New Roman"/>
                <w:color w:val="000000" w:themeColor="text1"/>
                <w:sz w:val="18"/>
                <w:szCs w:val="18"/>
              </w:rPr>
              <w:t>(3</w:t>
            </w:r>
            <w:proofErr w:type="gramStart"/>
            <w:r w:rsidRPr="006F5136">
              <w:rPr>
                <w:rStyle w:val="no-parag"/>
                <w:rFonts w:ascii="Times New Roman" w:eastAsia="Arial Unicode MS" w:hAnsi="Times New Roman" w:cs="Times New Roman"/>
                <w:color w:val="000000" w:themeColor="text1"/>
                <w:sz w:val="18"/>
                <w:szCs w:val="18"/>
              </w:rPr>
              <w:t>a)  </w:t>
            </w:r>
            <w:r w:rsidRPr="006F5136">
              <w:rPr>
                <w:rFonts w:ascii="Times New Roman" w:eastAsia="Arial Unicode MS" w:hAnsi="Times New Roman" w:cs="Times New Roman"/>
                <w:color w:val="000000" w:themeColor="text1"/>
                <w:sz w:val="18"/>
                <w:szCs w:val="18"/>
              </w:rPr>
              <w:t> </w:t>
            </w:r>
            <w:proofErr w:type="gramEnd"/>
            <w:r w:rsidRPr="006F5136">
              <w:rPr>
                <w:rFonts w:ascii="Times New Roman" w:eastAsia="Arial Unicode MS" w:hAnsi="Times New Roman" w:cs="Times New Roman"/>
                <w:color w:val="000000" w:themeColor="text1"/>
                <w:sz w:val="18"/>
                <w:szCs w:val="18"/>
              </w:rPr>
              <w:t>Instituțiile pot monitoriza valoarea bunurilor imobile și pot identifica bunurile imobile care necesită reevaluare, în conformitate cu alineatul (3), cu ajutorul unor metode statistice avansate sau al altor metode matematice („modele”), cu condiția ca aceste metode să fie elaborate independent de procesul de luare a deciziei de acordare a creditului și să fie îndeplinite toate condițiile următoare:</w:t>
            </w:r>
          </w:p>
          <w:p w14:paraId="23892BD2" w14:textId="77777777" w:rsidR="000710E6" w:rsidRPr="006F5136" w:rsidRDefault="000710E6"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(a) instituțiile stabilesc, în politicile și procedurile lor, criteriile de utilizare a modelelor de monitorizare a valorilor garanțiilor reale și de identificare a bunurilor imobile care ar trebui reevaluate; politicile și procedurile respective țin cont de rezultatele dovedite ale acestor modele, de variabilele specifice bunurilor imobile în cauză, de utilizarea de informații minim disponibile și exacte, precum și de incertitudinea </w:t>
            </w:r>
            <w:proofErr w:type="gramStart"/>
            <w:r w:rsidRPr="006F5136">
              <w:rPr>
                <w:rFonts w:ascii="Times New Roman" w:eastAsia="Arial Unicode MS" w:hAnsi="Times New Roman" w:cs="Times New Roman"/>
                <w:color w:val="000000" w:themeColor="text1"/>
                <w:sz w:val="18"/>
                <w:szCs w:val="18"/>
              </w:rPr>
              <w:t>modelelor;</w:t>
            </w:r>
            <w:proofErr w:type="gramEnd"/>
          </w:p>
          <w:p w14:paraId="6062EFA1" w14:textId="77777777" w:rsidR="000710E6" w:rsidRPr="006F5136" w:rsidRDefault="000710E6"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(b) instituțiile se asigură că modelele utilizate sunt:</w:t>
            </w:r>
          </w:p>
          <w:p w14:paraId="4E8FD33F" w14:textId="77777777" w:rsidR="000710E6" w:rsidRPr="006F5136" w:rsidRDefault="000710E6"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(i) specifice pentru bunul imobil și pentru locația acestuia și au un nivel suficient de </w:t>
            </w:r>
            <w:proofErr w:type="gramStart"/>
            <w:r w:rsidRPr="006F5136">
              <w:rPr>
                <w:rFonts w:ascii="Times New Roman" w:eastAsia="Arial Unicode MS" w:hAnsi="Times New Roman" w:cs="Times New Roman"/>
                <w:color w:val="000000" w:themeColor="text1"/>
                <w:sz w:val="18"/>
                <w:szCs w:val="18"/>
              </w:rPr>
              <w:t>granularitate;</w:t>
            </w:r>
            <w:proofErr w:type="gramEnd"/>
          </w:p>
          <w:p w14:paraId="7EA7F6F8" w14:textId="77777777" w:rsidR="000710E6" w:rsidRPr="006F5136" w:rsidRDefault="000710E6"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(ii) valide și exacte și sunt supuse unor teste ex post solide și periodice în raport cu prețurile reale observate ale </w:t>
            </w:r>
            <w:proofErr w:type="gramStart"/>
            <w:r w:rsidRPr="006F5136">
              <w:rPr>
                <w:rFonts w:ascii="Times New Roman" w:eastAsia="Arial Unicode MS" w:hAnsi="Times New Roman" w:cs="Times New Roman"/>
                <w:color w:val="000000" w:themeColor="text1"/>
                <w:sz w:val="18"/>
                <w:szCs w:val="18"/>
              </w:rPr>
              <w:t>tranzacțiilor;</w:t>
            </w:r>
            <w:proofErr w:type="gramEnd"/>
          </w:p>
          <w:p w14:paraId="0CBA7531" w14:textId="77777777" w:rsidR="000710E6" w:rsidRPr="006F5136" w:rsidRDefault="000710E6"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(iii) bazate pe un eșantion suficient de mare și de reprezentativ, pe baza prețurilor observate ale </w:t>
            </w:r>
            <w:proofErr w:type="gramStart"/>
            <w:r w:rsidRPr="006F5136">
              <w:rPr>
                <w:rFonts w:ascii="Times New Roman" w:eastAsia="Arial Unicode MS" w:hAnsi="Times New Roman" w:cs="Times New Roman"/>
                <w:color w:val="000000" w:themeColor="text1"/>
                <w:sz w:val="18"/>
                <w:szCs w:val="18"/>
              </w:rPr>
              <w:t>tranzacțiilor;</w:t>
            </w:r>
            <w:proofErr w:type="gramEnd"/>
          </w:p>
          <w:p w14:paraId="682E9E42" w14:textId="77777777" w:rsidR="000710E6" w:rsidRPr="006F5136" w:rsidRDefault="000710E6"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(iv) bazate pe date actualizate de înaltă </w:t>
            </w:r>
            <w:proofErr w:type="gramStart"/>
            <w:r w:rsidRPr="006F5136">
              <w:rPr>
                <w:rFonts w:ascii="Times New Roman" w:eastAsia="Arial Unicode MS" w:hAnsi="Times New Roman" w:cs="Times New Roman"/>
                <w:color w:val="000000" w:themeColor="text1"/>
                <w:sz w:val="18"/>
                <w:szCs w:val="18"/>
              </w:rPr>
              <w:t>calitate;</w:t>
            </w:r>
            <w:proofErr w:type="gramEnd"/>
          </w:p>
          <w:p w14:paraId="5F7A326D" w14:textId="77777777" w:rsidR="000710E6" w:rsidRPr="006F5136" w:rsidRDefault="000710E6"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(c) instituțiile sunt responsabile în ultimă instanță pentru caracterul adecvat al modelelor și pentru performanța </w:t>
            </w:r>
            <w:proofErr w:type="gramStart"/>
            <w:r w:rsidRPr="006F5136">
              <w:rPr>
                <w:rFonts w:ascii="Times New Roman" w:eastAsia="Arial Unicode MS" w:hAnsi="Times New Roman" w:cs="Times New Roman"/>
                <w:color w:val="000000" w:themeColor="text1"/>
                <w:sz w:val="18"/>
                <w:szCs w:val="18"/>
              </w:rPr>
              <w:t>acestora;</w:t>
            </w:r>
            <w:proofErr w:type="gramEnd"/>
          </w:p>
          <w:p w14:paraId="6DED6160" w14:textId="77777777" w:rsidR="000710E6" w:rsidRPr="006F5136" w:rsidRDefault="000710E6"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(d) instituțiile se asigură că documentația modelelor este </w:t>
            </w:r>
            <w:proofErr w:type="gramStart"/>
            <w:r w:rsidRPr="006F5136">
              <w:rPr>
                <w:rFonts w:ascii="Times New Roman" w:eastAsia="Arial Unicode MS" w:hAnsi="Times New Roman" w:cs="Times New Roman"/>
                <w:color w:val="000000" w:themeColor="text1"/>
                <w:sz w:val="18"/>
                <w:szCs w:val="18"/>
              </w:rPr>
              <w:t>actualizată;</w:t>
            </w:r>
            <w:proofErr w:type="gramEnd"/>
          </w:p>
          <w:p w14:paraId="46BDA1A7" w14:textId="77777777" w:rsidR="000710E6" w:rsidRPr="006F5136" w:rsidRDefault="000710E6"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(e) instituțiile dispun de procese, sisteme și capacități informatice adecvate și de date suficiente și exacte pentru orice monitorizare bazată pe modele a valorii garanțiilor reale reprezentate de bunuri imobile și pentru orice identificare a bunurilor imobile care necesită o </w:t>
            </w:r>
            <w:proofErr w:type="gramStart"/>
            <w:r w:rsidRPr="006F5136">
              <w:rPr>
                <w:rFonts w:ascii="Times New Roman" w:eastAsia="Arial Unicode MS" w:hAnsi="Times New Roman" w:cs="Times New Roman"/>
                <w:color w:val="000000" w:themeColor="text1"/>
                <w:sz w:val="18"/>
                <w:szCs w:val="18"/>
              </w:rPr>
              <w:t>reevaluare;</w:t>
            </w:r>
            <w:proofErr w:type="gramEnd"/>
          </w:p>
          <w:p w14:paraId="73EF4E38" w14:textId="77777777" w:rsidR="000710E6" w:rsidRPr="006F5136" w:rsidRDefault="000710E6"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(f) estimările modelelor sunt validate independent, iar procesul de validare este, în general, conform cu principiile prevăzute la articolul 185, după caz.</w:t>
            </w:r>
          </w:p>
          <w:p w14:paraId="3AA50807" w14:textId="77777777" w:rsidR="000710E6" w:rsidRPr="006F5136" w:rsidRDefault="000710E6" w:rsidP="005E4694">
            <w:pPr>
              <w:pStyle w:val="title-article-norm"/>
              <w:shd w:val="clear" w:color="auto" w:fill="FFFFFF"/>
              <w:spacing w:before="0" w:after="0"/>
              <w:jc w:val="left"/>
              <w:rPr>
                <w:rFonts w:eastAsia="Arial Unicode MS"/>
                <w:color w:val="000000" w:themeColor="text1"/>
                <w:sz w:val="18"/>
                <w:szCs w:val="18"/>
              </w:rPr>
            </w:pPr>
          </w:p>
        </w:tc>
        <w:tc>
          <w:tcPr>
            <w:tcW w:w="1661" w:type="pct"/>
          </w:tcPr>
          <w:p w14:paraId="0F42E798" w14:textId="77777777" w:rsidR="000710E6" w:rsidRPr="006F5136" w:rsidRDefault="000710E6" w:rsidP="005E4694">
            <w:pPr>
              <w:spacing w:after="0" w:line="240" w:lineRule="auto"/>
              <w:jc w:val="both"/>
              <w:rPr>
                <w:rFonts w:ascii="Times New Roman" w:eastAsia="Times New Roman" w:hAnsi="Times New Roman" w:cs="Times New Roman"/>
                <w:sz w:val="18"/>
                <w:szCs w:val="18"/>
                <w:lang w:val="ro-RO" w:eastAsia="ro-MD"/>
              </w:rPr>
            </w:pPr>
            <w:bookmarkStart w:id="17" w:name="_Hlk206779549"/>
            <w:r w:rsidRPr="006F5136">
              <w:rPr>
                <w:rFonts w:ascii="Times New Roman" w:eastAsia="Times New Roman" w:hAnsi="Times New Roman" w:cs="Times New Roman"/>
                <w:b/>
                <w:bCs/>
                <w:sz w:val="18"/>
                <w:szCs w:val="18"/>
                <w:lang w:val="ro-RO" w:eastAsia="ro-MD"/>
              </w:rPr>
              <w:t>4.</w:t>
            </w:r>
            <w:r w:rsidRPr="006F5136">
              <w:rPr>
                <w:rFonts w:ascii="Times New Roman" w:eastAsia="Times New Roman" w:hAnsi="Times New Roman" w:cs="Times New Roman"/>
                <w:sz w:val="18"/>
                <w:szCs w:val="18"/>
                <w:lang w:val="ro-RO" w:eastAsia="ro-MD"/>
              </w:rPr>
              <w:t xml:space="preserve"> Băncile pot utiliza metode statistice sau alte metode matematice („modele”), pentru a monitoriza valoarea bunurilor imobile și a identifica bunurile imobile care necesită reevaluare, cu condiția ca aceste metode să fie elaborate independent de procesul de luare a deciziei de acordare a creditului și să fie îndeplinite cumulativ următoarele condiții:</w:t>
            </w:r>
          </w:p>
          <w:p w14:paraId="14BB6A91" w14:textId="77777777" w:rsidR="000710E6" w:rsidRPr="006F5136" w:rsidRDefault="000710E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băncile stabilesc, în politicile și procedurile lor, criteriile de utilizare a modelelor de monitorizare a valorilor garanțiilor reale și de identificare a bunurilor imobile care ar trebui reevaluate; politicile și procedurile respective țin cont de rezultatele dovedite ale acestor modele, de variabilele specifice bunurilor imobile în cauză, de utilizarea de informații minim disponibile și exacte, precum și de incertitudinea modelelor;</w:t>
            </w:r>
          </w:p>
          <w:p w14:paraId="74F406ED" w14:textId="77777777" w:rsidR="000710E6" w:rsidRPr="006F5136" w:rsidRDefault="000710E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băncile se asigură că modelele utilizate sunt:</w:t>
            </w:r>
          </w:p>
          <w:p w14:paraId="50BAB286" w14:textId="77777777" w:rsidR="000710E6" w:rsidRPr="006F5136" w:rsidRDefault="000710E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specifice pentru bunul imobil și pentru locația acestuia și au un nivel suficient de granularitate;</w:t>
            </w:r>
          </w:p>
          <w:p w14:paraId="255FA569" w14:textId="77777777" w:rsidR="000710E6" w:rsidRPr="006F5136" w:rsidRDefault="000710E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b) valide și exacte și sunt supuse unor teste ex post solide și periodice în raport cu prețurile reale observate ale tranzacțiilor;</w:t>
            </w:r>
          </w:p>
          <w:p w14:paraId="615961BE" w14:textId="77777777" w:rsidR="000710E6" w:rsidRPr="006F5136" w:rsidRDefault="000710E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c) bazate pe un eșantion suficient de mare și de reprezentativ, pe baza prețurilor observate ale tranzacțiilor;</w:t>
            </w:r>
          </w:p>
          <w:p w14:paraId="3D07A37F" w14:textId="77777777" w:rsidR="000710E6" w:rsidRPr="006F5136" w:rsidRDefault="000710E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d) bazate pe date actualizate de înaltă calitate;</w:t>
            </w:r>
          </w:p>
          <w:p w14:paraId="69180112" w14:textId="77777777" w:rsidR="000710E6" w:rsidRPr="006F5136" w:rsidRDefault="000710E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băncile sunt responsabile în ultimă instanță pentru caracterul adecvat al modelelor și pentru performanța acestora;</w:t>
            </w:r>
          </w:p>
          <w:p w14:paraId="58EE09BF" w14:textId="77777777" w:rsidR="000710E6" w:rsidRPr="006F5136" w:rsidRDefault="000710E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4) băncile se asigură că documentația modelelor este actualizată;</w:t>
            </w:r>
          </w:p>
          <w:p w14:paraId="3EF8C80B" w14:textId="77777777" w:rsidR="000710E6" w:rsidRPr="006F5136" w:rsidRDefault="000710E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5) băncile dispun de procese, sisteme și capacități informatice adecvate și de date suficiente și exacte pentru orice monitorizare bazată pe modele a valorii garanțiilor reale reprezentate de bunuri imobile și pentru orice identificare a bunurilor imobile care necesită o reevaluare;</w:t>
            </w:r>
          </w:p>
          <w:p w14:paraId="691F17CC" w14:textId="77777777" w:rsidR="000710E6" w:rsidRPr="006F5136" w:rsidRDefault="000710E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6) estimările modelelor sunt validate independent, iar procesul de validare este, în general, conform cu principiile de validare a estimărilor interne, după caz.</w:t>
            </w:r>
          </w:p>
          <w:p w14:paraId="5C5477FE" w14:textId="0B664835" w:rsidR="000710E6" w:rsidRPr="006F5136" w:rsidRDefault="000710E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i/>
                <w:iCs/>
                <w:sz w:val="18"/>
                <w:szCs w:val="18"/>
                <w:lang w:val="ro-RO" w:eastAsia="ro-MD"/>
              </w:rPr>
              <w:t>Completat prin Proiectul HCE al BNM privind modificarea Regulamentului nr.111/2018</w:t>
            </w:r>
          </w:p>
          <w:bookmarkEnd w:id="17"/>
          <w:p w14:paraId="6831C3BD" w14:textId="77777777" w:rsidR="000710E6" w:rsidRPr="006F5136" w:rsidRDefault="000710E6" w:rsidP="005E4694">
            <w:pPr>
              <w:spacing w:after="0" w:line="240" w:lineRule="auto"/>
              <w:rPr>
                <w:rFonts w:ascii="Times New Roman" w:eastAsia="Times New Roman" w:hAnsi="Times New Roman" w:cs="Times New Roman"/>
                <w:sz w:val="18"/>
                <w:szCs w:val="18"/>
                <w:lang w:val="ro-RO" w:eastAsia="ro-MD"/>
              </w:rPr>
            </w:pPr>
          </w:p>
        </w:tc>
        <w:tc>
          <w:tcPr>
            <w:tcW w:w="503" w:type="pct"/>
          </w:tcPr>
          <w:p w14:paraId="582F29A3" w14:textId="47630DD2" w:rsidR="000710E6" w:rsidRPr="006F5136" w:rsidRDefault="000710E6"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245D3559" w14:textId="3E15FBFE" w:rsidR="000710E6" w:rsidRPr="006F5136" w:rsidRDefault="000710E6"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0710E6" w:rsidRPr="006F5136" w14:paraId="34F4DCB4"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2F1A63E" w14:textId="77777777" w:rsidR="000710E6" w:rsidRPr="006F5136" w:rsidRDefault="000710E6" w:rsidP="005E4694">
            <w:pPr>
              <w:pStyle w:val="modref"/>
              <w:shd w:val="clear" w:color="auto" w:fill="FFFFFF"/>
              <w:spacing w:before="0" w:beforeAutospacing="0" w:after="0" w:afterAutospacing="0"/>
              <w:rPr>
                <w:rFonts w:eastAsia="Arial Unicode MS"/>
                <w:b/>
                <w:bCs/>
                <w:color w:val="000000" w:themeColor="text1"/>
                <w:sz w:val="18"/>
                <w:szCs w:val="18"/>
              </w:rPr>
            </w:pPr>
            <w:hyperlink r:id="rId37" w:tooltip="32013R0575R(02): REPLACED" w:history="1">
              <w:r w:rsidRPr="006F5136">
                <w:rPr>
                  <w:rStyle w:val="Hyperlink"/>
                  <w:rFonts w:eastAsia="Arial Unicode MS"/>
                  <w:b/>
                  <w:bCs/>
                  <w:color w:val="000000" w:themeColor="text1"/>
                  <w:sz w:val="18"/>
                  <w:szCs w:val="18"/>
                </w:rPr>
                <w:t>▼C2</w:t>
              </w:r>
            </w:hyperlink>
          </w:p>
          <w:p w14:paraId="1AA998DD" w14:textId="47FBC2AE" w:rsidR="000710E6" w:rsidRPr="006F5136" w:rsidRDefault="000710E6" w:rsidP="005E4694">
            <w:pPr>
              <w:shd w:val="clear" w:color="auto" w:fill="FFFFFF"/>
              <w:spacing w:after="0" w:line="240" w:lineRule="auto"/>
              <w:rPr>
                <w:rFonts w:ascii="Times New Roman" w:eastAsia="Arial Unicode MS" w:hAnsi="Times New Roman" w:cs="Times New Roman"/>
                <w:color w:val="000000" w:themeColor="text1"/>
                <w:sz w:val="18"/>
                <w:szCs w:val="18"/>
              </w:rPr>
            </w:pPr>
            <w:r w:rsidRPr="006F5136">
              <w:rPr>
                <w:rStyle w:val="no-parag"/>
                <w:rFonts w:ascii="Times New Roman" w:eastAsia="Arial Unicode MS" w:hAnsi="Times New Roman" w:cs="Times New Roman"/>
                <w:color w:val="000000" w:themeColor="text1"/>
                <w:sz w:val="18"/>
                <w:szCs w:val="18"/>
              </w:rPr>
              <w:t>(4)  </w:t>
            </w:r>
            <w:r w:rsidRPr="006F5136">
              <w:rPr>
                <w:rFonts w:ascii="Times New Roman" w:eastAsia="Arial Unicode MS" w:hAnsi="Times New Roman" w:cs="Times New Roman"/>
                <w:color w:val="000000" w:themeColor="text1"/>
                <w:sz w:val="18"/>
                <w:szCs w:val="18"/>
              </w:rPr>
              <w:t> Instituțiile trebuie să formalizeze în mod clar tipurile de bunuri imobile locative și bunuri imobile comerciale pe care le acceptă în garanție, precum și politicile lor de creditare în acest domeniu.</w:t>
            </w:r>
          </w:p>
        </w:tc>
        <w:tc>
          <w:tcPr>
            <w:tcW w:w="1661" w:type="pct"/>
          </w:tcPr>
          <w:p w14:paraId="47FD8F14" w14:textId="77777777" w:rsidR="000710E6" w:rsidRPr="006F5136" w:rsidRDefault="000710E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5.</w:t>
            </w:r>
            <w:r w:rsidRPr="006F5136">
              <w:rPr>
                <w:rFonts w:ascii="Times New Roman" w:eastAsia="Times New Roman" w:hAnsi="Times New Roman" w:cs="Times New Roman"/>
                <w:sz w:val="18"/>
                <w:szCs w:val="18"/>
                <w:lang w:val="ro-RO" w:eastAsia="ro-MD"/>
              </w:rPr>
              <w:t xml:space="preserve"> Băncile trebuie să documenteze în mod clar tipurile de bunuri imobile locative și bunuri imobile comerciale pe care le acceptă, precum și politicile lor de creditare în acest sens.</w:t>
            </w:r>
          </w:p>
          <w:p w14:paraId="0EB2F323" w14:textId="608542EF" w:rsidR="000710E6" w:rsidRPr="006F5136" w:rsidRDefault="000710E6"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i/>
                <w:iCs/>
                <w:sz w:val="18"/>
                <w:szCs w:val="18"/>
                <w:lang w:val="ro-RO" w:eastAsia="ro-MD"/>
              </w:rPr>
              <w:t>Modificat prin Proiectul HCE al BNM privind modificarea Regulamentului nr.111/2018</w:t>
            </w:r>
          </w:p>
          <w:p w14:paraId="775A06E9" w14:textId="77777777" w:rsidR="000710E6" w:rsidRPr="006F5136" w:rsidRDefault="000710E6" w:rsidP="005E4694">
            <w:pPr>
              <w:spacing w:after="0" w:line="240" w:lineRule="auto"/>
              <w:rPr>
                <w:rFonts w:ascii="Times New Roman" w:eastAsia="Times New Roman" w:hAnsi="Times New Roman" w:cs="Times New Roman"/>
                <w:sz w:val="18"/>
                <w:szCs w:val="18"/>
                <w:lang w:val="ro-RO" w:eastAsia="ro-MD"/>
              </w:rPr>
            </w:pPr>
          </w:p>
        </w:tc>
        <w:tc>
          <w:tcPr>
            <w:tcW w:w="503" w:type="pct"/>
          </w:tcPr>
          <w:p w14:paraId="53C8146D" w14:textId="488436B5" w:rsidR="000710E6" w:rsidRPr="006F5136" w:rsidRDefault="000710E6"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3DC47622" w14:textId="13338CA8" w:rsidR="000710E6" w:rsidRPr="006F5136" w:rsidRDefault="000710E6"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CD6871" w:rsidRPr="006F5136" w14:paraId="4503431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7F70AE8" w14:textId="77777777" w:rsidR="00CD6871" w:rsidRPr="006F5136" w:rsidRDefault="00CD6871" w:rsidP="005E4694">
            <w:pPr>
              <w:pStyle w:val="modref"/>
              <w:shd w:val="clear" w:color="auto" w:fill="FFFFFF"/>
              <w:spacing w:before="0" w:beforeAutospacing="0" w:after="0" w:afterAutospacing="0"/>
              <w:rPr>
                <w:rFonts w:eastAsia="Arial Unicode MS"/>
                <w:b/>
                <w:bCs/>
                <w:color w:val="000000" w:themeColor="text1"/>
                <w:sz w:val="18"/>
                <w:szCs w:val="18"/>
              </w:rPr>
            </w:pPr>
            <w:hyperlink r:id="rId38" w:tooltip="32024R1623: REPLACED" w:history="1">
              <w:r w:rsidRPr="006F5136">
                <w:rPr>
                  <w:rStyle w:val="Hyperlink"/>
                  <w:rFonts w:eastAsia="Arial Unicode MS"/>
                  <w:b/>
                  <w:bCs/>
                  <w:color w:val="000000" w:themeColor="text1"/>
                  <w:sz w:val="18"/>
                  <w:szCs w:val="18"/>
                </w:rPr>
                <w:t>▼M17</w:t>
              </w:r>
            </w:hyperlink>
          </w:p>
          <w:p w14:paraId="4847EF17" w14:textId="1AEDED2A" w:rsidR="00CD6871" w:rsidRPr="006F5136" w:rsidRDefault="00CD6871" w:rsidP="005E4694">
            <w:pPr>
              <w:shd w:val="clear" w:color="auto" w:fill="FFFFFF"/>
              <w:spacing w:after="0" w:line="240" w:lineRule="auto"/>
              <w:rPr>
                <w:rFonts w:ascii="Times New Roman" w:eastAsia="Arial Unicode MS" w:hAnsi="Times New Roman" w:cs="Times New Roman"/>
                <w:color w:val="000000" w:themeColor="text1"/>
                <w:sz w:val="18"/>
                <w:szCs w:val="18"/>
              </w:rPr>
            </w:pPr>
            <w:r w:rsidRPr="006F5136">
              <w:rPr>
                <w:rStyle w:val="no-parag"/>
                <w:rFonts w:ascii="Times New Roman" w:eastAsia="Arial Unicode MS" w:hAnsi="Times New Roman" w:cs="Times New Roman"/>
                <w:color w:val="000000" w:themeColor="text1"/>
                <w:sz w:val="18"/>
                <w:szCs w:val="18"/>
              </w:rPr>
              <w:t>(5) </w:t>
            </w:r>
            <w:r w:rsidRPr="006F5136">
              <w:rPr>
                <w:rFonts w:ascii="Times New Roman" w:eastAsia="Arial Unicode MS" w:hAnsi="Times New Roman" w:cs="Times New Roman"/>
                <w:color w:val="000000" w:themeColor="text1"/>
                <w:sz w:val="18"/>
                <w:szCs w:val="18"/>
              </w:rPr>
              <w:t>Bunurile imobile acceptate ca protecție a creditului se asigură în mod corespunzător împotriva riscului de deteriorare, iar instituțiile dispun de proceduri de monitorizare a caracterului adecvat al asigurării.</w:t>
            </w:r>
          </w:p>
        </w:tc>
        <w:tc>
          <w:tcPr>
            <w:tcW w:w="1661" w:type="pct"/>
          </w:tcPr>
          <w:p w14:paraId="387FC7B8" w14:textId="77777777" w:rsidR="00CD6871" w:rsidRPr="006F5136" w:rsidRDefault="00CD6871"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6.</w:t>
            </w:r>
            <w:r w:rsidRPr="006F5136">
              <w:rPr>
                <w:rFonts w:ascii="Times New Roman" w:eastAsia="Times New Roman" w:hAnsi="Times New Roman" w:cs="Times New Roman"/>
                <w:sz w:val="18"/>
                <w:szCs w:val="18"/>
                <w:lang w:val="ro-RO" w:eastAsia="ro-MD"/>
              </w:rPr>
              <w:t xml:space="preserve"> Băncile trebuie să dispună de proceduri pentru a monitoriza ca bunul imobil acceptat ca protecție a creditului este asigurat în mod adecvat împotriva riscului de deteriorare.</w:t>
            </w:r>
            <w:r w:rsidRPr="006F5136">
              <w:rPr>
                <w:rFonts w:ascii="Times New Roman" w:hAnsi="Times New Roman" w:cs="Times New Roman"/>
                <w:sz w:val="18"/>
                <w:szCs w:val="18"/>
              </w:rPr>
              <w:t xml:space="preserve"> </w:t>
            </w:r>
            <w:r w:rsidRPr="006F5136">
              <w:rPr>
                <w:rFonts w:ascii="Times New Roman" w:eastAsia="Times New Roman" w:hAnsi="Times New Roman" w:cs="Times New Roman"/>
                <w:sz w:val="18"/>
                <w:szCs w:val="18"/>
                <w:lang w:val="ro-RO" w:eastAsia="ro-MD"/>
              </w:rPr>
              <w:t>Băncile dispun de proceduri de monitorizare a caracterului adecvat al asigurării.</w:t>
            </w:r>
          </w:p>
          <w:p w14:paraId="0AAC17A1" w14:textId="7B095F84" w:rsidR="00CD6871" w:rsidRPr="006F5136" w:rsidRDefault="00CD6871"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i/>
                <w:iCs/>
                <w:sz w:val="18"/>
                <w:szCs w:val="18"/>
                <w:lang w:val="ro-RO" w:eastAsia="ro-MD"/>
              </w:rPr>
              <w:t>Modificat prin Proiectul HCE al BNM privind modificarea Regulamentului nr.111/2018</w:t>
            </w:r>
          </w:p>
        </w:tc>
        <w:tc>
          <w:tcPr>
            <w:tcW w:w="503" w:type="pct"/>
          </w:tcPr>
          <w:p w14:paraId="07133FE7" w14:textId="343DE610" w:rsidR="00CD6871" w:rsidRPr="006F5136" w:rsidRDefault="00CD6871"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08872E2E" w14:textId="45AFB2C1" w:rsidR="00CD6871" w:rsidRPr="006F5136" w:rsidRDefault="00CD6871"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CD6871" w:rsidRPr="006F5136" w14:paraId="5CF4569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CA256F0" w14:textId="77777777" w:rsidR="00CD6871" w:rsidRPr="006F5136" w:rsidRDefault="00CD6871" w:rsidP="005E4694">
            <w:pPr>
              <w:pStyle w:val="norm"/>
              <w:shd w:val="clear" w:color="auto" w:fill="FFFFFF"/>
              <w:spacing w:before="0" w:beforeAutospacing="0" w:after="0" w:afterAutospacing="0"/>
              <w:jc w:val="both"/>
              <w:rPr>
                <w:rFonts w:eastAsia="Arial Unicode MS"/>
                <w:color w:val="000000" w:themeColor="text1"/>
                <w:sz w:val="18"/>
                <w:szCs w:val="18"/>
              </w:rPr>
            </w:pPr>
            <w:r w:rsidRPr="006F5136">
              <w:rPr>
                <w:rFonts w:eastAsia="Arial Unicode MS"/>
                <w:color w:val="000000" w:themeColor="text1"/>
                <w:sz w:val="18"/>
                <w:szCs w:val="18"/>
              </w:rPr>
              <w:t xml:space="preserve">Prin derogare de la articolul 92 alineatul (5) litera (a) punctul (ii) și fără </w:t>
            </w:r>
            <w:proofErr w:type="gramStart"/>
            <w:r w:rsidRPr="006F5136">
              <w:rPr>
                <w:rFonts w:eastAsia="Arial Unicode MS"/>
                <w:color w:val="000000" w:themeColor="text1"/>
                <w:sz w:val="18"/>
                <w:szCs w:val="18"/>
              </w:rPr>
              <w:t>a</w:t>
            </w:r>
            <w:proofErr w:type="gramEnd"/>
            <w:r w:rsidRPr="006F5136">
              <w:rPr>
                <w:rFonts w:eastAsia="Arial Unicode MS"/>
                <w:color w:val="000000" w:themeColor="text1"/>
                <w:sz w:val="18"/>
                <w:szCs w:val="18"/>
              </w:rPr>
              <w:t> aduce atingere derogării prevăzute la articolul 92 alineatul (3) al doilea paragraf, în cazul expunerilor garantate cu bunuri imobile acordate înainte de 1 ianuarie 2025, instituțiile care aplică abordarea IRB menționată în capitolul 3 din prezentul titlu prin utilizarea propriilor estimări ale LGD nu sunt obligate să aplice dispozițiile prevăzute la primul paragraf de la prezentul alineat.</w:t>
            </w:r>
          </w:p>
          <w:p w14:paraId="2566105F" w14:textId="77777777" w:rsidR="00CD6871" w:rsidRPr="006F5136" w:rsidRDefault="00CD6871" w:rsidP="005E4694">
            <w:pPr>
              <w:pStyle w:val="modref"/>
              <w:shd w:val="clear" w:color="auto" w:fill="FFFFFF"/>
              <w:spacing w:before="0" w:beforeAutospacing="0" w:after="0" w:afterAutospacing="0"/>
              <w:rPr>
                <w:rFonts w:eastAsia="Arial Unicode MS"/>
                <w:b/>
                <w:bCs/>
                <w:color w:val="000000" w:themeColor="text1"/>
                <w:sz w:val="18"/>
                <w:szCs w:val="18"/>
              </w:rPr>
            </w:pPr>
          </w:p>
        </w:tc>
        <w:tc>
          <w:tcPr>
            <w:tcW w:w="1661" w:type="pct"/>
          </w:tcPr>
          <w:p w14:paraId="578EC11C" w14:textId="77777777" w:rsidR="00CD6871" w:rsidRPr="006F5136" w:rsidRDefault="00CD6871" w:rsidP="005E4694">
            <w:pPr>
              <w:spacing w:after="0" w:line="240" w:lineRule="auto"/>
              <w:rPr>
                <w:rFonts w:ascii="Times New Roman" w:eastAsia="Times New Roman" w:hAnsi="Times New Roman" w:cs="Times New Roman"/>
                <w:b/>
                <w:bCs/>
                <w:sz w:val="18"/>
                <w:szCs w:val="18"/>
                <w:lang w:val="ro-RO" w:eastAsia="ro-MD"/>
              </w:rPr>
            </w:pPr>
          </w:p>
        </w:tc>
        <w:tc>
          <w:tcPr>
            <w:tcW w:w="503" w:type="pct"/>
          </w:tcPr>
          <w:p w14:paraId="1A933CA5" w14:textId="2CE831AE" w:rsidR="00CD6871" w:rsidRPr="006F5136" w:rsidRDefault="00CD6871"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Prevederi UE neaplicabile</w:t>
            </w:r>
          </w:p>
        </w:tc>
        <w:tc>
          <w:tcPr>
            <w:tcW w:w="912" w:type="pct"/>
          </w:tcPr>
          <w:p w14:paraId="1D8A47E1" w14:textId="2885C8F0" w:rsidR="00CD6871" w:rsidRPr="006F5136" w:rsidRDefault="00CD6871"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Norma prevede dispoziții tranzitorii, neaplicabile situației băncilor din RM.</w:t>
            </w:r>
            <w:r w:rsidR="004F531C" w:rsidRPr="006F5136">
              <w:rPr>
                <w:rFonts w:ascii="Times New Roman" w:hAnsi="Times New Roman" w:cs="Times New Roman"/>
                <w:sz w:val="18"/>
                <w:szCs w:val="18"/>
                <w:lang w:val="ro-RO"/>
              </w:rPr>
              <w:t xml:space="preserve"> Cadrul secundar aferent abordării </w:t>
            </w:r>
          </w:p>
        </w:tc>
      </w:tr>
      <w:tr w:rsidR="004F531C" w:rsidRPr="006F5136" w14:paraId="0E83890F"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DA0193B" w14:textId="77777777" w:rsidR="008B2102" w:rsidRPr="006F5136" w:rsidRDefault="008B2102" w:rsidP="005E4694">
            <w:pPr>
              <w:pStyle w:val="title-article-norm"/>
              <w:shd w:val="clear" w:color="auto" w:fill="FFFFFF"/>
              <w:spacing w:before="0" w:after="0"/>
              <w:jc w:val="left"/>
              <w:rPr>
                <w:rFonts w:eastAsia="Arial Unicode MS"/>
                <w:color w:val="000000" w:themeColor="text1"/>
                <w:sz w:val="18"/>
                <w:szCs w:val="18"/>
              </w:rPr>
            </w:pPr>
          </w:p>
          <w:p w14:paraId="6084244E" w14:textId="162D298F" w:rsidR="004F531C" w:rsidRPr="006F5136" w:rsidRDefault="004F531C" w:rsidP="005E4694">
            <w:pPr>
              <w:pStyle w:val="title-article-norm"/>
              <w:shd w:val="clear" w:color="auto" w:fill="FFFFFF"/>
              <w:spacing w:before="0" w:after="0"/>
              <w:jc w:val="left"/>
              <w:rPr>
                <w:rFonts w:eastAsia="Arial Unicode MS"/>
                <w:b/>
                <w:bCs/>
                <w:i w:val="0"/>
                <w:iCs w:val="0"/>
                <w:color w:val="000000" w:themeColor="text1"/>
                <w:sz w:val="18"/>
                <w:szCs w:val="18"/>
              </w:rPr>
            </w:pPr>
            <w:r w:rsidRPr="006F5136">
              <w:rPr>
                <w:rFonts w:eastAsia="Arial Unicode MS"/>
                <w:color w:val="000000" w:themeColor="text1"/>
                <w:sz w:val="18"/>
                <w:szCs w:val="18"/>
              </w:rPr>
              <w:t>Articolul 430a</w:t>
            </w:r>
            <w:r w:rsidRPr="006F5136">
              <w:rPr>
                <w:rFonts w:eastAsia="Arial Unicode MS"/>
                <w:i w:val="0"/>
                <w:iCs w:val="0"/>
                <w:color w:val="000000" w:themeColor="text1"/>
                <w:sz w:val="18"/>
                <w:szCs w:val="18"/>
              </w:rPr>
              <w:t xml:space="preserve"> </w:t>
            </w:r>
            <w:r w:rsidRPr="006F5136">
              <w:rPr>
                <w:rFonts w:eastAsia="Arial Unicode MS"/>
                <w:b/>
                <w:bCs/>
                <w:color w:val="000000" w:themeColor="text1"/>
                <w:sz w:val="18"/>
                <w:szCs w:val="18"/>
              </w:rPr>
              <w:t>Obligații de raportare specifice</w:t>
            </w:r>
          </w:p>
          <w:p w14:paraId="4871BD32" w14:textId="77777777" w:rsidR="004F531C" w:rsidRPr="006F5136" w:rsidRDefault="004F531C" w:rsidP="005E4694">
            <w:pPr>
              <w:pStyle w:val="modref"/>
              <w:shd w:val="clear" w:color="auto" w:fill="FFFFFF"/>
              <w:spacing w:before="0" w:beforeAutospacing="0" w:after="0" w:afterAutospacing="0"/>
              <w:rPr>
                <w:rFonts w:eastAsia="Arial Unicode MS"/>
                <w:b/>
                <w:bCs/>
                <w:color w:val="000000" w:themeColor="text1"/>
                <w:sz w:val="18"/>
                <w:szCs w:val="18"/>
              </w:rPr>
            </w:pPr>
            <w:hyperlink r:id="rId39" w:tooltip="32024R1623: REPLACED" w:history="1">
              <w:r w:rsidRPr="006F5136">
                <w:rPr>
                  <w:rStyle w:val="Hyperlink"/>
                  <w:rFonts w:eastAsia="Arial Unicode MS"/>
                  <w:b/>
                  <w:bCs/>
                  <w:color w:val="000000" w:themeColor="text1"/>
                  <w:sz w:val="18"/>
                  <w:szCs w:val="18"/>
                </w:rPr>
                <w:t>▼M17</w:t>
              </w:r>
            </w:hyperlink>
          </w:p>
          <w:p w14:paraId="37A3BDCA" w14:textId="77777777" w:rsidR="008B2102" w:rsidRPr="006F5136" w:rsidRDefault="008B2102" w:rsidP="005E4694">
            <w:pPr>
              <w:pStyle w:val="modref"/>
              <w:shd w:val="clear" w:color="auto" w:fill="FFFFFF"/>
              <w:spacing w:before="0" w:beforeAutospacing="0" w:after="0" w:afterAutospacing="0"/>
              <w:rPr>
                <w:rFonts w:eastAsia="Arial Unicode MS"/>
                <w:b/>
                <w:bCs/>
                <w:color w:val="000000" w:themeColor="text1"/>
                <w:sz w:val="18"/>
                <w:szCs w:val="18"/>
              </w:rPr>
            </w:pPr>
          </w:p>
          <w:p w14:paraId="754F85EE" w14:textId="77777777" w:rsidR="008B2102" w:rsidRPr="006F5136" w:rsidRDefault="008B2102" w:rsidP="005E4694">
            <w:pPr>
              <w:pStyle w:val="modref"/>
              <w:shd w:val="clear" w:color="auto" w:fill="FFFFFF"/>
              <w:spacing w:before="0" w:beforeAutospacing="0" w:after="0" w:afterAutospacing="0"/>
              <w:rPr>
                <w:rFonts w:eastAsia="Arial Unicode MS"/>
                <w:b/>
                <w:bCs/>
                <w:color w:val="000000" w:themeColor="text1"/>
                <w:sz w:val="18"/>
                <w:szCs w:val="18"/>
              </w:rPr>
            </w:pPr>
          </w:p>
          <w:p w14:paraId="128F1534" w14:textId="77777777" w:rsidR="008B2102" w:rsidRPr="006F5136" w:rsidRDefault="008B2102" w:rsidP="005E4694">
            <w:pPr>
              <w:pStyle w:val="modref"/>
              <w:shd w:val="clear" w:color="auto" w:fill="FFFFFF"/>
              <w:spacing w:before="0" w:beforeAutospacing="0" w:after="0" w:afterAutospacing="0"/>
              <w:rPr>
                <w:rFonts w:eastAsia="Arial Unicode MS"/>
                <w:b/>
                <w:bCs/>
                <w:color w:val="000000" w:themeColor="text1"/>
                <w:sz w:val="18"/>
                <w:szCs w:val="18"/>
              </w:rPr>
            </w:pPr>
          </w:p>
          <w:p w14:paraId="534335F1" w14:textId="76AD6C8D" w:rsidR="004F531C" w:rsidRPr="006F5136" w:rsidRDefault="004F531C" w:rsidP="005E4694">
            <w:pPr>
              <w:shd w:val="clear" w:color="auto" w:fill="FFFFFF"/>
              <w:spacing w:after="0" w:line="240" w:lineRule="auto"/>
              <w:rPr>
                <w:rFonts w:ascii="Times New Roman" w:eastAsia="Arial Unicode MS" w:hAnsi="Times New Roman" w:cs="Times New Roman"/>
                <w:color w:val="000000" w:themeColor="text1"/>
                <w:sz w:val="18"/>
                <w:szCs w:val="18"/>
              </w:rPr>
            </w:pPr>
            <w:r w:rsidRPr="006F5136">
              <w:rPr>
                <w:rStyle w:val="no-parag"/>
                <w:rFonts w:ascii="Times New Roman" w:eastAsia="Arial Unicode MS" w:hAnsi="Times New Roman" w:cs="Times New Roman"/>
                <w:color w:val="000000" w:themeColor="text1"/>
                <w:sz w:val="18"/>
                <w:szCs w:val="18"/>
              </w:rPr>
              <w:t>(1)  </w:t>
            </w:r>
            <w:r w:rsidRPr="006F5136">
              <w:rPr>
                <w:rFonts w:ascii="Times New Roman" w:eastAsia="Arial Unicode MS" w:hAnsi="Times New Roman" w:cs="Times New Roman"/>
                <w:color w:val="000000" w:themeColor="text1"/>
                <w:sz w:val="18"/>
                <w:szCs w:val="18"/>
              </w:rPr>
              <w:t> Instituțiile raportează pe bază anuală autorităților lor competente următoarele date agregate referitoare la fiecare piață națională de bunuri imobile față de care sunt expuse:</w:t>
            </w:r>
          </w:p>
          <w:p w14:paraId="47F6D733" w14:textId="3A555512" w:rsidR="004F531C" w:rsidRPr="006F5136" w:rsidRDefault="004F531C"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(a) pierderile care decurg din expuneri pentru care o instituție a recunoscut bunuri imobile locative drept garanție reală, în fiecare caz până la valoarea mai mică dintre cuantumul afectat garanției și 55 % din valoarea bunurilor imobile locative, cu excepția situațiilor în care s-a decis altfel în temeiul articolului 124 alineatul (9), după </w:t>
            </w:r>
            <w:proofErr w:type="gramStart"/>
            <w:r w:rsidRPr="006F5136">
              <w:rPr>
                <w:rFonts w:ascii="Times New Roman" w:eastAsia="Arial Unicode MS" w:hAnsi="Times New Roman" w:cs="Times New Roman"/>
                <w:color w:val="000000" w:themeColor="text1"/>
                <w:sz w:val="18"/>
                <w:szCs w:val="18"/>
              </w:rPr>
              <w:t>caz;</w:t>
            </w:r>
            <w:proofErr w:type="gramEnd"/>
          </w:p>
          <w:p w14:paraId="245FCA96" w14:textId="68A919F2" w:rsidR="004F531C" w:rsidRPr="006F5136" w:rsidRDefault="004F531C"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(b) pierderile totale care decurg din expuneri pentru care o instituție a recunoscut bunuri imobile locative drept garanție reală, în fiecare caz până la valoarea mai mică dintre cuantumul afectat garanției și 100 % din valoarea bunurilor imobile </w:t>
            </w:r>
            <w:proofErr w:type="gramStart"/>
            <w:r w:rsidRPr="006F5136">
              <w:rPr>
                <w:rFonts w:ascii="Times New Roman" w:eastAsia="Arial Unicode MS" w:hAnsi="Times New Roman" w:cs="Times New Roman"/>
                <w:color w:val="000000" w:themeColor="text1"/>
                <w:sz w:val="18"/>
                <w:szCs w:val="18"/>
              </w:rPr>
              <w:t>locative;</w:t>
            </w:r>
            <w:proofErr w:type="gramEnd"/>
          </w:p>
          <w:p w14:paraId="31D5D707" w14:textId="24804A24" w:rsidR="004F531C" w:rsidRPr="006F5136" w:rsidRDefault="004F531C"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(c) valoarea expunerii aferentă tuturor expunerilor care au rămas de rambursat pentru care o instituție a recunoscut bunuri imobile locative drept garanție reală, în fiecare caz până la valoarea mai mică dintre cuantumul afectat garanției și 100 % din valoarea bunurilor imobile </w:t>
            </w:r>
            <w:proofErr w:type="gramStart"/>
            <w:r w:rsidRPr="006F5136">
              <w:rPr>
                <w:rFonts w:ascii="Times New Roman" w:eastAsia="Arial Unicode MS" w:hAnsi="Times New Roman" w:cs="Times New Roman"/>
                <w:color w:val="000000" w:themeColor="text1"/>
                <w:sz w:val="18"/>
                <w:szCs w:val="18"/>
              </w:rPr>
              <w:t>locative;</w:t>
            </w:r>
            <w:proofErr w:type="gramEnd"/>
          </w:p>
          <w:p w14:paraId="6723D2D6" w14:textId="10B901A1" w:rsidR="004F531C" w:rsidRPr="006F5136" w:rsidRDefault="004F531C"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(d) pierderile care decurg din expuneri pentru care o instituție a recunoscut bunuri imobile comerciale drept garanție reală, în fiecare caz până la valoarea mai mică dintre cuantumul afectat garanției și 55 % din valoarea bunurilor imobile comerciale, cu excepția situațiilor în care s-a decis altfel în temeiul articolului 124 alineatul (9), după </w:t>
            </w:r>
            <w:proofErr w:type="gramStart"/>
            <w:r w:rsidRPr="006F5136">
              <w:rPr>
                <w:rFonts w:ascii="Times New Roman" w:eastAsia="Arial Unicode MS" w:hAnsi="Times New Roman" w:cs="Times New Roman"/>
                <w:color w:val="000000" w:themeColor="text1"/>
                <w:sz w:val="18"/>
                <w:szCs w:val="18"/>
              </w:rPr>
              <w:t>caz;</w:t>
            </w:r>
            <w:proofErr w:type="gramEnd"/>
          </w:p>
          <w:p w14:paraId="40E7E225" w14:textId="289AE8F4" w:rsidR="004F531C" w:rsidRPr="006F5136" w:rsidRDefault="004F531C"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(e) pierderile totale rezultate din expuneri pentru care o instituție a recunoscut bunuri imobile comerciale drept garanție reală, în fiecare caz până la valoarea mai mică dintre cuantumul afectat garanției și 100 % din valoarea bunurilor imobile </w:t>
            </w:r>
            <w:proofErr w:type="gramStart"/>
            <w:r w:rsidRPr="006F5136">
              <w:rPr>
                <w:rFonts w:ascii="Times New Roman" w:eastAsia="Arial Unicode MS" w:hAnsi="Times New Roman" w:cs="Times New Roman"/>
                <w:color w:val="000000" w:themeColor="text1"/>
                <w:sz w:val="18"/>
                <w:szCs w:val="18"/>
              </w:rPr>
              <w:t>comerciale;</w:t>
            </w:r>
            <w:proofErr w:type="gramEnd"/>
          </w:p>
          <w:p w14:paraId="7260F6CF" w14:textId="0F61738F" w:rsidR="004F531C" w:rsidRPr="006F5136" w:rsidRDefault="004F531C"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(f) valoarea expunerii aferentă tuturor expunerilor care au rămas de rambursat pentru care o instituție a recunoscut bunuri imobile comerciale drept garanție reală, în fiecare caz până la valoarea mai mică dintre cuantumul afectat garanției și 100 % din valoarea bunurilor imobile comerciale.</w:t>
            </w:r>
          </w:p>
          <w:p w14:paraId="0894E404" w14:textId="77777777" w:rsidR="008B2102" w:rsidRPr="006F5136" w:rsidRDefault="008B2102" w:rsidP="005E4694">
            <w:pPr>
              <w:shd w:val="clear" w:color="auto" w:fill="FFFFFF"/>
              <w:spacing w:after="0" w:line="240" w:lineRule="auto"/>
              <w:jc w:val="both"/>
              <w:rPr>
                <w:rFonts w:ascii="Times New Roman" w:eastAsia="Arial Unicode MS" w:hAnsi="Times New Roman" w:cs="Times New Roman"/>
                <w:color w:val="000000" w:themeColor="text1"/>
                <w:sz w:val="18"/>
                <w:szCs w:val="18"/>
              </w:rPr>
            </w:pPr>
          </w:p>
          <w:p w14:paraId="0CE949A1" w14:textId="77777777" w:rsidR="004F531C" w:rsidRPr="006F5136" w:rsidRDefault="004F531C" w:rsidP="005E4694">
            <w:pPr>
              <w:pStyle w:val="modref"/>
              <w:shd w:val="clear" w:color="auto" w:fill="FFFFFF"/>
              <w:spacing w:before="0" w:beforeAutospacing="0" w:after="0" w:afterAutospacing="0"/>
              <w:rPr>
                <w:rFonts w:eastAsia="Arial Unicode MS"/>
                <w:b/>
                <w:bCs/>
                <w:color w:val="000000" w:themeColor="text1"/>
                <w:sz w:val="18"/>
                <w:szCs w:val="18"/>
              </w:rPr>
            </w:pPr>
            <w:hyperlink r:id="rId40" w:tooltip="32019R0876: INSERTED" w:history="1">
              <w:r w:rsidRPr="006F5136">
                <w:rPr>
                  <w:rStyle w:val="Hyperlink"/>
                  <w:rFonts w:eastAsia="Arial Unicode MS"/>
                  <w:b/>
                  <w:bCs/>
                  <w:color w:val="000000" w:themeColor="text1"/>
                  <w:sz w:val="18"/>
                  <w:szCs w:val="18"/>
                </w:rPr>
                <w:t>▼M8</w:t>
              </w:r>
            </w:hyperlink>
          </w:p>
          <w:p w14:paraId="45B4393A" w14:textId="3B82436D" w:rsidR="004F531C" w:rsidRPr="006F5136" w:rsidRDefault="004F531C" w:rsidP="005E4694">
            <w:pPr>
              <w:shd w:val="clear" w:color="auto" w:fill="FFFFFF"/>
              <w:spacing w:after="0" w:line="240" w:lineRule="auto"/>
              <w:rPr>
                <w:rFonts w:ascii="Times New Roman" w:eastAsia="Arial Unicode MS" w:hAnsi="Times New Roman" w:cs="Times New Roman"/>
                <w:color w:val="000000" w:themeColor="text1"/>
                <w:sz w:val="18"/>
                <w:szCs w:val="18"/>
              </w:rPr>
            </w:pPr>
            <w:r w:rsidRPr="006F5136">
              <w:rPr>
                <w:rStyle w:val="no-parag"/>
                <w:rFonts w:ascii="Times New Roman" w:eastAsia="Arial Unicode MS" w:hAnsi="Times New Roman" w:cs="Times New Roman"/>
                <w:color w:val="000000" w:themeColor="text1"/>
                <w:sz w:val="18"/>
                <w:szCs w:val="18"/>
              </w:rPr>
              <w:t>(2)  </w:t>
            </w:r>
            <w:r w:rsidRPr="006F5136">
              <w:rPr>
                <w:rFonts w:ascii="Times New Roman" w:eastAsia="Arial Unicode MS" w:hAnsi="Times New Roman" w:cs="Times New Roman"/>
                <w:color w:val="000000" w:themeColor="text1"/>
                <w:sz w:val="18"/>
                <w:szCs w:val="18"/>
              </w:rPr>
              <w:t> Datele menționate la alineatul (1) se raportează către autoritatea competentă a statului membru de origine al instituției relevante. În cazul unei instituții care are o sucursală în alt stat membru, informațiile aferente sucursalei respective se raportează și autorităților competente din statul membru gazdă. Datele se raportează separat pentru fiecare piață de bunuri imobile din Uniune față de care instituția relevantă este expusă.</w:t>
            </w:r>
          </w:p>
          <w:p w14:paraId="2E0448E7" w14:textId="77777777" w:rsidR="004F531C" w:rsidRPr="006F5136" w:rsidRDefault="004F531C" w:rsidP="005E4694">
            <w:pPr>
              <w:pStyle w:val="modref"/>
              <w:shd w:val="clear" w:color="auto" w:fill="FFFFFF"/>
              <w:spacing w:before="0" w:beforeAutospacing="0" w:after="0" w:afterAutospacing="0"/>
              <w:rPr>
                <w:rFonts w:eastAsia="Arial Unicode MS"/>
                <w:b/>
                <w:bCs/>
                <w:color w:val="000000" w:themeColor="text1"/>
                <w:sz w:val="18"/>
                <w:szCs w:val="18"/>
              </w:rPr>
            </w:pPr>
            <w:hyperlink r:id="rId41" w:tooltip="32024R1623: REPLACED" w:history="1">
              <w:r w:rsidRPr="006F5136">
                <w:rPr>
                  <w:rStyle w:val="Hyperlink"/>
                  <w:rFonts w:eastAsia="Arial Unicode MS"/>
                  <w:b/>
                  <w:bCs/>
                  <w:color w:val="000000" w:themeColor="text1"/>
                  <w:sz w:val="18"/>
                  <w:szCs w:val="18"/>
                </w:rPr>
                <w:t>▼M17</w:t>
              </w:r>
            </w:hyperlink>
          </w:p>
          <w:p w14:paraId="3E6A98AB" w14:textId="7730C9C0" w:rsidR="004F531C" w:rsidRPr="006F5136" w:rsidRDefault="004F531C" w:rsidP="00FC1CEF">
            <w:pPr>
              <w:shd w:val="clear" w:color="auto" w:fill="FFFFFF"/>
              <w:spacing w:after="0" w:line="240" w:lineRule="auto"/>
              <w:rPr>
                <w:rFonts w:ascii="Times New Roman" w:eastAsia="Arial Unicode MS" w:hAnsi="Times New Roman" w:cs="Times New Roman"/>
                <w:color w:val="000000" w:themeColor="text1"/>
                <w:sz w:val="18"/>
                <w:szCs w:val="18"/>
              </w:rPr>
            </w:pPr>
            <w:r w:rsidRPr="006F5136">
              <w:rPr>
                <w:rStyle w:val="no-parag"/>
                <w:rFonts w:ascii="Times New Roman" w:eastAsia="Arial Unicode MS" w:hAnsi="Times New Roman" w:cs="Times New Roman"/>
                <w:color w:val="000000" w:themeColor="text1"/>
                <w:sz w:val="18"/>
                <w:szCs w:val="18"/>
              </w:rPr>
              <w:t>(3)  </w:t>
            </w:r>
            <w:r w:rsidRPr="006F5136">
              <w:rPr>
                <w:rFonts w:ascii="Times New Roman" w:eastAsia="Arial Unicode MS" w:hAnsi="Times New Roman" w:cs="Times New Roman"/>
                <w:color w:val="000000" w:themeColor="text1"/>
                <w:sz w:val="18"/>
                <w:szCs w:val="18"/>
              </w:rPr>
              <w:t> Autoritățile competente publică anual pe bază agregată datele menționate la alineatul (1) literele (a)-(f), împreună cu datele istorice, dacă sunt disponibile, pentru fiecare piață națională de bunuri imobile pentru care astfel de date au fost colectate. La cererea unei alte autorități competente dintr-un stat membru sau la cererea ABE, o autoritate competentă furnizează autorității competente solicitante sau ABE informații mai detaliate privind situația piețelor de bunuri imobile locative sau comerciale din statul membru respectiv.</w:t>
            </w:r>
          </w:p>
        </w:tc>
        <w:tc>
          <w:tcPr>
            <w:tcW w:w="1661" w:type="pct"/>
          </w:tcPr>
          <w:p w14:paraId="15FD019D" w14:textId="62D80671" w:rsidR="00580B0F" w:rsidRPr="006F5136" w:rsidRDefault="00580B0F" w:rsidP="005E4694">
            <w:pPr>
              <w:spacing w:after="0" w:line="240" w:lineRule="auto"/>
              <w:contextualSpacing/>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Anexa nr.2</w:t>
            </w:r>
            <w:r w:rsidRPr="006F5136">
              <w:rPr>
                <w:rFonts w:ascii="Times New Roman" w:eastAsia="Times New Roman" w:hAnsi="Times New Roman" w:cs="Times New Roman"/>
                <w:sz w:val="18"/>
                <w:szCs w:val="18"/>
                <w:vertAlign w:val="superscript"/>
                <w:lang w:val="ro-RO" w:eastAsia="ro-MD"/>
              </w:rPr>
              <w:t xml:space="preserve">1 </w:t>
            </w:r>
            <w:r w:rsidRPr="006F5136">
              <w:rPr>
                <w:rFonts w:ascii="Times New Roman" w:eastAsia="Times New Roman" w:hAnsi="Times New Roman" w:cs="Times New Roman"/>
                <w:sz w:val="18"/>
                <w:szCs w:val="18"/>
                <w:lang w:val="ro-RO" w:eastAsia="ro-MD"/>
              </w:rPr>
              <w:t>la Regulamentul cu privire la tratamentul riscului de credit pentru bănci potrivit abordării standardizate</w:t>
            </w:r>
          </w:p>
          <w:p w14:paraId="2633B196" w14:textId="77777777" w:rsidR="00580B0F" w:rsidRPr="006F5136" w:rsidRDefault="00580B0F" w:rsidP="005E4694">
            <w:pPr>
              <w:spacing w:after="0" w:line="240" w:lineRule="auto"/>
              <w:contextualSpacing/>
              <w:jc w:val="right"/>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 </w:t>
            </w:r>
          </w:p>
          <w:p w14:paraId="2830A142" w14:textId="77777777" w:rsidR="00580B0F" w:rsidRPr="006F5136" w:rsidRDefault="00580B0F" w:rsidP="005E4694">
            <w:pPr>
              <w:spacing w:after="0" w:line="240" w:lineRule="auto"/>
              <w:contextualSpacing/>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Obligații de raportare specifice</w:t>
            </w:r>
          </w:p>
          <w:p w14:paraId="4F2EEB9E" w14:textId="77777777" w:rsidR="004F531C" w:rsidRPr="006F5136" w:rsidRDefault="004F531C" w:rsidP="005E4694">
            <w:pPr>
              <w:spacing w:after="0" w:line="240" w:lineRule="auto"/>
              <w:rPr>
                <w:rFonts w:ascii="Times New Roman" w:eastAsia="Times New Roman" w:hAnsi="Times New Roman" w:cs="Times New Roman"/>
                <w:b/>
                <w:bCs/>
                <w:sz w:val="18"/>
                <w:szCs w:val="18"/>
                <w:lang w:val="ro-RO" w:eastAsia="ro-MD"/>
              </w:rPr>
            </w:pPr>
          </w:p>
          <w:p w14:paraId="17CCD5E7" w14:textId="77777777" w:rsidR="008B2102" w:rsidRPr="006F5136" w:rsidRDefault="008B210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1.</w:t>
            </w:r>
            <w:r w:rsidRPr="006F5136">
              <w:rPr>
                <w:rFonts w:ascii="Times New Roman" w:eastAsia="Times New Roman" w:hAnsi="Times New Roman" w:cs="Times New Roman"/>
                <w:sz w:val="18"/>
                <w:szCs w:val="18"/>
                <w:lang w:val="ro-RO" w:eastAsia="ro-MD"/>
              </w:rPr>
              <w:t xml:space="preserve"> Băncile raportează anual Băncii Naționale a Moldovei următoarele date agregate referitoare la fiecare piață națională de bunuri imobile față de care sunt expuse:</w:t>
            </w:r>
          </w:p>
          <w:p w14:paraId="2836CB6C" w14:textId="77777777" w:rsidR="008B2102" w:rsidRPr="006F5136" w:rsidRDefault="008B210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pierderile care decurg din expuneri pentru care banca a recunoscut bunuri imobile locative drept garanție reală, în fiecare caz până la valoarea mai mică dintre cuantumul afectat garanției și 55 % din valoarea bunurilor imobile locative, cu excepția situațiilor în care s-a decis altfel în temeiul punctelor 68</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-68</w:t>
            </w:r>
            <w:r w:rsidRPr="006F5136">
              <w:rPr>
                <w:rFonts w:ascii="Times New Roman" w:eastAsia="Times New Roman" w:hAnsi="Times New Roman" w:cs="Times New Roman"/>
                <w:sz w:val="18"/>
                <w:szCs w:val="18"/>
                <w:vertAlign w:val="superscript"/>
                <w:lang w:val="ro-RO" w:eastAsia="ro-MD"/>
              </w:rPr>
              <w:t>6</w:t>
            </w:r>
            <w:r w:rsidRPr="006F5136">
              <w:rPr>
                <w:rFonts w:ascii="Times New Roman" w:eastAsia="Times New Roman" w:hAnsi="Times New Roman" w:cs="Times New Roman"/>
                <w:sz w:val="18"/>
                <w:szCs w:val="18"/>
                <w:lang w:val="ro-RO" w:eastAsia="ro-MD"/>
              </w:rPr>
              <w:t>, după caz;</w:t>
            </w:r>
          </w:p>
          <w:p w14:paraId="5926B32B" w14:textId="77777777" w:rsidR="008B2102" w:rsidRPr="006F5136" w:rsidRDefault="008B210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pierderile totale care decurg din expuneri pentru care banca a recunoscut bunuri imobile locative drept garanție reală, în fiecare caz până la valoarea mai mică dintre cuantumul garanției și 100 % din valoarea bunurilor imobile locative;</w:t>
            </w:r>
          </w:p>
          <w:p w14:paraId="3CB456A8" w14:textId="77777777" w:rsidR="008B2102" w:rsidRPr="006F5136" w:rsidRDefault="008B210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valoarea expunerii aferentă tuturor expunerilor care au rămas de rambursat pentru care banca a recunoscut bunuri imobile locative drept garanție reală, în fiecare caz până la valoarea mai mică dintre cuantumul afectat garanției și 100 % din valoarea bunurilor imobile locative;</w:t>
            </w:r>
          </w:p>
          <w:p w14:paraId="6D6D434B" w14:textId="77777777" w:rsidR="008B2102" w:rsidRPr="006F5136" w:rsidRDefault="008B210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4) pierderile care decurg din expuneri pentru care banca a recunoscut bunuri imobile comerciale drept garanție reală, în fiecare caz până la valoarea mai mică dintre cuantumul garanției și 55 % din valoarea bunurilor imobile comerciale, cu excepția situațiilor în care s-a decis altfel în temeiul punctelor 68</w:t>
            </w:r>
            <w:r w:rsidRPr="006F5136">
              <w:rPr>
                <w:rFonts w:ascii="Times New Roman" w:eastAsia="Times New Roman" w:hAnsi="Times New Roman" w:cs="Times New Roman"/>
                <w:sz w:val="18"/>
                <w:szCs w:val="18"/>
                <w:vertAlign w:val="superscript"/>
                <w:lang w:val="ro-RO" w:eastAsia="ro-MD"/>
              </w:rPr>
              <w:t>3</w:t>
            </w:r>
            <w:r w:rsidRPr="006F5136">
              <w:rPr>
                <w:rFonts w:ascii="Times New Roman" w:eastAsia="Times New Roman" w:hAnsi="Times New Roman" w:cs="Times New Roman"/>
                <w:sz w:val="18"/>
                <w:szCs w:val="18"/>
                <w:lang w:val="ro-RO" w:eastAsia="ro-MD"/>
              </w:rPr>
              <w:t>-68</w:t>
            </w:r>
            <w:r w:rsidRPr="006F5136">
              <w:rPr>
                <w:rFonts w:ascii="Times New Roman" w:eastAsia="Times New Roman" w:hAnsi="Times New Roman" w:cs="Times New Roman"/>
                <w:sz w:val="18"/>
                <w:szCs w:val="18"/>
                <w:vertAlign w:val="superscript"/>
                <w:lang w:val="ro-RO" w:eastAsia="ro-MD"/>
              </w:rPr>
              <w:t>6</w:t>
            </w:r>
            <w:r w:rsidRPr="006F5136">
              <w:rPr>
                <w:rFonts w:ascii="Times New Roman" w:eastAsia="Times New Roman" w:hAnsi="Times New Roman" w:cs="Times New Roman"/>
                <w:sz w:val="18"/>
                <w:szCs w:val="18"/>
                <w:lang w:val="ro-RO" w:eastAsia="ro-MD"/>
              </w:rPr>
              <w:t>, după caz;</w:t>
            </w:r>
          </w:p>
          <w:p w14:paraId="13BB9367" w14:textId="77777777" w:rsidR="008B2102" w:rsidRPr="006F5136" w:rsidRDefault="008B210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5) pierderile totale rezultate din expuneri pentru care banca a recunoscut bunuri imobile comerciale drept garanție reală, în fiecare caz până la valoarea mai mică dintre cuantumul garanției și 100 % din valoarea bunurilor imobile comerciale;</w:t>
            </w:r>
          </w:p>
          <w:p w14:paraId="1E129356" w14:textId="77777777" w:rsidR="008B2102" w:rsidRPr="006F5136" w:rsidRDefault="008B210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6) valoarea expunerii aferentă tuturor expunerilor care au rămas de rambursat pentru care banca a recunoscut bunuri imobile comerciale drept garanție reală, în fiecare caz până la valoarea mai mică dintre cuantumul garanției și 100 % din valoarea bunurilor imobile comerciale.</w:t>
            </w:r>
          </w:p>
          <w:p w14:paraId="49AB1791" w14:textId="77777777" w:rsidR="008B2102" w:rsidRPr="006F5136" w:rsidRDefault="008B2102" w:rsidP="005E4694">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2.</w:t>
            </w:r>
            <w:r w:rsidRPr="006F5136">
              <w:rPr>
                <w:rFonts w:ascii="Times New Roman" w:eastAsia="Times New Roman" w:hAnsi="Times New Roman" w:cs="Times New Roman"/>
                <w:sz w:val="18"/>
                <w:szCs w:val="18"/>
                <w:lang w:val="ro-RO" w:eastAsia="ro-MD"/>
              </w:rPr>
              <w:t xml:space="preserve"> Datele se raportează separat pentru fiecare piață de bunuri imobile față de care banca este expusă.</w:t>
            </w:r>
          </w:p>
          <w:p w14:paraId="14F31EE0" w14:textId="77777777" w:rsidR="00580B0F" w:rsidRDefault="008B2102"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b/>
                <w:bCs/>
                <w:sz w:val="18"/>
                <w:szCs w:val="18"/>
                <w:lang w:val="ro-RO" w:eastAsia="ro-MD"/>
              </w:rPr>
              <w:t>3.</w:t>
            </w:r>
            <w:r w:rsidRPr="006F5136">
              <w:rPr>
                <w:rFonts w:ascii="Times New Roman" w:eastAsia="Times New Roman" w:hAnsi="Times New Roman" w:cs="Times New Roman"/>
                <w:sz w:val="18"/>
                <w:szCs w:val="18"/>
                <w:lang w:val="ro-RO" w:eastAsia="ro-MD"/>
              </w:rPr>
              <w:t xml:space="preserve"> Băncile raportează Băncii Naționale a Moldovei datele conform punctului 1, în conformitate cu actele normative ale Băncii Naționale a Moldovei aferente prezentării de către bănci a rapoartelor COREP în scopuri de supraveghere</w:t>
            </w:r>
            <w:r w:rsidR="00CE7F79">
              <w:rPr>
                <w:rFonts w:ascii="Times New Roman" w:eastAsia="Times New Roman" w:hAnsi="Times New Roman" w:cs="Times New Roman"/>
                <w:sz w:val="18"/>
                <w:szCs w:val="18"/>
                <w:lang w:val="ro-RO" w:eastAsia="ro-MD"/>
              </w:rPr>
              <w:t>.</w:t>
            </w:r>
          </w:p>
          <w:p w14:paraId="2C6A2FDE" w14:textId="77777777" w:rsidR="00CE7F79" w:rsidRDefault="00CE7F79" w:rsidP="005E4694">
            <w:pPr>
              <w:spacing w:after="0" w:line="240" w:lineRule="auto"/>
              <w:rPr>
                <w:rFonts w:ascii="Times New Roman" w:eastAsia="Times New Roman" w:hAnsi="Times New Roman" w:cs="Times New Roman"/>
                <w:sz w:val="18"/>
                <w:szCs w:val="18"/>
                <w:lang w:val="ro-RO" w:eastAsia="ro-MD"/>
              </w:rPr>
            </w:pPr>
          </w:p>
          <w:p w14:paraId="1A6FB350" w14:textId="00BB1F5C" w:rsidR="00CE7F79" w:rsidRPr="006F5136" w:rsidRDefault="00CE7F79" w:rsidP="005E4694">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i/>
                <w:iCs/>
                <w:sz w:val="18"/>
                <w:szCs w:val="18"/>
                <w:lang w:val="ro-RO" w:eastAsia="ro-MD"/>
              </w:rPr>
              <w:t>Modificat prin Proiectul HCE al BNM privind modificarea Regulamentului nr.111/2018</w:t>
            </w:r>
          </w:p>
        </w:tc>
        <w:tc>
          <w:tcPr>
            <w:tcW w:w="503" w:type="pct"/>
          </w:tcPr>
          <w:p w14:paraId="4A3EB9B6" w14:textId="7CA4582E" w:rsidR="004F531C" w:rsidRPr="006F5136" w:rsidRDefault="008B2102"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6367570D" w14:textId="7F1BBE67" w:rsidR="004F531C" w:rsidRPr="006F5136" w:rsidRDefault="008B2102" w:rsidP="005E4694">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CE7F79" w:rsidRPr="006F5136" w14:paraId="56958956"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E5A789D" w14:textId="77777777" w:rsidR="00CE7F79" w:rsidRPr="006F5136" w:rsidRDefault="00CE7F79" w:rsidP="00CE7F79">
            <w:pPr>
              <w:pStyle w:val="modref"/>
              <w:shd w:val="clear" w:color="auto" w:fill="FFFFFF"/>
              <w:spacing w:before="0" w:beforeAutospacing="0" w:after="0" w:afterAutospacing="0"/>
              <w:rPr>
                <w:rFonts w:eastAsia="Arial Unicode MS"/>
                <w:b/>
                <w:bCs/>
                <w:color w:val="000000" w:themeColor="text1"/>
                <w:sz w:val="18"/>
                <w:szCs w:val="18"/>
              </w:rPr>
            </w:pPr>
            <w:hyperlink r:id="rId42" w:tooltip="32019R0876: REPLACED" w:history="1">
              <w:r w:rsidRPr="006F5136">
                <w:rPr>
                  <w:rStyle w:val="Hyperlink"/>
                  <w:rFonts w:eastAsia="Arial Unicode MS"/>
                  <w:b/>
                  <w:bCs/>
                  <w:color w:val="000000" w:themeColor="text1"/>
                  <w:sz w:val="18"/>
                  <w:szCs w:val="18"/>
                </w:rPr>
                <w:t>▼M8</w:t>
              </w:r>
            </w:hyperlink>
          </w:p>
          <w:p w14:paraId="67C0BE77" w14:textId="48D33F25" w:rsidR="00CE7F79" w:rsidRPr="006F5136" w:rsidRDefault="00CE7F79" w:rsidP="00CE7F79">
            <w:pPr>
              <w:pStyle w:val="title-article-norm"/>
              <w:shd w:val="clear" w:color="auto" w:fill="FFFFFF"/>
              <w:spacing w:before="0" w:after="0"/>
              <w:jc w:val="left"/>
              <w:rPr>
                <w:rFonts w:eastAsia="Arial Unicode MS"/>
                <w:b/>
                <w:bCs/>
                <w:i w:val="0"/>
                <w:iCs w:val="0"/>
                <w:color w:val="000000" w:themeColor="text1"/>
                <w:sz w:val="18"/>
                <w:szCs w:val="18"/>
              </w:rPr>
            </w:pPr>
            <w:r w:rsidRPr="006F5136">
              <w:rPr>
                <w:rFonts w:eastAsia="Arial Unicode MS"/>
                <w:color w:val="000000" w:themeColor="text1"/>
                <w:sz w:val="18"/>
                <w:szCs w:val="18"/>
              </w:rPr>
              <w:t>Articolul 501</w:t>
            </w:r>
            <w:r w:rsidRPr="006F5136">
              <w:rPr>
                <w:rFonts w:eastAsia="Arial Unicode MS"/>
                <w:i w:val="0"/>
                <w:iCs w:val="0"/>
                <w:color w:val="000000" w:themeColor="text1"/>
                <w:sz w:val="18"/>
                <w:szCs w:val="18"/>
              </w:rPr>
              <w:t xml:space="preserve"> </w:t>
            </w:r>
            <w:r w:rsidRPr="006F5136">
              <w:rPr>
                <w:rFonts w:eastAsia="Arial Unicode MS"/>
                <w:b/>
                <w:bCs/>
                <w:color w:val="000000" w:themeColor="text1"/>
                <w:sz w:val="18"/>
                <w:szCs w:val="18"/>
              </w:rPr>
              <w:t>Ajustarea expunerilor ponderate la risc și care nu se află în stare de nerambursare față de IMM-uri</w:t>
            </w:r>
          </w:p>
          <w:p w14:paraId="093A34A9" w14:textId="53662E09" w:rsidR="00CE7F79" w:rsidRPr="006F5136" w:rsidRDefault="00CE7F79" w:rsidP="00CE7F79">
            <w:pPr>
              <w:shd w:val="clear" w:color="auto" w:fill="FFFFFF"/>
              <w:spacing w:after="0" w:line="240" w:lineRule="auto"/>
              <w:rPr>
                <w:rFonts w:ascii="Times New Roman" w:eastAsia="Arial Unicode MS" w:hAnsi="Times New Roman" w:cs="Times New Roman"/>
                <w:color w:val="000000" w:themeColor="text1"/>
                <w:sz w:val="18"/>
                <w:szCs w:val="18"/>
              </w:rPr>
            </w:pPr>
            <w:r w:rsidRPr="006F5136">
              <w:rPr>
                <w:rStyle w:val="no-parag"/>
                <w:rFonts w:ascii="Times New Roman" w:eastAsia="Arial Unicode MS" w:hAnsi="Times New Roman" w:cs="Times New Roman"/>
                <w:color w:val="000000" w:themeColor="text1"/>
                <w:sz w:val="18"/>
                <w:szCs w:val="18"/>
              </w:rPr>
              <w:t>(1)  </w:t>
            </w:r>
            <w:r w:rsidRPr="006F5136">
              <w:rPr>
                <w:rFonts w:ascii="Times New Roman" w:eastAsia="Arial Unicode MS" w:hAnsi="Times New Roman" w:cs="Times New Roman"/>
                <w:color w:val="000000" w:themeColor="text1"/>
                <w:sz w:val="18"/>
                <w:szCs w:val="18"/>
              </w:rPr>
              <w:t> Instituțiile ajustează valorile expunerilor ponderate la risc pentru expunerile care nu se află în stare de nerambursare față de un IMM (RWEA), care se calculează în conformitate cu partea a treia titlul II capitolul 2 sau 3, după caz, în conformitate cu următoarea formulă:</w:t>
            </w:r>
          </w:p>
          <w:p w14:paraId="1902F404" w14:textId="60D39360" w:rsidR="00CE7F79" w:rsidRPr="006F5136" w:rsidRDefault="00CE7F79" w:rsidP="00CE7F79">
            <w:pPr>
              <w:pStyle w:val="container-center"/>
              <w:shd w:val="clear" w:color="auto" w:fill="FFFFFF"/>
              <w:spacing w:before="0" w:beforeAutospacing="0" w:after="0" w:afterAutospacing="0"/>
              <w:rPr>
                <w:rFonts w:eastAsia="Arial Unicode MS"/>
                <w:color w:val="000000" w:themeColor="text1"/>
                <w:sz w:val="18"/>
                <w:szCs w:val="18"/>
              </w:rPr>
            </w:pPr>
            <w:r w:rsidRPr="006F5136">
              <w:rPr>
                <w:rFonts w:eastAsia="Arial Unicode MS"/>
                <w:noProof/>
                <w:color w:val="000000" w:themeColor="text1"/>
                <w:sz w:val="18"/>
                <w:szCs w:val="18"/>
              </w:rPr>
              <w:drawing>
                <wp:inline distT="0" distB="0" distL="0" distR="0" wp14:anchorId="3DFBC251" wp14:editId="42B81DC8">
                  <wp:extent cx="3525520" cy="297815"/>
                  <wp:effectExtent l="0" t="0" r="0"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25520" cy="297815"/>
                          </a:xfrm>
                          <a:prstGeom prst="rect">
                            <a:avLst/>
                          </a:prstGeom>
                          <a:noFill/>
                          <a:ln>
                            <a:noFill/>
                          </a:ln>
                        </pic:spPr>
                      </pic:pic>
                    </a:graphicData>
                  </a:graphic>
                </wp:inline>
              </w:drawing>
            </w:r>
          </w:p>
          <w:p w14:paraId="2157EEE8" w14:textId="77777777" w:rsidR="00CE7F79" w:rsidRPr="006F5136" w:rsidRDefault="00CE7F79" w:rsidP="00CE7F79">
            <w:pPr>
              <w:pStyle w:val="norm"/>
              <w:shd w:val="clear" w:color="auto" w:fill="FFFFFF"/>
              <w:spacing w:before="0" w:beforeAutospacing="0" w:after="0" w:afterAutospacing="0"/>
              <w:jc w:val="both"/>
              <w:rPr>
                <w:rFonts w:eastAsia="Arial Unicode MS"/>
                <w:color w:val="000000" w:themeColor="text1"/>
                <w:sz w:val="18"/>
                <w:szCs w:val="18"/>
              </w:rPr>
            </w:pPr>
            <w:r w:rsidRPr="006F5136">
              <w:rPr>
                <w:rFonts w:eastAsia="Arial Unicode MS"/>
                <w:color w:val="000000" w:themeColor="text1"/>
                <w:sz w:val="18"/>
                <w:szCs w:val="18"/>
              </w:rPr>
              <w:t>unde:</w:t>
            </w:r>
          </w:p>
          <w:tbl>
            <w:tblPr>
              <w:tblW w:w="5000" w:type="pct"/>
              <w:tblLayout w:type="fixed"/>
              <w:tblCellMar>
                <w:left w:w="0" w:type="dxa"/>
                <w:right w:w="0" w:type="dxa"/>
              </w:tblCellMar>
              <w:tblLook w:val="04A0" w:firstRow="1" w:lastRow="0" w:firstColumn="1" w:lastColumn="0" w:noHBand="0" w:noVBand="1"/>
            </w:tblPr>
            <w:tblGrid>
              <w:gridCol w:w="698"/>
              <w:gridCol w:w="122"/>
              <w:gridCol w:w="4639"/>
            </w:tblGrid>
            <w:tr w:rsidR="00CE7F79" w:rsidRPr="006F5136" w14:paraId="6CD90C0A" w14:textId="77777777" w:rsidTr="005E4694">
              <w:tc>
                <w:tcPr>
                  <w:tcW w:w="1230" w:type="dxa"/>
                  <w:shd w:val="clear" w:color="auto" w:fill="auto"/>
                  <w:hideMark/>
                </w:tcPr>
                <w:p w14:paraId="45750FA0" w14:textId="77777777" w:rsidR="00CE7F79" w:rsidRPr="006F5136" w:rsidRDefault="00CE7F79" w:rsidP="00CE7F79">
                  <w:pPr>
                    <w:pStyle w:val="norm"/>
                    <w:spacing w:before="0" w:beforeAutospacing="0" w:after="0" w:afterAutospacing="0"/>
                    <w:jc w:val="both"/>
                    <w:rPr>
                      <w:color w:val="000000" w:themeColor="text1"/>
                      <w:sz w:val="18"/>
                      <w:szCs w:val="18"/>
                    </w:rPr>
                  </w:pPr>
                  <w:r w:rsidRPr="006F5136">
                    <w:rPr>
                      <w:color w:val="000000" w:themeColor="text1"/>
                      <w:sz w:val="18"/>
                      <w:szCs w:val="18"/>
                    </w:rPr>
                    <w:t>RWEA*</w:t>
                  </w:r>
                </w:p>
              </w:tc>
              <w:tc>
                <w:tcPr>
                  <w:tcW w:w="202" w:type="dxa"/>
                  <w:shd w:val="clear" w:color="auto" w:fill="auto"/>
                  <w:hideMark/>
                </w:tcPr>
                <w:p w14:paraId="36E542B2" w14:textId="77777777" w:rsidR="00CE7F79" w:rsidRPr="006F5136" w:rsidRDefault="00CE7F79" w:rsidP="00CE7F79">
                  <w:pPr>
                    <w:pStyle w:val="norm"/>
                    <w:spacing w:before="0" w:beforeAutospacing="0" w:after="0" w:afterAutospacing="0"/>
                    <w:jc w:val="both"/>
                    <w:rPr>
                      <w:color w:val="000000" w:themeColor="text1"/>
                      <w:sz w:val="18"/>
                      <w:szCs w:val="18"/>
                    </w:rPr>
                  </w:pPr>
                  <w:r w:rsidRPr="006F5136">
                    <w:rPr>
                      <w:color w:val="000000" w:themeColor="text1"/>
                      <w:sz w:val="18"/>
                      <w:szCs w:val="18"/>
                    </w:rPr>
                    <w:t>=</w:t>
                  </w:r>
                </w:p>
              </w:tc>
              <w:tc>
                <w:tcPr>
                  <w:tcW w:w="8257" w:type="dxa"/>
                  <w:shd w:val="clear" w:color="auto" w:fill="auto"/>
                  <w:hideMark/>
                </w:tcPr>
                <w:p w14:paraId="143C6AC7" w14:textId="77777777" w:rsidR="00CE7F79" w:rsidRPr="006F5136" w:rsidRDefault="00CE7F79" w:rsidP="00CE7F79">
                  <w:pPr>
                    <w:pStyle w:val="norm"/>
                    <w:spacing w:before="0" w:beforeAutospacing="0" w:after="0" w:afterAutospacing="0"/>
                    <w:jc w:val="both"/>
                    <w:rPr>
                      <w:color w:val="000000" w:themeColor="text1"/>
                      <w:sz w:val="18"/>
                      <w:szCs w:val="18"/>
                    </w:rPr>
                  </w:pPr>
                  <w:r w:rsidRPr="006F5136">
                    <w:rPr>
                      <w:color w:val="000000" w:themeColor="text1"/>
                      <w:sz w:val="18"/>
                      <w:szCs w:val="18"/>
                    </w:rPr>
                    <w:t xml:space="preserve">RWEA ajustată cu un factor de sprijinire </w:t>
                  </w:r>
                  <w:proofErr w:type="gramStart"/>
                  <w:r w:rsidRPr="006F5136">
                    <w:rPr>
                      <w:color w:val="000000" w:themeColor="text1"/>
                      <w:sz w:val="18"/>
                      <w:szCs w:val="18"/>
                    </w:rPr>
                    <w:t>a</w:t>
                  </w:r>
                  <w:proofErr w:type="gramEnd"/>
                  <w:r w:rsidRPr="006F5136">
                    <w:rPr>
                      <w:color w:val="000000" w:themeColor="text1"/>
                      <w:sz w:val="18"/>
                      <w:szCs w:val="18"/>
                    </w:rPr>
                    <w:t xml:space="preserve"> IMM-urilor; și</w:t>
                  </w:r>
                </w:p>
              </w:tc>
            </w:tr>
          </w:tbl>
          <w:p w14:paraId="5DAFBADD" w14:textId="77777777" w:rsidR="00CE7F79" w:rsidRPr="006F5136" w:rsidRDefault="00CE7F79" w:rsidP="00CE7F79">
            <w:pPr>
              <w:pStyle w:val="modref"/>
              <w:shd w:val="clear" w:color="auto" w:fill="FFFFFF"/>
              <w:spacing w:before="0" w:beforeAutospacing="0" w:after="0" w:afterAutospacing="0"/>
              <w:rPr>
                <w:rFonts w:eastAsia="Arial Unicode MS"/>
                <w:b/>
                <w:bCs/>
                <w:color w:val="000000" w:themeColor="text1"/>
                <w:sz w:val="18"/>
                <w:szCs w:val="18"/>
              </w:rPr>
            </w:pPr>
            <w:hyperlink r:id="rId44" w:tooltip="32019R0876R(11): REPLACED" w:history="1">
              <w:r w:rsidRPr="006F5136">
                <w:rPr>
                  <w:rStyle w:val="Hyperlink"/>
                  <w:rFonts w:eastAsia="Arial Unicode MS"/>
                  <w:b/>
                  <w:bCs/>
                  <w:color w:val="000000" w:themeColor="text1"/>
                  <w:sz w:val="18"/>
                  <w:szCs w:val="18"/>
                </w:rPr>
                <w:t>▼C7</w:t>
              </w:r>
            </w:hyperlink>
          </w:p>
          <w:tbl>
            <w:tblPr>
              <w:tblW w:w="5000" w:type="pct"/>
              <w:tblLayout w:type="fixed"/>
              <w:tblCellMar>
                <w:left w:w="0" w:type="dxa"/>
                <w:right w:w="0" w:type="dxa"/>
              </w:tblCellMar>
              <w:tblLook w:val="04A0" w:firstRow="1" w:lastRow="0" w:firstColumn="1" w:lastColumn="0" w:noHBand="0" w:noVBand="1"/>
            </w:tblPr>
            <w:tblGrid>
              <w:gridCol w:w="908"/>
              <w:gridCol w:w="85"/>
              <w:gridCol w:w="4466"/>
            </w:tblGrid>
            <w:tr w:rsidR="00CE7F79" w:rsidRPr="006F5136" w14:paraId="775AA9D1" w14:textId="77777777" w:rsidTr="005E4694">
              <w:tc>
                <w:tcPr>
                  <w:tcW w:w="1604" w:type="dxa"/>
                  <w:shd w:val="clear" w:color="auto" w:fill="auto"/>
                  <w:hideMark/>
                </w:tcPr>
                <w:p w14:paraId="39A0AB65" w14:textId="77777777" w:rsidR="00CE7F79" w:rsidRPr="006F5136" w:rsidRDefault="00CE7F79" w:rsidP="00CE7F79">
                  <w:pPr>
                    <w:pStyle w:val="norm"/>
                    <w:spacing w:before="0" w:beforeAutospacing="0" w:after="0" w:afterAutospacing="0"/>
                    <w:jc w:val="both"/>
                    <w:rPr>
                      <w:color w:val="000000" w:themeColor="text1"/>
                      <w:sz w:val="18"/>
                      <w:szCs w:val="18"/>
                    </w:rPr>
                  </w:pPr>
                  <w:r w:rsidRPr="006F5136">
                    <w:rPr>
                      <w:color w:val="000000" w:themeColor="text1"/>
                      <w:sz w:val="18"/>
                      <w:szCs w:val="18"/>
                    </w:rPr>
                    <w:t>E</w:t>
                  </w:r>
                  <w:r w:rsidRPr="006F5136">
                    <w:rPr>
                      <w:rStyle w:val="superscript"/>
                      <w:color w:val="000000" w:themeColor="text1"/>
                      <w:sz w:val="18"/>
                      <w:szCs w:val="18"/>
                    </w:rPr>
                    <w:t>*</w:t>
                  </w:r>
                  <w:r w:rsidRPr="006F5136">
                    <w:rPr>
                      <w:color w:val="000000" w:themeColor="text1"/>
                      <w:sz w:val="18"/>
                      <w:szCs w:val="18"/>
                    </w:rPr>
                    <w:t> este oricare din următoarele:</w:t>
                  </w:r>
                </w:p>
              </w:tc>
              <w:tc>
                <w:tcPr>
                  <w:tcW w:w="136" w:type="dxa"/>
                  <w:shd w:val="clear" w:color="auto" w:fill="auto"/>
                  <w:hideMark/>
                </w:tcPr>
                <w:p w14:paraId="63DC05E0" w14:textId="77777777" w:rsidR="00CE7F79" w:rsidRPr="006F5136" w:rsidRDefault="00CE7F79" w:rsidP="00CE7F79">
                  <w:pPr>
                    <w:pStyle w:val="norm"/>
                    <w:spacing w:before="0" w:beforeAutospacing="0" w:after="0" w:afterAutospacing="0"/>
                    <w:jc w:val="both"/>
                    <w:rPr>
                      <w:color w:val="000000" w:themeColor="text1"/>
                      <w:sz w:val="18"/>
                      <w:szCs w:val="18"/>
                    </w:rPr>
                  </w:pPr>
                  <w:r w:rsidRPr="006F5136">
                    <w:rPr>
                      <w:color w:val="000000" w:themeColor="text1"/>
                      <w:sz w:val="18"/>
                      <w:szCs w:val="18"/>
                    </w:rPr>
                    <w:t>=</w:t>
                  </w:r>
                </w:p>
              </w:tc>
              <w:tc>
                <w:tcPr>
                  <w:tcW w:w="7949" w:type="dxa"/>
                  <w:shd w:val="clear" w:color="auto" w:fill="auto"/>
                  <w:hideMark/>
                </w:tcPr>
                <w:p w14:paraId="0ADA4775" w14:textId="77777777" w:rsidR="00CE7F79" w:rsidRPr="006F5136" w:rsidRDefault="00CE7F79" w:rsidP="00CE7F79">
                  <w:pPr>
                    <w:spacing w:after="0" w:line="240" w:lineRule="auto"/>
                    <w:jc w:val="both"/>
                    <w:rPr>
                      <w:rFonts w:ascii="Times New Roman" w:hAnsi="Times New Roman" w:cs="Times New Roman"/>
                      <w:color w:val="000000" w:themeColor="text1"/>
                      <w:sz w:val="18"/>
                      <w:szCs w:val="18"/>
                    </w:rPr>
                  </w:pPr>
                  <w:r w:rsidRPr="006F5136">
                    <w:rPr>
                      <w:rFonts w:ascii="Times New Roman" w:hAnsi="Times New Roman" w:cs="Times New Roman"/>
                      <w:color w:val="000000" w:themeColor="text1"/>
                      <w:sz w:val="18"/>
                      <w:szCs w:val="18"/>
                    </w:rPr>
                    <w:t>(a) </w:t>
                  </w:r>
                </w:p>
                <w:p w14:paraId="72F40840" w14:textId="77777777" w:rsidR="00CE7F79" w:rsidRPr="006F5136" w:rsidRDefault="00CE7F79" w:rsidP="00CE7F79">
                  <w:pPr>
                    <w:pStyle w:val="norm"/>
                    <w:spacing w:before="0" w:beforeAutospacing="0" w:after="0" w:afterAutospacing="0"/>
                    <w:jc w:val="both"/>
                    <w:rPr>
                      <w:color w:val="000000" w:themeColor="text1"/>
                      <w:sz w:val="18"/>
                      <w:szCs w:val="18"/>
                    </w:rPr>
                  </w:pPr>
                  <w:r w:rsidRPr="006F5136">
                    <w:rPr>
                      <w:color w:val="000000" w:themeColor="text1"/>
                      <w:sz w:val="18"/>
                      <w:szCs w:val="18"/>
                    </w:rPr>
                    <w:t>cuantumul total datorat instituției, filialelor sale, întreprinderilor sale mamă și altor filiale ale acestor întreprinderi-mamă, incluzând orice expunere în stare de nerambursare, dar excluzând creanțele sau creanțele potențiale garantate cu bunuri imobile locative de către IMM sau grupul de clienți aflați în legătură ai IMM-</w:t>
                  </w:r>
                  <w:proofErr w:type="gramStart"/>
                  <w:r w:rsidRPr="006F5136">
                    <w:rPr>
                      <w:color w:val="000000" w:themeColor="text1"/>
                      <w:sz w:val="18"/>
                      <w:szCs w:val="18"/>
                    </w:rPr>
                    <w:t>ului;</w:t>
                  </w:r>
                  <w:proofErr w:type="gramEnd"/>
                </w:p>
                <w:p w14:paraId="16ED7AA9" w14:textId="77777777" w:rsidR="00CE7F79" w:rsidRPr="006F5136" w:rsidRDefault="00CE7F79" w:rsidP="00CE7F79">
                  <w:pPr>
                    <w:spacing w:after="0" w:line="240" w:lineRule="auto"/>
                    <w:jc w:val="both"/>
                    <w:rPr>
                      <w:rFonts w:ascii="Times New Roman" w:hAnsi="Times New Roman" w:cs="Times New Roman"/>
                      <w:color w:val="000000" w:themeColor="text1"/>
                      <w:sz w:val="18"/>
                      <w:szCs w:val="18"/>
                    </w:rPr>
                  </w:pPr>
                  <w:r w:rsidRPr="006F5136">
                    <w:rPr>
                      <w:rFonts w:ascii="Times New Roman" w:hAnsi="Times New Roman" w:cs="Times New Roman"/>
                      <w:color w:val="000000" w:themeColor="text1"/>
                      <w:sz w:val="18"/>
                      <w:szCs w:val="18"/>
                    </w:rPr>
                    <w:t>(b) </w:t>
                  </w:r>
                </w:p>
                <w:p w14:paraId="2F875F2A" w14:textId="77777777" w:rsidR="00CE7F79" w:rsidRPr="006F5136" w:rsidRDefault="00CE7F79" w:rsidP="00CE7F79">
                  <w:pPr>
                    <w:pStyle w:val="norm"/>
                    <w:spacing w:before="0" w:beforeAutospacing="0" w:after="0" w:afterAutospacing="0"/>
                    <w:jc w:val="both"/>
                    <w:rPr>
                      <w:color w:val="000000" w:themeColor="text1"/>
                      <w:sz w:val="18"/>
                      <w:szCs w:val="18"/>
                    </w:rPr>
                  </w:pPr>
                  <w:r w:rsidRPr="006F5136">
                    <w:rPr>
                      <w:color w:val="000000" w:themeColor="text1"/>
                      <w:sz w:val="18"/>
                      <w:szCs w:val="18"/>
                    </w:rPr>
                    <w:t>în cazul în care cuantumul total menționat la litera (a) este egal cu 0, cuantumul creanțelor sau al creanțelor potențiale împotriva IMM-ului sau a grupului de clienți aflați în legătură ai IMM-ului, care sunt garantate cu bunuri imobile locative și care sunt excluse din calculul cuantumului total menționat la litera respectivă.</w:t>
                  </w:r>
                </w:p>
              </w:tc>
            </w:tr>
          </w:tbl>
          <w:p w14:paraId="6C31B5C7" w14:textId="77777777" w:rsidR="00CE7F79" w:rsidRPr="006F5136" w:rsidRDefault="00CE7F79" w:rsidP="00CE7F79">
            <w:pPr>
              <w:pStyle w:val="modref"/>
              <w:shd w:val="clear" w:color="auto" w:fill="FFFFFF"/>
              <w:spacing w:before="0" w:beforeAutospacing="0" w:after="0" w:afterAutospacing="0"/>
              <w:rPr>
                <w:rFonts w:eastAsia="Arial Unicode MS"/>
                <w:b/>
                <w:bCs/>
                <w:color w:val="000000" w:themeColor="text1"/>
                <w:sz w:val="18"/>
                <w:szCs w:val="18"/>
              </w:rPr>
            </w:pPr>
            <w:hyperlink r:id="rId45" w:tooltip="32019R0876: REPLACED" w:history="1">
              <w:r w:rsidRPr="006F5136">
                <w:rPr>
                  <w:rStyle w:val="Hyperlink"/>
                  <w:rFonts w:eastAsia="Arial Unicode MS"/>
                  <w:b/>
                  <w:bCs/>
                  <w:color w:val="000000" w:themeColor="text1"/>
                  <w:sz w:val="18"/>
                  <w:szCs w:val="18"/>
                </w:rPr>
                <w:t>▼M8</w:t>
              </w:r>
            </w:hyperlink>
          </w:p>
          <w:p w14:paraId="02BF20B4" w14:textId="0743E99F" w:rsidR="00CE7F79" w:rsidRPr="006F5136" w:rsidRDefault="00CE7F79" w:rsidP="00CE7F79">
            <w:pPr>
              <w:shd w:val="clear" w:color="auto" w:fill="FFFFFF"/>
              <w:spacing w:after="0" w:line="240" w:lineRule="auto"/>
              <w:rPr>
                <w:rFonts w:ascii="Times New Roman" w:eastAsia="Arial Unicode MS" w:hAnsi="Times New Roman" w:cs="Times New Roman"/>
                <w:color w:val="000000" w:themeColor="text1"/>
                <w:sz w:val="18"/>
                <w:szCs w:val="18"/>
              </w:rPr>
            </w:pPr>
            <w:r w:rsidRPr="006F5136">
              <w:rPr>
                <w:rStyle w:val="no-parag"/>
                <w:rFonts w:ascii="Times New Roman" w:eastAsia="Arial Unicode MS" w:hAnsi="Times New Roman" w:cs="Times New Roman"/>
                <w:color w:val="000000" w:themeColor="text1"/>
                <w:sz w:val="18"/>
                <w:szCs w:val="18"/>
              </w:rPr>
              <w:t>(2)  </w:t>
            </w:r>
            <w:r w:rsidRPr="006F5136">
              <w:rPr>
                <w:rFonts w:ascii="Times New Roman" w:eastAsia="Arial Unicode MS" w:hAnsi="Times New Roman" w:cs="Times New Roman"/>
                <w:color w:val="000000" w:themeColor="text1"/>
                <w:sz w:val="18"/>
                <w:szCs w:val="18"/>
              </w:rPr>
              <w:t> În sensul prezentului articol:</w:t>
            </w:r>
          </w:p>
          <w:p w14:paraId="79563D5A" w14:textId="77777777" w:rsidR="00CE7F79" w:rsidRPr="006F5136" w:rsidRDefault="00CE7F79" w:rsidP="00CE7F79">
            <w:pPr>
              <w:pStyle w:val="modref"/>
              <w:shd w:val="clear" w:color="auto" w:fill="FFFFFF"/>
              <w:spacing w:before="0" w:beforeAutospacing="0" w:after="0" w:afterAutospacing="0"/>
              <w:rPr>
                <w:rFonts w:eastAsia="Arial Unicode MS"/>
                <w:b/>
                <w:bCs/>
                <w:color w:val="000000" w:themeColor="text1"/>
                <w:sz w:val="18"/>
                <w:szCs w:val="18"/>
              </w:rPr>
            </w:pPr>
            <w:hyperlink r:id="rId46" w:tooltip="32024R1623: REPLACED" w:history="1">
              <w:r w:rsidRPr="006F5136">
                <w:rPr>
                  <w:rStyle w:val="Hyperlink"/>
                  <w:rFonts w:eastAsia="Arial Unicode MS"/>
                  <w:b/>
                  <w:bCs/>
                  <w:color w:val="000000" w:themeColor="text1"/>
                  <w:sz w:val="18"/>
                  <w:szCs w:val="18"/>
                </w:rPr>
                <w:t>▼M17</w:t>
              </w:r>
            </w:hyperlink>
          </w:p>
          <w:p w14:paraId="560944D0" w14:textId="4102109B" w:rsidR="00CE7F79" w:rsidRPr="006F5136" w:rsidRDefault="00CE7F79" w:rsidP="00CE7F79">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(a) expunerea față de un IMM se include în clasa de expuneri de tip retail, în clasa de expuneri față de societăți sau în clasa de expuneri garantate cu ipoteci asupra bunurilor imobile, cu excepția expunerilor </w:t>
            </w:r>
            <w:proofErr w:type="gramStart"/>
            <w:r w:rsidRPr="006F5136">
              <w:rPr>
                <w:rFonts w:ascii="Times New Roman" w:eastAsia="Arial Unicode MS" w:hAnsi="Times New Roman" w:cs="Times New Roman"/>
                <w:color w:val="000000" w:themeColor="text1"/>
                <w:sz w:val="18"/>
                <w:szCs w:val="18"/>
              </w:rPr>
              <w:t>ADC;</w:t>
            </w:r>
            <w:proofErr w:type="gramEnd"/>
          </w:p>
          <w:p w14:paraId="25DC18DD" w14:textId="3209E77A" w:rsidR="00CE7F79" w:rsidRPr="006F5136" w:rsidRDefault="00CE7F79" w:rsidP="00CE7F79">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(b) IMM are înțelesul prevăzut la articolul 5 punctul </w:t>
            </w:r>
            <w:proofErr w:type="gramStart"/>
            <w:r w:rsidRPr="006F5136">
              <w:rPr>
                <w:rFonts w:ascii="Times New Roman" w:eastAsia="Arial Unicode MS" w:hAnsi="Times New Roman" w:cs="Times New Roman"/>
                <w:color w:val="000000" w:themeColor="text1"/>
                <w:sz w:val="18"/>
                <w:szCs w:val="18"/>
              </w:rPr>
              <w:t>9;</w:t>
            </w:r>
            <w:proofErr w:type="gramEnd"/>
          </w:p>
          <w:p w14:paraId="07B2A50A" w14:textId="77777777" w:rsidR="00CE7F79" w:rsidRPr="006F5136" w:rsidRDefault="00CE7F79" w:rsidP="00CE7F79">
            <w:pPr>
              <w:pStyle w:val="modref"/>
              <w:shd w:val="clear" w:color="auto" w:fill="FFFFFF"/>
              <w:spacing w:before="0" w:beforeAutospacing="0" w:after="0" w:afterAutospacing="0"/>
              <w:rPr>
                <w:rFonts w:eastAsia="Arial Unicode MS"/>
                <w:b/>
                <w:bCs/>
                <w:color w:val="000000" w:themeColor="text1"/>
                <w:sz w:val="18"/>
                <w:szCs w:val="18"/>
              </w:rPr>
            </w:pPr>
            <w:hyperlink r:id="rId47" w:tooltip="32019R0876: REPLACED" w:history="1">
              <w:r w:rsidRPr="006F5136">
                <w:rPr>
                  <w:rStyle w:val="Hyperlink"/>
                  <w:rFonts w:eastAsia="Arial Unicode MS"/>
                  <w:b/>
                  <w:bCs/>
                  <w:color w:val="000000" w:themeColor="text1"/>
                  <w:sz w:val="18"/>
                  <w:szCs w:val="18"/>
                </w:rPr>
                <w:t>▼M8</w:t>
              </w:r>
            </w:hyperlink>
          </w:p>
          <w:p w14:paraId="14533E2F" w14:textId="149BA4B1" w:rsidR="00CE7F79" w:rsidRPr="006F5136" w:rsidRDefault="00CE7F79" w:rsidP="00CE7F79">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(c) instituțiile iau măsuri rezonabile pentru a determina în mod corect valoarea E* și </w:t>
            </w:r>
            <w:proofErr w:type="gramStart"/>
            <w:r w:rsidRPr="006F5136">
              <w:rPr>
                <w:rFonts w:ascii="Times New Roman" w:eastAsia="Arial Unicode MS" w:hAnsi="Times New Roman" w:cs="Times New Roman"/>
                <w:color w:val="000000" w:themeColor="text1"/>
                <w:sz w:val="18"/>
                <w:szCs w:val="18"/>
              </w:rPr>
              <w:t>a</w:t>
            </w:r>
            <w:proofErr w:type="gramEnd"/>
            <w:r w:rsidRPr="006F5136">
              <w:rPr>
                <w:rFonts w:ascii="Times New Roman" w:eastAsia="Arial Unicode MS" w:hAnsi="Times New Roman" w:cs="Times New Roman"/>
                <w:color w:val="000000" w:themeColor="text1"/>
                <w:sz w:val="18"/>
                <w:szCs w:val="18"/>
              </w:rPr>
              <w:t xml:space="preserve"> obține informațiile necesare în conformitate cu litera (b).</w:t>
            </w:r>
          </w:p>
          <w:p w14:paraId="2689BA75" w14:textId="77777777" w:rsidR="00CE7F79" w:rsidRPr="006F5136" w:rsidRDefault="00CE7F79" w:rsidP="00CE7F79">
            <w:pPr>
              <w:pStyle w:val="title-article-norm"/>
              <w:shd w:val="clear" w:color="auto" w:fill="FFFFFF"/>
              <w:spacing w:before="0" w:after="0"/>
              <w:jc w:val="left"/>
              <w:rPr>
                <w:rFonts w:eastAsia="Arial Unicode MS"/>
                <w:i w:val="0"/>
                <w:iCs w:val="0"/>
                <w:color w:val="000000" w:themeColor="text1"/>
                <w:sz w:val="18"/>
                <w:szCs w:val="18"/>
              </w:rPr>
            </w:pPr>
          </w:p>
        </w:tc>
        <w:tc>
          <w:tcPr>
            <w:tcW w:w="1661" w:type="pct"/>
          </w:tcPr>
          <w:p w14:paraId="46A30E51" w14:textId="705E5773" w:rsidR="00CE7F79" w:rsidRPr="004C0B55" w:rsidRDefault="00CE7F79" w:rsidP="00CE7F79">
            <w:pPr>
              <w:spacing w:after="0" w:line="240" w:lineRule="auto"/>
              <w:rPr>
                <w:rFonts w:ascii="Times New Roman" w:eastAsia="Times New Roman" w:hAnsi="Times New Roman" w:cs="Times New Roman"/>
                <w:b/>
                <w:bCs/>
                <w:sz w:val="20"/>
                <w:szCs w:val="20"/>
                <w:lang w:val="ro-RO" w:eastAsia="ro-MD"/>
              </w:rPr>
            </w:pPr>
            <w:r w:rsidRPr="004C0B55">
              <w:rPr>
                <w:rFonts w:ascii="Times New Roman" w:eastAsia="Times New Roman" w:hAnsi="Times New Roman" w:cs="Times New Roman"/>
                <w:b/>
                <w:bCs/>
                <w:sz w:val="20"/>
                <w:szCs w:val="20"/>
                <w:lang w:val="ro-RO" w:eastAsia="ro-MD"/>
              </w:rPr>
              <w:t>Capitolul V.</w:t>
            </w:r>
            <w:r>
              <w:rPr>
                <w:rFonts w:ascii="Times New Roman" w:eastAsia="Times New Roman" w:hAnsi="Times New Roman" w:cs="Times New Roman"/>
                <w:b/>
                <w:bCs/>
                <w:sz w:val="20"/>
                <w:szCs w:val="20"/>
                <w:lang w:val="ro-RO" w:eastAsia="ro-MD"/>
              </w:rPr>
              <w:t xml:space="preserve"> </w:t>
            </w:r>
            <w:r w:rsidRPr="004C0B55">
              <w:rPr>
                <w:rFonts w:ascii="Times New Roman" w:eastAsia="Times New Roman" w:hAnsi="Times New Roman" w:cs="Times New Roman"/>
                <w:b/>
                <w:bCs/>
                <w:sz w:val="20"/>
                <w:szCs w:val="20"/>
                <w:lang w:val="ro-RO" w:eastAsia="ro-MD"/>
              </w:rPr>
              <w:t>DEDUCEREA CERINȚELOR DE CAPITAL PENTRU RISCUL</w:t>
            </w:r>
            <w:r>
              <w:rPr>
                <w:rFonts w:ascii="Times New Roman" w:eastAsia="Times New Roman" w:hAnsi="Times New Roman" w:cs="Times New Roman"/>
                <w:b/>
                <w:bCs/>
                <w:sz w:val="20"/>
                <w:szCs w:val="20"/>
                <w:lang w:val="ro-RO" w:eastAsia="ro-MD"/>
              </w:rPr>
              <w:t xml:space="preserve"> </w:t>
            </w:r>
            <w:r w:rsidRPr="004C0B55">
              <w:rPr>
                <w:rFonts w:ascii="Times New Roman" w:eastAsia="Times New Roman" w:hAnsi="Times New Roman" w:cs="Times New Roman"/>
                <w:b/>
                <w:bCs/>
                <w:sz w:val="20"/>
                <w:szCs w:val="20"/>
                <w:lang w:val="ro-RO" w:eastAsia="ro-MD"/>
              </w:rPr>
              <w:t> DE CREDIT AFERENT EXPUNERILOR FAȚĂ DE ÎMM-URI</w:t>
            </w:r>
          </w:p>
          <w:p w14:paraId="78691835" w14:textId="77777777" w:rsidR="00CE7F79" w:rsidRDefault="00CE7F79" w:rsidP="00CE7F79">
            <w:pPr>
              <w:spacing w:after="0" w:line="240" w:lineRule="auto"/>
              <w:jc w:val="both"/>
              <w:rPr>
                <w:rFonts w:ascii="Times New Roman" w:eastAsia="Times New Roman" w:hAnsi="Times New Roman" w:cs="Times New Roman"/>
                <w:sz w:val="20"/>
                <w:szCs w:val="20"/>
                <w:lang w:eastAsia="ro-MD"/>
              </w:rPr>
            </w:pPr>
            <w:r w:rsidRPr="004C0B55">
              <w:rPr>
                <w:rFonts w:ascii="Times New Roman" w:eastAsia="Times New Roman" w:hAnsi="Times New Roman" w:cs="Times New Roman"/>
                <w:b/>
                <w:bCs/>
                <w:sz w:val="20"/>
                <w:szCs w:val="20"/>
                <w:lang w:val="ro-RO" w:eastAsia="ro-MD"/>
              </w:rPr>
              <w:t>95.</w:t>
            </w:r>
            <w:r w:rsidRPr="004C0B55">
              <w:rPr>
                <w:rFonts w:ascii="Times New Roman" w:eastAsia="Times New Roman" w:hAnsi="Times New Roman" w:cs="Times New Roman"/>
                <w:sz w:val="20"/>
                <w:szCs w:val="20"/>
                <w:lang w:val="ro-RO" w:eastAsia="ro-MD"/>
              </w:rPr>
              <w:t xml:space="preserve"> </w:t>
            </w:r>
            <w:r w:rsidRPr="004C0B55">
              <w:rPr>
                <w:rFonts w:ascii="Times New Roman" w:eastAsia="Times New Roman" w:hAnsi="Times New Roman" w:cs="Times New Roman"/>
                <w:sz w:val="20"/>
                <w:szCs w:val="20"/>
                <w:lang w:eastAsia="ro-MD"/>
              </w:rPr>
              <w:t>Băncile ajustează valorile expunerilor ponderate la risc pentru expunerile care nu se află în stare de nerambursare față de un IMM (RWEA) în conformitate cu următoarea formulă:</w:t>
            </w:r>
          </w:p>
          <w:bookmarkStart w:id="18" w:name="_Hlk207357489"/>
          <w:p w14:paraId="699BCEF4" w14:textId="77777777" w:rsidR="00CE7F79" w:rsidRPr="00E73A3B" w:rsidRDefault="00000000" w:rsidP="00CE7F79">
            <w:pPr>
              <w:spacing w:before="120" w:after="0" w:line="240" w:lineRule="auto"/>
              <w:jc w:val="both"/>
              <w:rPr>
                <w:rFonts w:eastAsia="Times New Roman"/>
                <w:sz w:val="14"/>
                <w:szCs w:val="14"/>
                <w:lang w:eastAsia="ro-MD"/>
              </w:rPr>
            </w:pPr>
            <m:oMathPara>
              <m:oMath>
                <m:sSup>
                  <m:sSupPr>
                    <m:ctrlPr>
                      <w:rPr>
                        <w:rFonts w:ascii="Cambria Math" w:eastAsia="Times New Roman" w:hAnsi="Cambria Math" w:cs="Cambria Math"/>
                        <w:b/>
                        <w:bCs/>
                        <w:i/>
                        <w:iCs/>
                        <w:sz w:val="14"/>
                        <w:szCs w:val="14"/>
                        <w:lang w:eastAsia="ro-MD"/>
                      </w:rPr>
                    </m:ctrlPr>
                  </m:sSupPr>
                  <m:e>
                    <m:r>
                      <m:rPr>
                        <m:sty m:val="b"/>
                      </m:rPr>
                      <w:rPr>
                        <w:rFonts w:ascii="Cambria Math" w:eastAsia="Times New Roman" w:hAnsi="Cambria Math" w:cs="Cambria Math"/>
                        <w:sz w:val="14"/>
                        <w:szCs w:val="14"/>
                        <w:lang w:eastAsia="ro-MD"/>
                      </w:rPr>
                      <m:t>RWEA</m:t>
                    </m:r>
                  </m:e>
                  <m:sup>
                    <m:r>
                      <m:rPr>
                        <m:sty m:val="b"/>
                      </m:rPr>
                      <w:rPr>
                        <w:rFonts w:ascii="Cambria Math" w:eastAsia="Times New Roman" w:hAnsi="Cambria Math" w:cs="Cambria Math"/>
                        <w:sz w:val="14"/>
                        <w:szCs w:val="14"/>
                        <w:lang w:eastAsia="ro-MD"/>
                      </w:rPr>
                      <m:t>*</m:t>
                    </m:r>
                  </m:sup>
                </m:sSup>
                <m:r>
                  <m:rPr>
                    <m:sty m:val="p"/>
                  </m:rPr>
                  <w:rPr>
                    <w:rFonts w:ascii="Cambria Math" w:eastAsia="Times New Roman" w:hAnsi="Cambria Math" w:cs="Cambria Math"/>
                    <w:sz w:val="14"/>
                    <w:szCs w:val="14"/>
                    <w:lang w:eastAsia="ro-MD"/>
                  </w:rPr>
                  <m:t>=RWEA ∙</m:t>
                </m:r>
                <m:f>
                  <m:fPr>
                    <m:ctrlPr>
                      <w:rPr>
                        <w:rFonts w:ascii="Cambria Math" w:eastAsia="Times New Roman" w:hAnsi="Cambria Math"/>
                        <w:sz w:val="14"/>
                        <w:szCs w:val="14"/>
                        <w:lang w:eastAsia="ro-MD"/>
                      </w:rPr>
                    </m:ctrlPr>
                  </m:fPr>
                  <m:num>
                    <m:r>
                      <m:rPr>
                        <m:sty m:val="p"/>
                      </m:rPr>
                      <w:rPr>
                        <w:rFonts w:ascii="Cambria Math" w:eastAsia="Times New Roman" w:hAnsi="Cambria Math" w:cs="Cambria Math"/>
                        <w:sz w:val="14"/>
                        <w:szCs w:val="14"/>
                        <w:lang w:eastAsia="ro-MD"/>
                      </w:rPr>
                      <m:t xml:space="preserve">min </m:t>
                    </m:r>
                    <m:d>
                      <m:dPr>
                        <m:begChr m:val="{"/>
                        <m:endChr m:val=""/>
                        <m:ctrlPr>
                          <w:rPr>
                            <w:rFonts w:ascii="Cambria Math" w:eastAsia="Times New Roman" w:hAnsi="Cambria Math" w:cs="Cambria Math"/>
                            <w:sz w:val="14"/>
                            <w:szCs w:val="14"/>
                            <w:lang w:eastAsia="ro-MD"/>
                          </w:rPr>
                        </m:ctrlPr>
                      </m:dPr>
                      <m:e>
                        <m:sSup>
                          <m:sSupPr>
                            <m:ctrlPr>
                              <w:rPr>
                                <w:rFonts w:ascii="Cambria Math" w:eastAsia="Times New Roman" w:hAnsi="Cambria Math" w:cs="Cambria Math"/>
                                <w:i/>
                                <w:sz w:val="14"/>
                                <w:szCs w:val="14"/>
                                <w:lang w:eastAsia="ro-MD"/>
                              </w:rPr>
                            </m:ctrlPr>
                          </m:sSupPr>
                          <m:e>
                            <m:r>
                              <w:rPr>
                                <w:rFonts w:ascii="Cambria Math" w:eastAsia="Times New Roman" w:hAnsi="Cambria Math" w:cs="Cambria Math"/>
                                <w:sz w:val="14"/>
                                <w:szCs w:val="14"/>
                                <w:lang w:eastAsia="ro-MD"/>
                              </w:rPr>
                              <m:t>E</m:t>
                            </m:r>
                          </m:e>
                          <m:sup>
                            <m:r>
                              <w:rPr>
                                <w:rFonts w:ascii="Cambria Math" w:eastAsia="Times New Roman" w:hAnsi="Cambria Math" w:cs="Cambria Math"/>
                                <w:sz w:val="14"/>
                                <w:szCs w:val="14"/>
                                <w:lang w:eastAsia="ro-MD"/>
                              </w:rPr>
                              <m:t>*</m:t>
                            </m:r>
                          </m:sup>
                        </m:sSup>
                        <m:r>
                          <w:rPr>
                            <w:rFonts w:ascii="Cambria Math" w:eastAsia="Times New Roman" w:hAnsi="Cambria Math" w:cs="Cambria Math"/>
                            <w:sz w:val="14"/>
                            <w:szCs w:val="14"/>
                            <w:lang w:eastAsia="ro-MD"/>
                          </w:rPr>
                          <m:t xml:space="preserve">;MDL </m:t>
                        </m:r>
                        <m:d>
                          <m:dPr>
                            <m:begChr m:val=""/>
                            <m:endChr m:val="}"/>
                            <m:ctrlPr>
                              <w:rPr>
                                <w:rFonts w:ascii="Cambria Math" w:eastAsia="Times New Roman" w:hAnsi="Cambria Math" w:cs="Cambria Math"/>
                                <w:i/>
                                <w:sz w:val="14"/>
                                <w:szCs w:val="14"/>
                                <w:lang w:eastAsia="ro-MD"/>
                              </w:rPr>
                            </m:ctrlPr>
                          </m:dPr>
                          <m:e>
                            <m:r>
                              <w:rPr>
                                <w:rFonts w:ascii="Cambria Math" w:eastAsia="Times New Roman" w:hAnsi="Cambria Math" w:cs="Cambria Math"/>
                                <w:sz w:val="14"/>
                                <w:szCs w:val="14"/>
                                <w:lang w:eastAsia="ro-MD"/>
                              </w:rPr>
                              <m:t>7,500,000</m:t>
                            </m:r>
                          </m:e>
                        </m:d>
                        <m:r>
                          <w:rPr>
                            <w:rFonts w:ascii="Cambria Math" w:eastAsia="Times New Roman" w:hAnsi="Cambria Math" w:cs="Cambria Math"/>
                            <w:sz w:val="14"/>
                            <w:szCs w:val="14"/>
                            <w:lang w:eastAsia="ro-MD"/>
                          </w:rPr>
                          <m:t xml:space="preserve">∙0,7619+max </m:t>
                        </m:r>
                        <m:d>
                          <m:dPr>
                            <m:begChr m:val="{"/>
                            <m:endChr m:val=""/>
                            <m:ctrlPr>
                              <w:rPr>
                                <w:rFonts w:ascii="Cambria Math" w:eastAsia="Times New Roman" w:hAnsi="Cambria Math" w:cs="Cambria Math"/>
                                <w:i/>
                                <w:sz w:val="14"/>
                                <w:szCs w:val="14"/>
                                <w:lang w:eastAsia="ro-MD"/>
                              </w:rPr>
                            </m:ctrlPr>
                          </m:dPr>
                          <m:e>
                            <m:sSup>
                              <m:sSupPr>
                                <m:ctrlPr>
                                  <w:rPr>
                                    <w:rFonts w:ascii="Cambria Math" w:eastAsia="Times New Roman" w:hAnsi="Cambria Math" w:cs="Cambria Math"/>
                                    <w:i/>
                                    <w:sz w:val="14"/>
                                    <w:szCs w:val="14"/>
                                    <w:lang w:eastAsia="ro-MD"/>
                                  </w:rPr>
                                </m:ctrlPr>
                              </m:sSupPr>
                              <m:e>
                                <m:r>
                                  <w:rPr>
                                    <w:rFonts w:ascii="Cambria Math" w:eastAsia="Times New Roman" w:hAnsi="Cambria Math" w:cs="Cambria Math"/>
                                    <w:sz w:val="14"/>
                                    <w:szCs w:val="14"/>
                                    <w:lang w:eastAsia="ro-MD"/>
                                  </w:rPr>
                                  <m:t>E</m:t>
                                </m:r>
                              </m:e>
                              <m:sup>
                                <m:r>
                                  <w:rPr>
                                    <w:rFonts w:ascii="Cambria Math" w:eastAsia="Times New Roman" w:hAnsi="Cambria Math" w:cs="Cambria Math"/>
                                    <w:sz w:val="14"/>
                                    <w:szCs w:val="14"/>
                                    <w:lang w:eastAsia="ro-MD"/>
                                  </w:rPr>
                                  <m:t>*</m:t>
                                </m:r>
                              </m:sup>
                            </m:sSup>
                            <m:r>
                              <w:rPr>
                                <w:rFonts w:ascii="Cambria Math" w:eastAsia="Times New Roman" w:hAnsi="Cambria Math" w:cs="Cambria Math"/>
                                <w:sz w:val="14"/>
                                <w:szCs w:val="14"/>
                                <w:lang w:eastAsia="ro-MD"/>
                              </w:rPr>
                              <m:t>- MDL 7,500,000;</m:t>
                            </m:r>
                            <m:d>
                              <m:dPr>
                                <m:begChr m:val=""/>
                                <m:endChr m:val="}"/>
                                <m:ctrlPr>
                                  <w:rPr>
                                    <w:rFonts w:ascii="Cambria Math" w:eastAsia="Times New Roman" w:hAnsi="Cambria Math" w:cs="Cambria Math"/>
                                    <w:i/>
                                    <w:sz w:val="14"/>
                                    <w:szCs w:val="14"/>
                                    <w:lang w:eastAsia="ro-MD"/>
                                  </w:rPr>
                                </m:ctrlPr>
                              </m:dPr>
                              <m:e>
                                <m:r>
                                  <w:rPr>
                                    <w:rFonts w:ascii="Cambria Math" w:eastAsia="Times New Roman" w:hAnsi="Cambria Math" w:cs="Cambria Math"/>
                                    <w:sz w:val="14"/>
                                    <w:szCs w:val="14"/>
                                    <w:lang w:eastAsia="ro-MD"/>
                                  </w:rPr>
                                  <m:t>0</m:t>
                                </m:r>
                              </m:e>
                            </m:d>
                            <m:r>
                              <w:rPr>
                                <w:rFonts w:ascii="Cambria Math" w:eastAsia="Times New Roman" w:hAnsi="Cambria Math" w:cs="Cambria Math"/>
                                <w:sz w:val="14"/>
                                <w:szCs w:val="14"/>
                                <w:lang w:eastAsia="ro-MD"/>
                              </w:rPr>
                              <m:t>∙0,85</m:t>
                            </m:r>
                          </m:e>
                        </m:d>
                      </m:e>
                    </m:d>
                  </m:num>
                  <m:den>
                    <m:sSup>
                      <m:sSupPr>
                        <m:ctrlPr>
                          <w:rPr>
                            <w:rFonts w:ascii="Cambria Math" w:eastAsia="Times New Roman" w:hAnsi="Cambria Math"/>
                            <w:i/>
                            <w:sz w:val="14"/>
                            <w:szCs w:val="14"/>
                            <w:lang w:eastAsia="ro-MD"/>
                          </w:rPr>
                        </m:ctrlPr>
                      </m:sSupPr>
                      <m:e>
                        <m:r>
                          <w:rPr>
                            <w:rFonts w:ascii="Cambria Math" w:eastAsia="Times New Roman" w:hAnsi="Cambria Math"/>
                            <w:sz w:val="14"/>
                            <w:szCs w:val="14"/>
                            <w:lang w:eastAsia="ro-MD"/>
                          </w:rPr>
                          <m:t>E</m:t>
                        </m:r>
                      </m:e>
                      <m:sup>
                        <m:r>
                          <w:rPr>
                            <w:rFonts w:ascii="Cambria Math" w:eastAsia="Times New Roman" w:hAnsi="Cambria Math"/>
                            <w:sz w:val="14"/>
                            <w:szCs w:val="14"/>
                            <w:lang w:eastAsia="ro-MD"/>
                          </w:rPr>
                          <m:t>*</m:t>
                        </m:r>
                      </m:sup>
                    </m:sSup>
                  </m:den>
                </m:f>
              </m:oMath>
            </m:oMathPara>
          </w:p>
          <w:bookmarkEnd w:id="18"/>
          <w:p w14:paraId="72D2A0D6" w14:textId="77777777" w:rsidR="00CE7F79" w:rsidRPr="004C0B55" w:rsidRDefault="00CE7F79" w:rsidP="00CE7F79">
            <w:pPr>
              <w:spacing w:after="0" w:line="240" w:lineRule="auto"/>
              <w:ind w:firstLine="567"/>
              <w:jc w:val="both"/>
              <w:rPr>
                <w:rFonts w:ascii="Times New Roman" w:eastAsia="Times New Roman" w:hAnsi="Times New Roman" w:cs="Times New Roman"/>
                <w:sz w:val="20"/>
                <w:szCs w:val="20"/>
                <w:lang w:eastAsia="ro-MD"/>
              </w:rPr>
            </w:pPr>
          </w:p>
          <w:p w14:paraId="32006963" w14:textId="77777777" w:rsidR="00CE7F79" w:rsidRPr="004C0B55" w:rsidRDefault="00CE7F79" w:rsidP="00CE7F79">
            <w:pPr>
              <w:spacing w:after="0" w:line="240" w:lineRule="auto"/>
              <w:ind w:firstLine="567"/>
              <w:jc w:val="both"/>
              <w:rPr>
                <w:rFonts w:ascii="Times New Roman" w:eastAsia="Times New Roman" w:hAnsi="Times New Roman" w:cs="Times New Roman"/>
                <w:sz w:val="20"/>
                <w:szCs w:val="20"/>
                <w:lang w:eastAsia="ro-MD"/>
              </w:rPr>
            </w:pPr>
            <w:r w:rsidRPr="004C0B55">
              <w:rPr>
                <w:rFonts w:ascii="Times New Roman" w:eastAsia="Times New Roman" w:hAnsi="Times New Roman" w:cs="Times New Roman"/>
                <w:sz w:val="20"/>
                <w:szCs w:val="20"/>
                <w:lang w:eastAsia="ro-MD"/>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836"/>
              <w:gridCol w:w="330"/>
              <w:gridCol w:w="3516"/>
            </w:tblGrid>
            <w:tr w:rsidR="00CE7F79" w:rsidRPr="004C0B55" w14:paraId="0E2C2A48" w14:textId="77777777" w:rsidTr="00E73A3B">
              <w:tc>
                <w:tcPr>
                  <w:tcW w:w="1636" w:type="dxa"/>
                  <w:shd w:val="clear" w:color="auto" w:fill="FFFFFF"/>
                  <w:hideMark/>
                </w:tcPr>
                <w:p w14:paraId="54D7CB70" w14:textId="77777777" w:rsidR="00CE7F79" w:rsidRPr="004C0B55" w:rsidRDefault="00CE7F79" w:rsidP="00CE7F79">
                  <w:pPr>
                    <w:spacing w:after="0" w:line="240" w:lineRule="auto"/>
                    <w:jc w:val="both"/>
                    <w:rPr>
                      <w:rFonts w:ascii="Times New Roman" w:eastAsia="Times New Roman" w:hAnsi="Times New Roman" w:cs="Times New Roman"/>
                      <w:sz w:val="20"/>
                      <w:szCs w:val="20"/>
                      <w:lang w:eastAsia="ro-MD"/>
                    </w:rPr>
                  </w:pPr>
                  <w:r w:rsidRPr="004C0B55">
                    <w:rPr>
                      <w:rFonts w:ascii="Times New Roman" w:eastAsia="Times New Roman" w:hAnsi="Times New Roman" w:cs="Times New Roman"/>
                      <w:sz w:val="20"/>
                      <w:szCs w:val="20"/>
                      <w:lang w:eastAsia="ro-MD"/>
                    </w:rPr>
                    <w:t>RWEA*</w:t>
                  </w:r>
                </w:p>
              </w:tc>
              <w:tc>
                <w:tcPr>
                  <w:tcW w:w="634" w:type="dxa"/>
                  <w:shd w:val="clear" w:color="auto" w:fill="FFFFFF"/>
                  <w:hideMark/>
                </w:tcPr>
                <w:p w14:paraId="75A464AC" w14:textId="77777777" w:rsidR="00CE7F79" w:rsidRPr="004C0B55" w:rsidRDefault="00CE7F79" w:rsidP="00CE7F79">
                  <w:pPr>
                    <w:spacing w:after="0" w:line="240" w:lineRule="auto"/>
                    <w:ind w:firstLine="567"/>
                    <w:jc w:val="both"/>
                    <w:rPr>
                      <w:rFonts w:ascii="Times New Roman" w:eastAsia="Times New Roman" w:hAnsi="Times New Roman" w:cs="Times New Roman"/>
                      <w:sz w:val="20"/>
                      <w:szCs w:val="20"/>
                      <w:lang w:eastAsia="ro-MD"/>
                    </w:rPr>
                  </w:pPr>
                  <w:r w:rsidRPr="004C0B55">
                    <w:rPr>
                      <w:rFonts w:ascii="Times New Roman" w:eastAsia="Times New Roman" w:hAnsi="Times New Roman" w:cs="Times New Roman"/>
                      <w:sz w:val="20"/>
                      <w:szCs w:val="20"/>
                      <w:lang w:eastAsia="ro-MD"/>
                    </w:rPr>
                    <w:t>-</w:t>
                  </w:r>
                </w:p>
              </w:tc>
              <w:tc>
                <w:tcPr>
                  <w:tcW w:w="6944" w:type="dxa"/>
                  <w:shd w:val="clear" w:color="auto" w:fill="FFFFFF"/>
                  <w:hideMark/>
                </w:tcPr>
                <w:p w14:paraId="3EB70449" w14:textId="77777777" w:rsidR="00CE7F79" w:rsidRPr="004C0B55" w:rsidRDefault="00CE7F79" w:rsidP="00CE7F79">
                  <w:pPr>
                    <w:spacing w:after="0" w:line="240" w:lineRule="auto"/>
                    <w:ind w:firstLine="567"/>
                    <w:jc w:val="both"/>
                    <w:rPr>
                      <w:rFonts w:ascii="Times New Roman" w:eastAsia="Times New Roman" w:hAnsi="Times New Roman" w:cs="Times New Roman"/>
                      <w:sz w:val="20"/>
                      <w:szCs w:val="20"/>
                      <w:lang w:eastAsia="ro-MD"/>
                    </w:rPr>
                  </w:pPr>
                  <w:r w:rsidRPr="004C0B55">
                    <w:rPr>
                      <w:rFonts w:ascii="Times New Roman" w:eastAsia="Times New Roman" w:hAnsi="Times New Roman" w:cs="Times New Roman"/>
                      <w:sz w:val="20"/>
                      <w:szCs w:val="20"/>
                      <w:lang w:eastAsia="ro-MD"/>
                    </w:rPr>
                    <w:t xml:space="preserve">RWEA ajustată cu un factor de sprijinire </w:t>
                  </w:r>
                  <w:proofErr w:type="gramStart"/>
                  <w:r w:rsidRPr="004C0B55">
                    <w:rPr>
                      <w:rFonts w:ascii="Times New Roman" w:eastAsia="Times New Roman" w:hAnsi="Times New Roman" w:cs="Times New Roman"/>
                      <w:sz w:val="20"/>
                      <w:szCs w:val="20"/>
                      <w:lang w:eastAsia="ro-MD"/>
                    </w:rPr>
                    <w:t>a</w:t>
                  </w:r>
                  <w:proofErr w:type="gramEnd"/>
                  <w:r w:rsidRPr="004C0B55">
                    <w:rPr>
                      <w:rFonts w:ascii="Times New Roman" w:eastAsia="Times New Roman" w:hAnsi="Times New Roman" w:cs="Times New Roman"/>
                      <w:sz w:val="20"/>
                      <w:szCs w:val="20"/>
                      <w:lang w:eastAsia="ro-MD"/>
                    </w:rPr>
                    <w:t xml:space="preserve"> IMM-urilor; și</w:t>
                  </w:r>
                </w:p>
              </w:tc>
            </w:tr>
            <w:tr w:rsidR="00CE7F79" w:rsidRPr="004C0B55" w14:paraId="6D9740DD" w14:textId="77777777" w:rsidTr="00E73A3B">
              <w:tc>
                <w:tcPr>
                  <w:tcW w:w="1636" w:type="dxa"/>
                  <w:shd w:val="clear" w:color="auto" w:fill="FFFFFF"/>
                  <w:hideMark/>
                </w:tcPr>
                <w:p w14:paraId="4F5EC3C1" w14:textId="77777777" w:rsidR="00CE7F79" w:rsidRPr="004C0B55" w:rsidRDefault="00CE7F79" w:rsidP="00CE7F79">
                  <w:pPr>
                    <w:spacing w:after="0" w:line="240" w:lineRule="auto"/>
                    <w:jc w:val="both"/>
                    <w:rPr>
                      <w:rFonts w:ascii="Times New Roman" w:eastAsia="Times New Roman" w:hAnsi="Times New Roman" w:cs="Times New Roman"/>
                      <w:sz w:val="20"/>
                      <w:szCs w:val="20"/>
                      <w:lang w:eastAsia="ro-MD"/>
                    </w:rPr>
                  </w:pPr>
                  <w:r w:rsidRPr="004C0B55">
                    <w:rPr>
                      <w:rFonts w:ascii="Times New Roman" w:eastAsia="Times New Roman" w:hAnsi="Times New Roman" w:cs="Times New Roman"/>
                      <w:sz w:val="20"/>
                      <w:szCs w:val="20"/>
                      <w:lang w:eastAsia="ro-MD"/>
                    </w:rPr>
                    <w:t>E</w:t>
                  </w:r>
                  <w:r w:rsidRPr="004C0B55">
                    <w:rPr>
                      <w:rFonts w:ascii="Times New Roman" w:eastAsia="Times New Roman" w:hAnsi="Times New Roman" w:cs="Times New Roman"/>
                      <w:sz w:val="20"/>
                      <w:szCs w:val="20"/>
                      <w:vertAlign w:val="superscript"/>
                      <w:lang w:eastAsia="ro-MD"/>
                    </w:rPr>
                    <w:t>*</w:t>
                  </w:r>
                  <w:r w:rsidRPr="004C0B55">
                    <w:rPr>
                      <w:rFonts w:ascii="Times New Roman" w:eastAsia="Times New Roman" w:hAnsi="Times New Roman" w:cs="Times New Roman"/>
                      <w:sz w:val="20"/>
                      <w:szCs w:val="20"/>
                      <w:lang w:eastAsia="ro-MD"/>
                    </w:rPr>
                    <w:t> este oricare din următoarele:</w:t>
                  </w:r>
                </w:p>
              </w:tc>
              <w:tc>
                <w:tcPr>
                  <w:tcW w:w="634" w:type="dxa"/>
                  <w:shd w:val="clear" w:color="auto" w:fill="FFFFFF"/>
                  <w:hideMark/>
                </w:tcPr>
                <w:p w14:paraId="0188946A" w14:textId="77777777" w:rsidR="00CE7F79" w:rsidRPr="004C0B55" w:rsidRDefault="00CE7F79" w:rsidP="00CE7F79">
                  <w:pPr>
                    <w:spacing w:after="0" w:line="240" w:lineRule="auto"/>
                    <w:ind w:firstLine="567"/>
                    <w:jc w:val="both"/>
                    <w:rPr>
                      <w:rFonts w:ascii="Times New Roman" w:eastAsia="Times New Roman" w:hAnsi="Times New Roman" w:cs="Times New Roman"/>
                      <w:sz w:val="20"/>
                      <w:szCs w:val="20"/>
                      <w:lang w:eastAsia="ro-MD"/>
                    </w:rPr>
                  </w:pPr>
                  <w:r w:rsidRPr="004C0B55">
                    <w:rPr>
                      <w:rFonts w:ascii="Times New Roman" w:eastAsia="Times New Roman" w:hAnsi="Times New Roman" w:cs="Times New Roman"/>
                      <w:sz w:val="20"/>
                      <w:szCs w:val="20"/>
                      <w:lang w:eastAsia="ro-MD"/>
                    </w:rPr>
                    <w:t>-</w:t>
                  </w:r>
                </w:p>
              </w:tc>
              <w:tc>
                <w:tcPr>
                  <w:tcW w:w="6944" w:type="dxa"/>
                  <w:shd w:val="clear" w:color="auto" w:fill="FFFFFF"/>
                  <w:hideMark/>
                </w:tcPr>
                <w:p w14:paraId="6FB25D0E" w14:textId="77777777" w:rsidR="00CE7F79" w:rsidRPr="004C0B55" w:rsidRDefault="00CE7F79" w:rsidP="00CE7F79">
                  <w:pPr>
                    <w:spacing w:after="0" w:line="240" w:lineRule="auto"/>
                    <w:ind w:firstLine="567"/>
                    <w:jc w:val="both"/>
                    <w:rPr>
                      <w:rFonts w:ascii="Times New Roman" w:eastAsia="Times New Roman" w:hAnsi="Times New Roman" w:cs="Times New Roman"/>
                      <w:sz w:val="20"/>
                      <w:szCs w:val="20"/>
                      <w:lang w:eastAsia="ro-MD"/>
                    </w:rPr>
                  </w:pPr>
                  <w:r w:rsidRPr="004C0B55">
                    <w:rPr>
                      <w:rFonts w:ascii="Times New Roman" w:eastAsia="Times New Roman" w:hAnsi="Times New Roman" w:cs="Times New Roman"/>
                      <w:sz w:val="20"/>
                      <w:szCs w:val="20"/>
                      <w:lang w:eastAsia="ro-MD"/>
                    </w:rPr>
                    <w:t>1) cuantumul total datorat băncii, filialelor sale, întreprinderilor sale mamă și altor filiale ale acestor întreprinderi-mamă, incluzând orice expunere în stare de nerambursare, dar excluzând creanțele sau creanțele potențiale garantate cu bunuri imobile locative de către IMM sau grupul de clienți aflați în legătură ai IMM-</w:t>
                  </w:r>
                  <w:proofErr w:type="gramStart"/>
                  <w:r w:rsidRPr="004C0B55">
                    <w:rPr>
                      <w:rFonts w:ascii="Times New Roman" w:eastAsia="Times New Roman" w:hAnsi="Times New Roman" w:cs="Times New Roman"/>
                      <w:sz w:val="20"/>
                      <w:szCs w:val="20"/>
                      <w:lang w:eastAsia="ro-MD"/>
                    </w:rPr>
                    <w:t>ului;</w:t>
                  </w:r>
                  <w:proofErr w:type="gramEnd"/>
                </w:p>
                <w:p w14:paraId="28A8C4EB" w14:textId="77777777" w:rsidR="00CE7F79" w:rsidRPr="004C0B55" w:rsidRDefault="00CE7F79" w:rsidP="00CE7F79">
                  <w:pPr>
                    <w:spacing w:after="0" w:line="240" w:lineRule="auto"/>
                    <w:ind w:firstLine="567"/>
                    <w:jc w:val="both"/>
                    <w:rPr>
                      <w:rFonts w:ascii="Times New Roman" w:eastAsia="Times New Roman" w:hAnsi="Times New Roman" w:cs="Times New Roman"/>
                      <w:sz w:val="20"/>
                      <w:szCs w:val="20"/>
                      <w:lang w:eastAsia="ro-MD"/>
                    </w:rPr>
                  </w:pPr>
                  <w:r w:rsidRPr="004C0B55">
                    <w:rPr>
                      <w:rFonts w:ascii="Times New Roman" w:eastAsia="Times New Roman" w:hAnsi="Times New Roman" w:cs="Times New Roman"/>
                      <w:sz w:val="20"/>
                      <w:szCs w:val="20"/>
                      <w:lang w:eastAsia="ro-MD"/>
                    </w:rPr>
                    <w:t>2) în cazul în care cuantumul total menționat la subpunctul 1) este egal cu 0, cuantumul creanțelor sau al creanțelor potențiale împotriva IMM-ului sau a grupului de clienți aflați în legătură ai IMM-ului, care sunt garantate cu bunuri imobile locative și care sunt excluse din calculul cuantumului total menționat la subpunctul respectiv.</w:t>
                  </w:r>
                </w:p>
              </w:tc>
            </w:tr>
          </w:tbl>
          <w:p w14:paraId="5EA041CA" w14:textId="77777777" w:rsidR="00CE7F79" w:rsidRPr="004C0B55" w:rsidRDefault="00CE7F79" w:rsidP="00CE7F79">
            <w:pPr>
              <w:spacing w:after="0" w:line="240" w:lineRule="auto"/>
              <w:ind w:firstLine="567"/>
              <w:jc w:val="both"/>
              <w:rPr>
                <w:rFonts w:ascii="Times New Roman" w:eastAsia="Times New Roman" w:hAnsi="Times New Roman" w:cs="Times New Roman"/>
                <w:sz w:val="20"/>
                <w:szCs w:val="20"/>
                <w:lang w:eastAsia="ro-MD"/>
              </w:rPr>
            </w:pPr>
          </w:p>
          <w:p w14:paraId="4508C49D" w14:textId="77777777" w:rsidR="00CE7F79" w:rsidRPr="004C0B55" w:rsidRDefault="00CE7F79" w:rsidP="00CE7F79">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b/>
                <w:bCs/>
                <w:sz w:val="20"/>
                <w:szCs w:val="20"/>
                <w:lang w:val="ro-RO" w:eastAsia="ro-MD"/>
              </w:rPr>
              <w:t>96.</w:t>
            </w:r>
            <w:r w:rsidRPr="004C0B55">
              <w:rPr>
                <w:rFonts w:ascii="Times New Roman" w:eastAsia="Times New Roman" w:hAnsi="Times New Roman" w:cs="Times New Roman"/>
                <w:sz w:val="20"/>
                <w:szCs w:val="20"/>
                <w:lang w:val="ro-RO" w:eastAsia="ro-MD"/>
              </w:rPr>
              <w:t xml:space="preserve"> Pentru scopurile prezentului capitol:</w:t>
            </w:r>
          </w:p>
          <w:p w14:paraId="7C6B99E4" w14:textId="77777777" w:rsidR="00CE7F79" w:rsidRPr="004C0B55" w:rsidRDefault="00CE7F79" w:rsidP="00CE7F79">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1) expunerea trebuie să fie inclusă în clasa de expuneri de tip retail, în clasa de expuneri față de societăți sau în clasa de expuneri garantate cu ipoteci asupra bunurilor imobile. Expunerile în stare de nerambursare se exclud;</w:t>
            </w:r>
            <w:r w:rsidRPr="001323E6">
              <w:rPr>
                <w:rFonts w:ascii="Times New Roman" w:eastAsia="Times New Roman" w:hAnsi="Times New Roman" w:cs="Times New Roman"/>
                <w:sz w:val="20"/>
                <w:szCs w:val="20"/>
                <w:highlight w:val="lightGray"/>
                <w:lang w:val="ro-RO" w:eastAsia="ro-MD"/>
              </w:rPr>
              <w:t xml:space="preserve"> </w:t>
            </w:r>
          </w:p>
          <w:p w14:paraId="46FBBE62" w14:textId="32343E8B" w:rsidR="00CE7F79" w:rsidRPr="004C0B55" w:rsidRDefault="00CE7F79" w:rsidP="00CE7F79">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2) o ÎMM se determină în conformitate cu art.4 alin.(1) din Legea nr.179 din 21 iulie 2016 cu privire la întreprinderile mici și mijlocii (Monitorul Oficial al Republicii Moldova, 2016, nr.306-313 art.651). Dintre criteriile enumerate la art.4 din legea nominalizată, se ia în considerare doar cifra de afaceri anuală3) băncile iau măsuri rezonabile pentru a determina în mod corect valoarea E* și a obține informațiile necesare în conformitate cu subpunctul 2).</w:t>
            </w:r>
          </w:p>
          <w:p w14:paraId="42C38780" w14:textId="77777777" w:rsidR="00CE7F79" w:rsidRDefault="00CE7F79" w:rsidP="00CE7F79">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b/>
                <w:bCs/>
                <w:sz w:val="20"/>
                <w:szCs w:val="20"/>
                <w:lang w:val="ro-RO" w:eastAsia="ro-MD"/>
              </w:rPr>
              <w:t>97.</w:t>
            </w:r>
            <w:r w:rsidRPr="004C0B55">
              <w:rPr>
                <w:rFonts w:ascii="Times New Roman" w:eastAsia="Times New Roman" w:hAnsi="Times New Roman" w:cs="Times New Roman"/>
                <w:sz w:val="20"/>
                <w:szCs w:val="20"/>
                <w:lang w:val="ro-RO" w:eastAsia="ro-MD"/>
              </w:rPr>
              <w:t xml:space="preserve"> Băncile raportează Băncii Naționale a Moldovei valoarea totală a expunerilor față de ÎMM-uri, calculată în conformitate cu punctul 96, în conformitate cu actele normative ale Băncii Naționale a Moldovei aferente prezentării de către bănci a rapoartelor COREP în scopuri de supraveghere.</w:t>
            </w:r>
          </w:p>
          <w:p w14:paraId="0CC2D9BF" w14:textId="68FA16F2" w:rsidR="00CE7F79" w:rsidRPr="006F5136" w:rsidRDefault="00CE7F79" w:rsidP="00630D4D">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i/>
                <w:iCs/>
                <w:sz w:val="18"/>
                <w:szCs w:val="18"/>
                <w:lang w:val="ro-RO" w:eastAsia="ro-MD"/>
              </w:rPr>
              <w:t>Modificat prin Proiectul HCE al BNM privind modificarea Regulamentului nr.111/2018</w:t>
            </w:r>
          </w:p>
        </w:tc>
        <w:tc>
          <w:tcPr>
            <w:tcW w:w="503" w:type="pct"/>
          </w:tcPr>
          <w:p w14:paraId="2A28338E" w14:textId="2BBBD207" w:rsidR="00CE7F79" w:rsidRPr="006F5136" w:rsidRDefault="00CE7F79" w:rsidP="00CE7F7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Compatibil</w:t>
            </w:r>
          </w:p>
        </w:tc>
        <w:tc>
          <w:tcPr>
            <w:tcW w:w="912" w:type="pct"/>
          </w:tcPr>
          <w:p w14:paraId="634E86C8" w14:textId="5F751781" w:rsidR="00CE7F79" w:rsidRPr="006F5136" w:rsidRDefault="00CE7F79" w:rsidP="00CE7F79">
            <w:pPr>
              <w:spacing w:after="0" w:line="240" w:lineRule="auto"/>
              <w:rPr>
                <w:rFonts w:ascii="Times New Roman" w:hAnsi="Times New Roman" w:cs="Times New Roman"/>
                <w:sz w:val="18"/>
                <w:szCs w:val="18"/>
                <w:lang w:val="ro-RO"/>
              </w:rPr>
            </w:pPr>
            <w:r w:rsidRPr="006F5136">
              <w:rPr>
                <w:rFonts w:ascii="Times New Roman" w:hAnsi="Times New Roman" w:cs="Times New Roman"/>
                <w:sz w:val="18"/>
                <w:szCs w:val="18"/>
                <w:lang w:val="ro-RO"/>
              </w:rPr>
              <w:t>Regulamentul nr.111/2018</w:t>
            </w:r>
          </w:p>
        </w:tc>
      </w:tr>
      <w:tr w:rsidR="00CE7F79" w:rsidRPr="006F5136" w14:paraId="0B89797E"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12424FD" w14:textId="77777777" w:rsidR="00CE7F79" w:rsidRPr="006F5136" w:rsidRDefault="00CE7F79" w:rsidP="00CE7F79">
            <w:pPr>
              <w:pStyle w:val="modref"/>
              <w:shd w:val="clear" w:color="auto" w:fill="FFFFFF"/>
              <w:spacing w:before="0" w:beforeAutospacing="0" w:after="0" w:afterAutospacing="0"/>
              <w:rPr>
                <w:rFonts w:eastAsia="Arial Unicode MS"/>
                <w:b/>
                <w:bCs/>
                <w:color w:val="000000" w:themeColor="text1"/>
                <w:sz w:val="18"/>
                <w:szCs w:val="18"/>
              </w:rPr>
            </w:pPr>
            <w:hyperlink r:id="rId48" w:tooltip="32019R0876: INSERTED" w:history="1">
              <w:r w:rsidRPr="006F5136">
                <w:rPr>
                  <w:rStyle w:val="Hyperlink"/>
                  <w:rFonts w:eastAsia="Arial Unicode MS"/>
                  <w:b/>
                  <w:bCs/>
                  <w:color w:val="000000" w:themeColor="text1"/>
                  <w:sz w:val="18"/>
                  <w:szCs w:val="18"/>
                </w:rPr>
                <w:t>▼M8</w:t>
              </w:r>
            </w:hyperlink>
          </w:p>
          <w:p w14:paraId="7FA9F5AB" w14:textId="33C811C1" w:rsidR="00CE7F79" w:rsidRPr="006F5136" w:rsidRDefault="00CE7F79" w:rsidP="00CE7F79">
            <w:pPr>
              <w:pStyle w:val="title-article-norm"/>
              <w:shd w:val="clear" w:color="auto" w:fill="FFFFFF"/>
              <w:spacing w:before="0" w:after="0"/>
              <w:jc w:val="left"/>
              <w:rPr>
                <w:rFonts w:eastAsia="Arial Unicode MS"/>
                <w:b/>
                <w:bCs/>
                <w:i w:val="0"/>
                <w:iCs w:val="0"/>
                <w:color w:val="000000" w:themeColor="text1"/>
                <w:sz w:val="18"/>
                <w:szCs w:val="18"/>
              </w:rPr>
            </w:pPr>
            <w:r w:rsidRPr="006F5136">
              <w:rPr>
                <w:rFonts w:eastAsia="Arial Unicode MS"/>
                <w:color w:val="000000" w:themeColor="text1"/>
                <w:sz w:val="18"/>
                <w:szCs w:val="18"/>
              </w:rPr>
              <w:t>Articolul 501a</w:t>
            </w:r>
            <w:r w:rsidRPr="006F5136">
              <w:rPr>
                <w:rFonts w:eastAsia="Arial Unicode MS"/>
                <w:i w:val="0"/>
                <w:iCs w:val="0"/>
                <w:color w:val="000000" w:themeColor="text1"/>
                <w:sz w:val="18"/>
                <w:szCs w:val="18"/>
              </w:rPr>
              <w:t xml:space="preserve"> </w:t>
            </w:r>
            <w:r w:rsidRPr="006F5136">
              <w:rPr>
                <w:rFonts w:eastAsia="Arial Unicode MS"/>
                <w:b/>
                <w:bCs/>
                <w:color w:val="000000" w:themeColor="text1"/>
                <w:sz w:val="18"/>
                <w:szCs w:val="18"/>
              </w:rPr>
              <w:t>Ajustarea cerințelor de fonduri proprii pentru riscul de credit pentru expunerile față de entități care operează sau finanțează structuri fizice sau facilități, sisteme și rețele care oferă sau sprijină servicii publice esențiale</w:t>
            </w:r>
          </w:p>
          <w:p w14:paraId="345388FD" w14:textId="1D4EA809" w:rsidR="00CE7F79" w:rsidRPr="006F5136" w:rsidRDefault="00CE7F79" w:rsidP="00CE7F79">
            <w:pPr>
              <w:shd w:val="clear" w:color="auto" w:fill="FFFFFF"/>
              <w:spacing w:after="0" w:line="240" w:lineRule="auto"/>
              <w:rPr>
                <w:rFonts w:ascii="Times New Roman" w:eastAsia="Arial Unicode MS" w:hAnsi="Times New Roman" w:cs="Times New Roman"/>
                <w:color w:val="000000" w:themeColor="text1"/>
                <w:sz w:val="18"/>
                <w:szCs w:val="18"/>
              </w:rPr>
            </w:pPr>
            <w:r w:rsidRPr="006F5136">
              <w:rPr>
                <w:rStyle w:val="no-parag"/>
                <w:rFonts w:ascii="Times New Roman" w:eastAsia="Arial Unicode MS" w:hAnsi="Times New Roman" w:cs="Times New Roman"/>
                <w:color w:val="000000" w:themeColor="text1"/>
                <w:sz w:val="18"/>
                <w:szCs w:val="18"/>
              </w:rPr>
              <w:t>(1)  </w:t>
            </w:r>
            <w:r w:rsidRPr="006F5136">
              <w:rPr>
                <w:rFonts w:ascii="Times New Roman" w:eastAsia="Arial Unicode MS" w:hAnsi="Times New Roman" w:cs="Times New Roman"/>
                <w:color w:val="000000" w:themeColor="text1"/>
                <w:sz w:val="18"/>
                <w:szCs w:val="18"/>
              </w:rPr>
              <w:t xml:space="preserve"> Cerințele de fonduri proprii pentru riscul de credit </w:t>
            </w:r>
            <w:proofErr w:type="gramStart"/>
            <w:r w:rsidRPr="006F5136">
              <w:rPr>
                <w:rFonts w:ascii="Times New Roman" w:eastAsia="Arial Unicode MS" w:hAnsi="Times New Roman" w:cs="Times New Roman"/>
                <w:color w:val="000000" w:themeColor="text1"/>
                <w:sz w:val="18"/>
                <w:szCs w:val="18"/>
              </w:rPr>
              <w:t>calculate</w:t>
            </w:r>
            <w:proofErr w:type="gramEnd"/>
            <w:r w:rsidRPr="006F5136">
              <w:rPr>
                <w:rFonts w:ascii="Times New Roman" w:eastAsia="Arial Unicode MS" w:hAnsi="Times New Roman" w:cs="Times New Roman"/>
                <w:color w:val="000000" w:themeColor="text1"/>
                <w:sz w:val="18"/>
                <w:szCs w:val="18"/>
              </w:rPr>
              <w:t xml:space="preserve"> în conformitate cu partea III titlul II se înmulțesc cu un factor de 0,75, cu condiția ca expunerea să îndeplinească toate criteriile următoare:</w:t>
            </w:r>
          </w:p>
          <w:p w14:paraId="03BB1A72" w14:textId="77777777" w:rsidR="00CE7F79" w:rsidRPr="006F5136" w:rsidRDefault="00CE7F79" w:rsidP="00CE7F79">
            <w:pPr>
              <w:pStyle w:val="modref"/>
              <w:shd w:val="clear" w:color="auto" w:fill="FFFFFF"/>
              <w:spacing w:before="0" w:beforeAutospacing="0" w:after="0" w:afterAutospacing="0"/>
              <w:rPr>
                <w:rFonts w:eastAsia="Arial Unicode MS"/>
                <w:b/>
                <w:bCs/>
                <w:color w:val="000000" w:themeColor="text1"/>
                <w:sz w:val="18"/>
                <w:szCs w:val="18"/>
              </w:rPr>
            </w:pPr>
            <w:hyperlink r:id="rId49" w:tooltip="32024R1623: REPLACED" w:history="1">
              <w:r w:rsidRPr="006F5136">
                <w:rPr>
                  <w:rStyle w:val="Hyperlink"/>
                  <w:rFonts w:eastAsia="Arial Unicode MS"/>
                  <w:b/>
                  <w:bCs/>
                  <w:color w:val="000000" w:themeColor="text1"/>
                  <w:sz w:val="18"/>
                  <w:szCs w:val="18"/>
                </w:rPr>
                <w:t>▼M17</w:t>
              </w:r>
            </w:hyperlink>
          </w:p>
          <w:p w14:paraId="55CD19E1" w14:textId="6D913051" w:rsidR="00CE7F79" w:rsidRPr="006F5136" w:rsidRDefault="00CE7F79" w:rsidP="00CE7F79">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(a) expunerea este încadrată în clasa de expuneri menționată la articolul 112 litera (g) sau în oricare dintre clasele de expuneri menționate la articolul 147 alineatul (2) litera (c) punctul (i), (ii) sau (iii), fiind excluse expunerile aflate în stare de </w:t>
            </w:r>
            <w:proofErr w:type="gramStart"/>
            <w:r w:rsidRPr="006F5136">
              <w:rPr>
                <w:rFonts w:ascii="Times New Roman" w:eastAsia="Arial Unicode MS" w:hAnsi="Times New Roman" w:cs="Times New Roman"/>
                <w:color w:val="000000" w:themeColor="text1"/>
                <w:sz w:val="18"/>
                <w:szCs w:val="18"/>
              </w:rPr>
              <w:t>nerambursare;</w:t>
            </w:r>
            <w:proofErr w:type="gramEnd"/>
          </w:p>
          <w:p w14:paraId="3866B783" w14:textId="77777777" w:rsidR="00CE7F79" w:rsidRPr="006F5136" w:rsidRDefault="00CE7F79" w:rsidP="00CE7F79">
            <w:pPr>
              <w:pStyle w:val="modref"/>
              <w:shd w:val="clear" w:color="auto" w:fill="FFFFFF"/>
              <w:spacing w:before="0" w:beforeAutospacing="0" w:after="0" w:afterAutospacing="0"/>
              <w:rPr>
                <w:rFonts w:eastAsia="Arial Unicode MS"/>
                <w:b/>
                <w:bCs/>
                <w:color w:val="000000" w:themeColor="text1"/>
                <w:sz w:val="18"/>
                <w:szCs w:val="18"/>
              </w:rPr>
            </w:pPr>
            <w:hyperlink r:id="rId50" w:tooltip="32019R0876: INSERTED" w:history="1">
              <w:r w:rsidRPr="006F5136">
                <w:rPr>
                  <w:rStyle w:val="Hyperlink"/>
                  <w:rFonts w:eastAsia="Arial Unicode MS"/>
                  <w:b/>
                  <w:bCs/>
                  <w:color w:val="000000" w:themeColor="text1"/>
                  <w:sz w:val="18"/>
                  <w:szCs w:val="18"/>
                </w:rPr>
                <w:t>▼M8</w:t>
              </w:r>
            </w:hyperlink>
          </w:p>
          <w:p w14:paraId="6DFE165D" w14:textId="19318F2E" w:rsidR="00CE7F79" w:rsidRPr="006F5136" w:rsidRDefault="00CE7F79" w:rsidP="00CE7F79">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(b) expunerea este față de o entitate care a fost creată în mod special pentru a finanța sau </w:t>
            </w:r>
            <w:proofErr w:type="gramStart"/>
            <w:r w:rsidRPr="006F5136">
              <w:rPr>
                <w:rFonts w:ascii="Times New Roman" w:eastAsia="Arial Unicode MS" w:hAnsi="Times New Roman" w:cs="Times New Roman"/>
                <w:color w:val="000000" w:themeColor="text1"/>
                <w:sz w:val="18"/>
                <w:szCs w:val="18"/>
              </w:rPr>
              <w:t>a</w:t>
            </w:r>
            <w:proofErr w:type="gramEnd"/>
            <w:r w:rsidRPr="006F5136">
              <w:rPr>
                <w:rFonts w:ascii="Times New Roman" w:eastAsia="Arial Unicode MS" w:hAnsi="Times New Roman" w:cs="Times New Roman"/>
                <w:color w:val="000000" w:themeColor="text1"/>
                <w:sz w:val="18"/>
                <w:szCs w:val="18"/>
              </w:rPr>
              <w:t xml:space="preserve"> opera structurile fizice sau facilitățile, sistemele și rețelele care oferă sau sprijină servicii publice </w:t>
            </w:r>
            <w:proofErr w:type="gramStart"/>
            <w:r w:rsidRPr="006F5136">
              <w:rPr>
                <w:rFonts w:ascii="Times New Roman" w:eastAsia="Arial Unicode MS" w:hAnsi="Times New Roman" w:cs="Times New Roman"/>
                <w:color w:val="000000" w:themeColor="text1"/>
                <w:sz w:val="18"/>
                <w:szCs w:val="18"/>
              </w:rPr>
              <w:t>esențiale;</w:t>
            </w:r>
            <w:proofErr w:type="gramEnd"/>
          </w:p>
          <w:p w14:paraId="4FA5FB11" w14:textId="0731B676" w:rsidR="00CE7F79" w:rsidRPr="006F5136" w:rsidRDefault="00CE7F79" w:rsidP="00CE7F79">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(c) sursa de rambursare </w:t>
            </w:r>
            <w:proofErr w:type="gramStart"/>
            <w:r w:rsidRPr="006F5136">
              <w:rPr>
                <w:rFonts w:ascii="Times New Roman" w:eastAsia="Arial Unicode MS" w:hAnsi="Times New Roman" w:cs="Times New Roman"/>
                <w:color w:val="000000" w:themeColor="text1"/>
                <w:sz w:val="18"/>
                <w:szCs w:val="18"/>
              </w:rPr>
              <w:t>a</w:t>
            </w:r>
            <w:proofErr w:type="gramEnd"/>
            <w:r w:rsidRPr="006F5136">
              <w:rPr>
                <w:rFonts w:ascii="Times New Roman" w:eastAsia="Arial Unicode MS" w:hAnsi="Times New Roman" w:cs="Times New Roman"/>
                <w:color w:val="000000" w:themeColor="text1"/>
                <w:sz w:val="18"/>
                <w:szCs w:val="18"/>
              </w:rPr>
              <w:t xml:space="preserve"> obligației este reprezentată pentru cel puțin două treimi din cuantumul său de venitul generat de activele finanțate, și nu de capacitatea independentă de rambursare a societății comerciale în sens mai larg sau de subvenții, granturi sau finanțare furnizate de una sau mai multe dintre entitățile enumerate la alineatul (2) litera (b) punctele (i) și (ii</w:t>
            </w:r>
            <w:proofErr w:type="gramStart"/>
            <w:r w:rsidRPr="006F5136">
              <w:rPr>
                <w:rFonts w:ascii="Times New Roman" w:eastAsia="Arial Unicode MS" w:hAnsi="Times New Roman" w:cs="Times New Roman"/>
                <w:color w:val="000000" w:themeColor="text1"/>
                <w:sz w:val="18"/>
                <w:szCs w:val="18"/>
              </w:rPr>
              <w:t>);</w:t>
            </w:r>
            <w:proofErr w:type="gramEnd"/>
          </w:p>
          <w:p w14:paraId="5A2475D2" w14:textId="77777777" w:rsidR="000B4AB6" w:rsidRDefault="000B4AB6" w:rsidP="00CE7F79">
            <w:pPr>
              <w:shd w:val="clear" w:color="auto" w:fill="FFFFFF"/>
              <w:spacing w:after="0" w:line="240" w:lineRule="auto"/>
              <w:jc w:val="both"/>
              <w:rPr>
                <w:rFonts w:ascii="Times New Roman" w:eastAsia="Arial Unicode MS" w:hAnsi="Times New Roman" w:cs="Times New Roman"/>
                <w:color w:val="000000" w:themeColor="text1"/>
                <w:sz w:val="18"/>
                <w:szCs w:val="18"/>
              </w:rPr>
            </w:pPr>
          </w:p>
          <w:p w14:paraId="09F3CF31" w14:textId="77777777" w:rsidR="000B4AB6" w:rsidRDefault="000B4AB6" w:rsidP="00CE7F79">
            <w:pPr>
              <w:shd w:val="clear" w:color="auto" w:fill="FFFFFF"/>
              <w:spacing w:after="0" w:line="240" w:lineRule="auto"/>
              <w:jc w:val="both"/>
              <w:rPr>
                <w:rFonts w:ascii="Times New Roman" w:eastAsia="Arial Unicode MS" w:hAnsi="Times New Roman" w:cs="Times New Roman"/>
                <w:color w:val="000000" w:themeColor="text1"/>
                <w:sz w:val="18"/>
                <w:szCs w:val="18"/>
              </w:rPr>
            </w:pPr>
          </w:p>
          <w:p w14:paraId="14F40364" w14:textId="43C8D081" w:rsidR="00CE7F79" w:rsidRPr="006F5136" w:rsidRDefault="00CE7F79" w:rsidP="00CE7F79">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(d) debitorul poate să își onoreze obligațiile financiare chiar și în condiții de criză gravă care sunt relevante pentru riscul </w:t>
            </w:r>
            <w:proofErr w:type="gramStart"/>
            <w:r w:rsidRPr="006F5136">
              <w:rPr>
                <w:rFonts w:ascii="Times New Roman" w:eastAsia="Arial Unicode MS" w:hAnsi="Times New Roman" w:cs="Times New Roman"/>
                <w:color w:val="000000" w:themeColor="text1"/>
                <w:sz w:val="18"/>
                <w:szCs w:val="18"/>
              </w:rPr>
              <w:t>proiectului;</w:t>
            </w:r>
            <w:proofErr w:type="gramEnd"/>
          </w:p>
          <w:p w14:paraId="2ACF2C26" w14:textId="77777777" w:rsidR="000B4AB6" w:rsidRDefault="000B4AB6" w:rsidP="00CE7F79">
            <w:pPr>
              <w:shd w:val="clear" w:color="auto" w:fill="FFFFFF"/>
              <w:spacing w:after="0" w:line="240" w:lineRule="auto"/>
              <w:jc w:val="both"/>
              <w:rPr>
                <w:rFonts w:ascii="Times New Roman" w:eastAsia="Arial Unicode MS" w:hAnsi="Times New Roman" w:cs="Times New Roman"/>
                <w:color w:val="000000" w:themeColor="text1"/>
                <w:sz w:val="18"/>
                <w:szCs w:val="18"/>
              </w:rPr>
            </w:pPr>
          </w:p>
          <w:p w14:paraId="67DEF48C" w14:textId="6960349C" w:rsidR="00CE7F79" w:rsidRPr="006F5136" w:rsidRDefault="00CE7F79" w:rsidP="00CE7F79">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(e) fluxurile de numerar pe care debitorul le generează sunt previzibile și acoperă toate rambursările împrumuturilor viitoare pe durata </w:t>
            </w:r>
            <w:proofErr w:type="gramStart"/>
            <w:r w:rsidRPr="006F5136">
              <w:rPr>
                <w:rFonts w:ascii="Times New Roman" w:eastAsia="Arial Unicode MS" w:hAnsi="Times New Roman" w:cs="Times New Roman"/>
                <w:color w:val="000000" w:themeColor="text1"/>
                <w:sz w:val="18"/>
                <w:szCs w:val="18"/>
              </w:rPr>
              <w:t>împrumutului;</w:t>
            </w:r>
            <w:proofErr w:type="gramEnd"/>
          </w:p>
          <w:p w14:paraId="6F589445" w14:textId="77777777" w:rsidR="00CE7F79" w:rsidRPr="006F5136" w:rsidRDefault="00CE7F79" w:rsidP="00CE7F79">
            <w:pPr>
              <w:pStyle w:val="modref"/>
              <w:shd w:val="clear" w:color="auto" w:fill="FFFFFF"/>
              <w:spacing w:before="0" w:beforeAutospacing="0" w:after="0" w:afterAutospacing="0"/>
              <w:rPr>
                <w:rFonts w:eastAsia="Arial Unicode MS"/>
                <w:b/>
                <w:bCs/>
                <w:color w:val="000000" w:themeColor="text1"/>
                <w:sz w:val="18"/>
                <w:szCs w:val="18"/>
              </w:rPr>
            </w:pPr>
            <w:hyperlink r:id="rId51" w:tooltip="32024R1623: REPLACED" w:history="1">
              <w:r w:rsidRPr="006F5136">
                <w:rPr>
                  <w:rStyle w:val="Hyperlink"/>
                  <w:rFonts w:eastAsia="Arial Unicode MS"/>
                  <w:b/>
                  <w:bCs/>
                  <w:color w:val="000000" w:themeColor="text1"/>
                  <w:sz w:val="18"/>
                  <w:szCs w:val="18"/>
                </w:rPr>
                <w:t>▼M17</w:t>
              </w:r>
            </w:hyperlink>
          </w:p>
          <w:p w14:paraId="14C680D5" w14:textId="77777777" w:rsidR="000B4AB6" w:rsidRDefault="000B4AB6" w:rsidP="00CE7F79">
            <w:pPr>
              <w:shd w:val="clear" w:color="auto" w:fill="FFFFFF"/>
              <w:spacing w:after="0" w:line="240" w:lineRule="auto"/>
              <w:jc w:val="both"/>
              <w:rPr>
                <w:rFonts w:ascii="Times New Roman" w:eastAsia="Arial Unicode MS" w:hAnsi="Times New Roman" w:cs="Times New Roman"/>
                <w:color w:val="000000" w:themeColor="text1"/>
                <w:sz w:val="18"/>
                <w:szCs w:val="18"/>
              </w:rPr>
            </w:pPr>
          </w:p>
          <w:p w14:paraId="252CB055" w14:textId="68DD81B9" w:rsidR="00CE7F79" w:rsidRPr="006F5136" w:rsidRDefault="00CE7F79" w:rsidP="00CE7F79">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(f) riscul de refinanțare al debitorului este scăzut sau diminuat în mod corespunzător, luând în considerare orice subvenție, grant sau finanțare furnizată de una sau mai multe dintre entitățile menționate la alineatul (2) litera (b) punctele (i) și (ii</w:t>
            </w:r>
            <w:proofErr w:type="gramStart"/>
            <w:r w:rsidRPr="006F5136">
              <w:rPr>
                <w:rFonts w:ascii="Times New Roman" w:eastAsia="Arial Unicode MS" w:hAnsi="Times New Roman" w:cs="Times New Roman"/>
                <w:color w:val="000000" w:themeColor="text1"/>
                <w:sz w:val="18"/>
                <w:szCs w:val="18"/>
              </w:rPr>
              <w:t>);</w:t>
            </w:r>
            <w:proofErr w:type="gramEnd"/>
          </w:p>
          <w:p w14:paraId="5BB7D421" w14:textId="77777777" w:rsidR="00CE7F79" w:rsidRPr="006F5136" w:rsidRDefault="00CE7F79" w:rsidP="00133162">
            <w:pPr>
              <w:shd w:val="clear" w:color="auto" w:fill="FFFFFF"/>
              <w:spacing w:after="0" w:line="240" w:lineRule="auto"/>
              <w:jc w:val="both"/>
              <w:rPr>
                <w:rFonts w:ascii="Times New Roman" w:eastAsia="Arial Unicode MS" w:hAnsi="Times New Roman" w:cs="Times New Roman"/>
                <w:b/>
                <w:bCs/>
                <w:color w:val="000000" w:themeColor="text1"/>
                <w:sz w:val="18"/>
                <w:szCs w:val="18"/>
              </w:rPr>
            </w:pPr>
          </w:p>
        </w:tc>
        <w:tc>
          <w:tcPr>
            <w:tcW w:w="1661" w:type="pct"/>
          </w:tcPr>
          <w:p w14:paraId="142A87FE" w14:textId="469DB218" w:rsidR="00CE7F79" w:rsidRPr="004C0B55" w:rsidRDefault="00CE7F79" w:rsidP="00CE7F79">
            <w:pPr>
              <w:spacing w:after="0" w:line="240" w:lineRule="auto"/>
              <w:rPr>
                <w:rFonts w:ascii="Times New Roman" w:eastAsia="Times New Roman" w:hAnsi="Times New Roman" w:cs="Times New Roman"/>
                <w:b/>
                <w:bCs/>
                <w:sz w:val="20"/>
                <w:szCs w:val="20"/>
                <w:lang w:val="ro-RO" w:eastAsia="ro-MD"/>
              </w:rPr>
            </w:pPr>
            <w:r w:rsidRPr="004C0B55">
              <w:rPr>
                <w:rFonts w:ascii="Times New Roman" w:eastAsia="Times New Roman" w:hAnsi="Times New Roman" w:cs="Times New Roman"/>
                <w:b/>
                <w:bCs/>
                <w:sz w:val="20"/>
                <w:szCs w:val="20"/>
                <w:lang w:val="ro-RO" w:eastAsia="ro-MD"/>
              </w:rPr>
              <w:t>Capitolul V</w:t>
            </w:r>
            <w:r w:rsidRPr="004C0B55">
              <w:rPr>
                <w:rFonts w:ascii="Times New Roman" w:eastAsia="Times New Roman" w:hAnsi="Times New Roman" w:cs="Times New Roman"/>
                <w:b/>
                <w:bCs/>
                <w:sz w:val="20"/>
                <w:szCs w:val="20"/>
                <w:vertAlign w:val="superscript"/>
                <w:lang w:val="ro-RO" w:eastAsia="ro-MD"/>
              </w:rPr>
              <w:t>1</w:t>
            </w:r>
            <w:r w:rsidRPr="004C0B55">
              <w:rPr>
                <w:rFonts w:ascii="Times New Roman" w:eastAsia="Times New Roman" w:hAnsi="Times New Roman" w:cs="Times New Roman"/>
                <w:b/>
                <w:bCs/>
                <w:sz w:val="20"/>
                <w:szCs w:val="20"/>
                <w:lang w:val="ro-RO" w:eastAsia="ro-MD"/>
              </w:rPr>
              <w:t>.</w:t>
            </w:r>
            <w:r>
              <w:rPr>
                <w:rFonts w:ascii="Times New Roman" w:eastAsia="Times New Roman" w:hAnsi="Times New Roman" w:cs="Times New Roman"/>
                <w:b/>
                <w:bCs/>
                <w:sz w:val="20"/>
                <w:szCs w:val="20"/>
                <w:lang w:val="ro-RO" w:eastAsia="ro-MD"/>
              </w:rPr>
              <w:t xml:space="preserve"> </w:t>
            </w:r>
            <w:r w:rsidRPr="004C0B55">
              <w:rPr>
                <w:rFonts w:ascii="Times New Roman" w:eastAsia="Times New Roman" w:hAnsi="Times New Roman" w:cs="Times New Roman"/>
                <w:b/>
                <w:bCs/>
                <w:sz w:val="20"/>
                <w:szCs w:val="20"/>
                <w:lang w:val="ro-RO" w:eastAsia="ro-MD"/>
              </w:rPr>
              <w:t>Ajustarea cerințelor de fonduri proprii pentru riscul de credit pentru expunerile față de entități care operează sau finanțează structuri fizice sau facilități, sisteme și rețele care oferă sau sprijină servicii publice esențiale</w:t>
            </w:r>
          </w:p>
          <w:p w14:paraId="3EAFD33F" w14:textId="77777777" w:rsidR="00CE7F79" w:rsidRPr="004C0B55" w:rsidRDefault="00CE7F79" w:rsidP="00CE7F79">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b/>
                <w:bCs/>
                <w:sz w:val="20"/>
                <w:szCs w:val="20"/>
                <w:lang w:val="ro-RO" w:eastAsia="ro-MD"/>
              </w:rPr>
              <w:t>97</w:t>
            </w:r>
            <w:r w:rsidRPr="004C0B55">
              <w:rPr>
                <w:rFonts w:ascii="Times New Roman" w:eastAsia="Times New Roman" w:hAnsi="Times New Roman" w:cs="Times New Roman"/>
                <w:b/>
                <w:bCs/>
                <w:sz w:val="20"/>
                <w:szCs w:val="20"/>
                <w:vertAlign w:val="superscript"/>
                <w:lang w:val="ro-RO" w:eastAsia="ro-MD"/>
              </w:rPr>
              <w:t>1</w:t>
            </w:r>
            <w:r w:rsidRPr="004C0B55">
              <w:rPr>
                <w:rFonts w:ascii="Times New Roman" w:eastAsia="Times New Roman" w:hAnsi="Times New Roman" w:cs="Times New Roman"/>
                <w:b/>
                <w:bCs/>
                <w:sz w:val="20"/>
                <w:szCs w:val="20"/>
                <w:lang w:val="ro-RO" w:eastAsia="ro-MD"/>
              </w:rPr>
              <w:t>.</w:t>
            </w:r>
            <w:r w:rsidRPr="004C0B55">
              <w:rPr>
                <w:rFonts w:ascii="Arial Unicode MS" w:eastAsia="Arial Unicode MS" w:hAnsi="Arial Unicode MS" w:cs="Arial Unicode MS"/>
                <w:color w:val="333333"/>
                <w:sz w:val="20"/>
                <w:szCs w:val="20"/>
                <w:lang w:val="ro-RO" w:eastAsia="ru-RU"/>
              </w:rPr>
              <w:t xml:space="preserve"> </w:t>
            </w:r>
            <w:r w:rsidRPr="004C0B55">
              <w:rPr>
                <w:rFonts w:ascii="Times New Roman" w:eastAsia="Times New Roman" w:hAnsi="Times New Roman" w:cs="Times New Roman"/>
                <w:sz w:val="20"/>
                <w:szCs w:val="20"/>
                <w:lang w:val="ro-RO" w:eastAsia="ro-MD"/>
              </w:rPr>
              <w:t>Cerințele de fonduri proprii pentru riscul de credit se înmulțesc cu un factor de 0,75, cu condiția ca expunerea să îndeplinească cumulativ următoarele criterii:</w:t>
            </w:r>
          </w:p>
          <w:p w14:paraId="7A47E5A9" w14:textId="77777777" w:rsidR="00CE7F79" w:rsidRPr="004C0B55" w:rsidRDefault="00CE7F79" w:rsidP="00CE7F79">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1) expunerea este încadrată în clasa de expuneri față de societăți, menționată la punctul 11 subpunctul 7), fiind excluse expunerile aflate în stare de nerambursare;</w:t>
            </w:r>
          </w:p>
          <w:p w14:paraId="33427311" w14:textId="77777777" w:rsidR="00CE7F79" w:rsidRPr="004C0B55" w:rsidRDefault="00CE7F79" w:rsidP="00CE7F79">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2) expunerea este față de o entitate care a fost creată în mod special pentru a finanța sau a opera structurile fizice sau facilitățile, sistemele și rețelele care oferă sau sprijină servicii publice esențiale în acest sens;</w:t>
            </w:r>
          </w:p>
          <w:p w14:paraId="17451198" w14:textId="77777777" w:rsidR="00CE7F79" w:rsidRPr="004C0B55" w:rsidRDefault="00CE7F79" w:rsidP="00CE7F79">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3) sursa de rambursare a obligației este reprezentată pentru cel puțin două treimi din cuantumul său de venitul generat de activele finanțate, și nu de capacitatea independentă de rambursare a societății în sens mai larg sau de subvenții, granturi sau finanțare furnizate de una sau mai multe dintre entitățile enumerate la punctul 97</w:t>
            </w:r>
            <w:r w:rsidRPr="004C0B55">
              <w:rPr>
                <w:rFonts w:ascii="Times New Roman" w:eastAsia="Times New Roman" w:hAnsi="Times New Roman" w:cs="Times New Roman"/>
                <w:sz w:val="20"/>
                <w:szCs w:val="20"/>
                <w:vertAlign w:val="superscript"/>
                <w:lang w:val="ro-RO" w:eastAsia="ro-MD"/>
              </w:rPr>
              <w:t>2</w:t>
            </w:r>
            <w:r w:rsidRPr="004C0B55">
              <w:rPr>
                <w:rFonts w:ascii="Times New Roman" w:eastAsia="Times New Roman" w:hAnsi="Times New Roman" w:cs="Times New Roman"/>
                <w:b/>
                <w:bCs/>
                <w:sz w:val="20"/>
                <w:szCs w:val="20"/>
                <w:lang w:val="ro-RO" w:eastAsia="ro-MD"/>
              </w:rPr>
              <w:t xml:space="preserve"> </w:t>
            </w:r>
            <w:r w:rsidRPr="004C0B55">
              <w:rPr>
                <w:rFonts w:ascii="Times New Roman" w:eastAsia="Times New Roman" w:hAnsi="Times New Roman" w:cs="Times New Roman"/>
                <w:sz w:val="20"/>
                <w:szCs w:val="20"/>
                <w:lang w:val="ro-RO" w:eastAsia="ro-MD"/>
              </w:rPr>
              <w:t>subpunctul 2) literele a) și b);</w:t>
            </w:r>
          </w:p>
          <w:p w14:paraId="4FC0B375" w14:textId="77777777" w:rsidR="00CE7F79" w:rsidRPr="004C0B55" w:rsidRDefault="00CE7F79" w:rsidP="00CE7F79">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4) debitorul poate să își onoreze obligațiile financiare chiar și în condiții de criză gravă care sunt relevante pentru riscul proiectului;</w:t>
            </w:r>
          </w:p>
          <w:p w14:paraId="2EB17508" w14:textId="77777777" w:rsidR="00CE7F79" w:rsidRPr="004C0B55" w:rsidRDefault="00CE7F79" w:rsidP="00CE7F79">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5) fluxurile de numerar pe care debitorul le generează sunt previzibile și acoperă toate rambursările creditelor viitoare pe durata creditului;</w:t>
            </w:r>
          </w:p>
          <w:p w14:paraId="68E39277" w14:textId="77777777" w:rsidR="00CE7F79" w:rsidRDefault="00CE7F79" w:rsidP="00CE7F79">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6) riscul de refinanțare al debitorului este scăzut sau diminuat în mod corespunzător, luând în considerare orice subvenție, grant sau finanțare furnizată de una sau mai multe dintre entitățile menționate la punctul 97</w:t>
            </w:r>
            <w:r w:rsidRPr="004C0B55">
              <w:rPr>
                <w:rFonts w:ascii="Times New Roman" w:eastAsia="Times New Roman" w:hAnsi="Times New Roman" w:cs="Times New Roman"/>
                <w:sz w:val="20"/>
                <w:szCs w:val="20"/>
                <w:vertAlign w:val="superscript"/>
                <w:lang w:val="ro-RO" w:eastAsia="ro-MD"/>
              </w:rPr>
              <w:t>2</w:t>
            </w:r>
            <w:r w:rsidRPr="004C0B55">
              <w:rPr>
                <w:rFonts w:ascii="Times New Roman" w:eastAsia="Times New Roman" w:hAnsi="Times New Roman" w:cs="Times New Roman"/>
                <w:b/>
                <w:bCs/>
                <w:sz w:val="20"/>
                <w:szCs w:val="20"/>
                <w:lang w:val="ro-RO" w:eastAsia="ro-MD"/>
              </w:rPr>
              <w:t xml:space="preserve"> </w:t>
            </w:r>
            <w:r w:rsidRPr="004C0B55">
              <w:rPr>
                <w:rFonts w:ascii="Times New Roman" w:eastAsia="Times New Roman" w:hAnsi="Times New Roman" w:cs="Times New Roman"/>
                <w:sz w:val="20"/>
                <w:szCs w:val="20"/>
                <w:lang w:val="ro-RO" w:eastAsia="ro-MD"/>
              </w:rPr>
              <w:t>subpunctul 2) literele a) și b);</w:t>
            </w:r>
          </w:p>
          <w:p w14:paraId="485BE444" w14:textId="0850E9A3" w:rsidR="00133162" w:rsidRPr="004C0B55" w:rsidRDefault="00133162" w:rsidP="00CE7F79">
            <w:pPr>
              <w:spacing w:after="0" w:line="240" w:lineRule="auto"/>
              <w:jc w:val="both"/>
              <w:rPr>
                <w:rFonts w:ascii="Times New Roman" w:eastAsia="Times New Roman" w:hAnsi="Times New Roman" w:cs="Times New Roman"/>
                <w:sz w:val="20"/>
                <w:szCs w:val="20"/>
                <w:lang w:val="ro-RO" w:eastAsia="ro-MD"/>
              </w:rPr>
            </w:pPr>
            <w:r w:rsidRPr="006F5136">
              <w:rPr>
                <w:rFonts w:ascii="Times New Roman" w:eastAsia="Times New Roman" w:hAnsi="Times New Roman" w:cs="Times New Roman"/>
                <w:i/>
                <w:iCs/>
                <w:sz w:val="18"/>
                <w:szCs w:val="18"/>
                <w:lang w:val="ro-RO" w:eastAsia="ro-MD"/>
              </w:rPr>
              <w:t>Proiectul HCE al BNM privind modificarea Regulamentului nr.111/2018</w:t>
            </w:r>
          </w:p>
          <w:p w14:paraId="3651ECE7" w14:textId="31B2FB3B" w:rsidR="00CE7F79" w:rsidRPr="00133162" w:rsidRDefault="00CE7F79" w:rsidP="00133162">
            <w:pPr>
              <w:spacing w:after="0" w:line="240" w:lineRule="auto"/>
              <w:jc w:val="both"/>
              <w:rPr>
                <w:rFonts w:ascii="Times New Roman" w:eastAsia="Times New Roman" w:hAnsi="Times New Roman" w:cs="Times New Roman"/>
                <w:i/>
                <w:iCs/>
                <w:sz w:val="18"/>
                <w:szCs w:val="18"/>
                <w:lang w:val="ro-RO" w:eastAsia="ro-MD"/>
              </w:rPr>
            </w:pPr>
          </w:p>
        </w:tc>
        <w:tc>
          <w:tcPr>
            <w:tcW w:w="503" w:type="pct"/>
          </w:tcPr>
          <w:p w14:paraId="7FFA1781" w14:textId="182FC06A" w:rsidR="00CE7F79" w:rsidRPr="00CB3F3F" w:rsidRDefault="00CE7F79" w:rsidP="00CE7F79">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Compatibil</w:t>
            </w:r>
          </w:p>
        </w:tc>
        <w:tc>
          <w:tcPr>
            <w:tcW w:w="912" w:type="pct"/>
          </w:tcPr>
          <w:p w14:paraId="3864BBE8" w14:textId="7AF567D0" w:rsidR="00CE7F79" w:rsidRPr="00CB3F3F" w:rsidRDefault="00CE7F79" w:rsidP="00CE7F79">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Regulamentul nr.111/2018</w:t>
            </w:r>
          </w:p>
        </w:tc>
      </w:tr>
      <w:tr w:rsidR="00133162" w:rsidRPr="006F5136" w14:paraId="5C34614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B63A5EE" w14:textId="77777777" w:rsidR="00133162" w:rsidRPr="006F5136" w:rsidRDefault="00133162" w:rsidP="00133162">
            <w:pPr>
              <w:pStyle w:val="modref"/>
              <w:shd w:val="clear" w:color="auto" w:fill="FFFFFF"/>
              <w:spacing w:before="0" w:beforeAutospacing="0" w:after="0" w:afterAutospacing="0"/>
              <w:rPr>
                <w:rFonts w:eastAsia="Arial Unicode MS"/>
                <w:b/>
                <w:bCs/>
                <w:color w:val="000000" w:themeColor="text1"/>
                <w:sz w:val="18"/>
                <w:szCs w:val="18"/>
              </w:rPr>
            </w:pPr>
            <w:hyperlink r:id="rId52" w:tooltip="32019R0876: INSERTED" w:history="1">
              <w:r w:rsidRPr="006F5136">
                <w:rPr>
                  <w:rStyle w:val="Hyperlink"/>
                  <w:rFonts w:eastAsia="Arial Unicode MS"/>
                  <w:b/>
                  <w:bCs/>
                  <w:color w:val="000000" w:themeColor="text1"/>
                  <w:sz w:val="18"/>
                  <w:szCs w:val="18"/>
                </w:rPr>
                <w:t>▼M8</w:t>
              </w:r>
            </w:hyperlink>
          </w:p>
          <w:p w14:paraId="38E191A0" w14:textId="77777777" w:rsidR="00133162"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p>
          <w:p w14:paraId="409C6BD6" w14:textId="77777777" w:rsidR="00133162" w:rsidRPr="006F5136"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(g) dispozițiile contractuale oferă creditorilor un înalt grad de protecție, inclusiv în ceea ce privește următoarele elemente:</w:t>
            </w:r>
          </w:p>
          <w:p w14:paraId="4BE1B9DF" w14:textId="77777777" w:rsidR="00133162" w:rsidRPr="006F5136"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(i) în cazul în care veniturile debitorului nu sunt finanțate prin plăți provenind de la un număr mare de utilizatori, dispozițiile contractuale includ dispoziții care protejează efectiv creditorii împotriva pierderilor rezultate din încetarea proiectului de către partea care acceptă să cumpere bunurile sau serviciile furnizate de către </w:t>
            </w:r>
            <w:proofErr w:type="gramStart"/>
            <w:r w:rsidRPr="006F5136">
              <w:rPr>
                <w:rFonts w:ascii="Times New Roman" w:eastAsia="Arial Unicode MS" w:hAnsi="Times New Roman" w:cs="Times New Roman"/>
                <w:color w:val="000000" w:themeColor="text1"/>
                <w:sz w:val="18"/>
                <w:szCs w:val="18"/>
              </w:rPr>
              <w:t>debitor;</w:t>
            </w:r>
            <w:proofErr w:type="gramEnd"/>
          </w:p>
          <w:p w14:paraId="2DA484A4" w14:textId="77777777" w:rsidR="00133162"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p>
          <w:p w14:paraId="1B815F3F" w14:textId="77777777" w:rsidR="00133162"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p>
          <w:p w14:paraId="4D2FBB4B" w14:textId="77777777" w:rsidR="00133162" w:rsidRPr="006F5136"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(ii) debitorul are suficiente fonduri de rezervă, finanțate în totalitate cu numerar sau prin alte aranjamente financiare cu garanți cu rating ridicat, pentru </w:t>
            </w:r>
            <w:proofErr w:type="gramStart"/>
            <w:r w:rsidRPr="006F5136">
              <w:rPr>
                <w:rFonts w:ascii="Times New Roman" w:eastAsia="Arial Unicode MS" w:hAnsi="Times New Roman" w:cs="Times New Roman"/>
                <w:color w:val="000000" w:themeColor="text1"/>
                <w:sz w:val="18"/>
                <w:szCs w:val="18"/>
              </w:rPr>
              <w:t>a</w:t>
            </w:r>
            <w:proofErr w:type="gramEnd"/>
            <w:r w:rsidRPr="006F5136">
              <w:rPr>
                <w:rFonts w:ascii="Times New Roman" w:eastAsia="Arial Unicode MS" w:hAnsi="Times New Roman" w:cs="Times New Roman"/>
                <w:color w:val="000000" w:themeColor="text1"/>
                <w:sz w:val="18"/>
                <w:szCs w:val="18"/>
              </w:rPr>
              <w:t xml:space="preserve"> acoperi cerințele în materie de finanțare de urgență și de capital circulant pe durata de viață </w:t>
            </w:r>
            <w:proofErr w:type="gramStart"/>
            <w:r w:rsidRPr="006F5136">
              <w:rPr>
                <w:rFonts w:ascii="Times New Roman" w:eastAsia="Arial Unicode MS" w:hAnsi="Times New Roman" w:cs="Times New Roman"/>
                <w:color w:val="000000" w:themeColor="text1"/>
                <w:sz w:val="18"/>
                <w:szCs w:val="18"/>
              </w:rPr>
              <w:t>a</w:t>
            </w:r>
            <w:proofErr w:type="gramEnd"/>
            <w:r w:rsidRPr="006F5136">
              <w:rPr>
                <w:rFonts w:ascii="Times New Roman" w:eastAsia="Arial Unicode MS" w:hAnsi="Times New Roman" w:cs="Times New Roman"/>
                <w:color w:val="000000" w:themeColor="text1"/>
                <w:sz w:val="18"/>
                <w:szCs w:val="18"/>
              </w:rPr>
              <w:t xml:space="preserve"> activelor menționate la litera (b) de la prezentul </w:t>
            </w:r>
            <w:proofErr w:type="gramStart"/>
            <w:r w:rsidRPr="006F5136">
              <w:rPr>
                <w:rFonts w:ascii="Times New Roman" w:eastAsia="Arial Unicode MS" w:hAnsi="Times New Roman" w:cs="Times New Roman"/>
                <w:color w:val="000000" w:themeColor="text1"/>
                <w:sz w:val="18"/>
                <w:szCs w:val="18"/>
              </w:rPr>
              <w:t>alineat;</w:t>
            </w:r>
            <w:proofErr w:type="gramEnd"/>
          </w:p>
          <w:p w14:paraId="3B310A0F" w14:textId="77777777" w:rsidR="00133162"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p>
          <w:p w14:paraId="635BA4CF" w14:textId="77777777" w:rsidR="00133162" w:rsidRPr="006F5136"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(iii) creditorii au un grad substanțial de control asupra activelor și a veniturilor generate de către </w:t>
            </w:r>
            <w:proofErr w:type="gramStart"/>
            <w:r w:rsidRPr="006F5136">
              <w:rPr>
                <w:rFonts w:ascii="Times New Roman" w:eastAsia="Arial Unicode MS" w:hAnsi="Times New Roman" w:cs="Times New Roman"/>
                <w:color w:val="000000" w:themeColor="text1"/>
                <w:sz w:val="18"/>
                <w:szCs w:val="18"/>
              </w:rPr>
              <w:t>debitor;</w:t>
            </w:r>
            <w:proofErr w:type="gramEnd"/>
          </w:p>
          <w:p w14:paraId="4DCE7E5A" w14:textId="77777777" w:rsidR="00133162" w:rsidRPr="006F5136"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(iv) creditorii sunt beneficiarii garanțiilor, în măsura permisă de legislația aplicabilă, în ceea ce privește activele și contractele esențiale pentru activitatea legată de infrastructură sau dispun de mecanisme alternative pentru a-și garanta </w:t>
            </w:r>
            <w:proofErr w:type="gramStart"/>
            <w:r w:rsidRPr="006F5136">
              <w:rPr>
                <w:rFonts w:ascii="Times New Roman" w:eastAsia="Arial Unicode MS" w:hAnsi="Times New Roman" w:cs="Times New Roman"/>
                <w:color w:val="000000" w:themeColor="text1"/>
                <w:sz w:val="18"/>
                <w:szCs w:val="18"/>
              </w:rPr>
              <w:t>poziția;</w:t>
            </w:r>
            <w:proofErr w:type="gramEnd"/>
          </w:p>
          <w:p w14:paraId="60569969" w14:textId="77777777" w:rsidR="00133162" w:rsidRPr="006F5136"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(v) capitalurile proprii sunt gajate în favoarea creditorilor, astfel încât aceștia să fie în măsură să preia controlul entității în caz de </w:t>
            </w:r>
            <w:proofErr w:type="gramStart"/>
            <w:r w:rsidRPr="006F5136">
              <w:rPr>
                <w:rFonts w:ascii="Times New Roman" w:eastAsia="Arial Unicode MS" w:hAnsi="Times New Roman" w:cs="Times New Roman"/>
                <w:color w:val="000000" w:themeColor="text1"/>
                <w:sz w:val="18"/>
                <w:szCs w:val="18"/>
              </w:rPr>
              <w:t>nerambursare;</w:t>
            </w:r>
            <w:proofErr w:type="gramEnd"/>
          </w:p>
          <w:p w14:paraId="75484894" w14:textId="77777777" w:rsidR="00133162"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p>
          <w:p w14:paraId="71154422" w14:textId="77777777" w:rsidR="00133162" w:rsidRPr="006F5136"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(vi) utilizarea fluxurilor de trezorerie nete din activități de exploatare după efectuarea plăților obligatorii din proiect în alte scopuri decât pentru obligațiile legate de serviciul datoriei este </w:t>
            </w:r>
            <w:proofErr w:type="gramStart"/>
            <w:r w:rsidRPr="006F5136">
              <w:rPr>
                <w:rFonts w:ascii="Times New Roman" w:eastAsia="Arial Unicode MS" w:hAnsi="Times New Roman" w:cs="Times New Roman"/>
                <w:color w:val="000000" w:themeColor="text1"/>
                <w:sz w:val="18"/>
                <w:szCs w:val="18"/>
              </w:rPr>
              <w:t>restricționată;</w:t>
            </w:r>
            <w:proofErr w:type="gramEnd"/>
          </w:p>
          <w:p w14:paraId="57E3BB9E" w14:textId="77777777" w:rsidR="00133162"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p>
          <w:p w14:paraId="56A1928F" w14:textId="77777777" w:rsidR="00133162" w:rsidRPr="006F5136"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(vii) există restricții contractuale privind capacitatea debitorului de a desfășura activități care ar putea fi în detrimentul creditorilor, inclusiv restricția potrivit căreia nu pot fi emise noi titluri de datorie fără consimțământul furnizorilor de titluri de datorie </w:t>
            </w:r>
            <w:proofErr w:type="gramStart"/>
            <w:r w:rsidRPr="006F5136">
              <w:rPr>
                <w:rFonts w:ascii="Times New Roman" w:eastAsia="Arial Unicode MS" w:hAnsi="Times New Roman" w:cs="Times New Roman"/>
                <w:color w:val="000000" w:themeColor="text1"/>
                <w:sz w:val="18"/>
                <w:szCs w:val="18"/>
              </w:rPr>
              <w:t>existenți;</w:t>
            </w:r>
            <w:proofErr w:type="gramEnd"/>
          </w:p>
          <w:p w14:paraId="2945D3D2" w14:textId="77777777" w:rsidR="00133162" w:rsidRPr="006F5136" w:rsidRDefault="00133162" w:rsidP="00133162">
            <w:pPr>
              <w:pStyle w:val="modref"/>
              <w:shd w:val="clear" w:color="auto" w:fill="FFFFFF"/>
              <w:spacing w:before="0" w:beforeAutospacing="0" w:after="0" w:afterAutospacing="0"/>
              <w:rPr>
                <w:rFonts w:eastAsia="Arial Unicode MS"/>
                <w:b/>
                <w:bCs/>
                <w:color w:val="000000" w:themeColor="text1"/>
                <w:sz w:val="18"/>
                <w:szCs w:val="18"/>
              </w:rPr>
            </w:pPr>
          </w:p>
        </w:tc>
        <w:tc>
          <w:tcPr>
            <w:tcW w:w="1661" w:type="pct"/>
          </w:tcPr>
          <w:p w14:paraId="3A5CE6B8" w14:textId="77777777" w:rsidR="00133162" w:rsidRPr="004C0B55" w:rsidRDefault="00133162" w:rsidP="00133162">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7) dispozițiile contractuale oferă creditorilor un înalt grad de protecție, inclusiv în ceea ce privește următoarele elemente:</w:t>
            </w:r>
          </w:p>
          <w:p w14:paraId="190BE3FB" w14:textId="77777777" w:rsidR="00133162" w:rsidRPr="004C0B55" w:rsidRDefault="00133162" w:rsidP="00133162">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a) în cazul în care veniturile debitorului nu sunt finanțate prin plăți provenind de la un număr mare de utilizatori, dispozițiile contractuale includ dispoziții care protejează efectiv creditorii împotriva pierderilor rezultate din încetarea proiectului de către partea care acceptă să cumpere bunurile sau serviciile furnizate de către debitor;</w:t>
            </w:r>
          </w:p>
          <w:p w14:paraId="7835E46E" w14:textId="77777777" w:rsidR="00133162" w:rsidRPr="004C0B55" w:rsidRDefault="00133162" w:rsidP="00133162">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b) debitorul are suficiente fonduri de rezervă, finanțate în totalitate cu numerar sau prin alte aranjamente financiare cu garanți cu rating ridicat, pentru a acoperi cerințele în materie de finanțare de urgență și de capital circulant pe durata de viață a activelor menționate la subpunctul 2);</w:t>
            </w:r>
          </w:p>
          <w:p w14:paraId="46893E68" w14:textId="77777777" w:rsidR="00133162" w:rsidRPr="004C0B55" w:rsidRDefault="00133162" w:rsidP="00133162">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c) creditorii au un grad substanțial de control asupra activelor și a veniturilor generate de către debitor;</w:t>
            </w:r>
          </w:p>
          <w:p w14:paraId="1A2BEBBB" w14:textId="77777777" w:rsidR="00133162" w:rsidRPr="004C0B55" w:rsidRDefault="00133162" w:rsidP="00133162">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d) creditorii sunt beneficiarii garanțiilor, în măsura permisă de legislația aplicabilă, în ceea ce privește activele și contractele esențiale pentru activitatea legată de infrastructură sau dispun de mecanisme alternative pentru a-și garanta poziția;</w:t>
            </w:r>
          </w:p>
          <w:p w14:paraId="21FF3782" w14:textId="77777777" w:rsidR="00133162" w:rsidRPr="004C0B55" w:rsidRDefault="00133162" w:rsidP="00133162">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e) capitalurile proprii sunt gajate în favoarea creditorilor, astfel încât aceștia să fie în măsură să preia controlul entității în caz de nerambursare;</w:t>
            </w:r>
          </w:p>
          <w:p w14:paraId="57013025" w14:textId="77777777" w:rsidR="00133162" w:rsidRPr="004C0B55" w:rsidRDefault="00133162" w:rsidP="00133162">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f) utilizarea fluxurilor de trezorerie nete din activități de exploatare după efectuarea plăților obligatorii din proiect în alte scopuri decât pentru obligațiile legate de serviciul datoriei este restricționată;</w:t>
            </w:r>
          </w:p>
          <w:p w14:paraId="63A0E4F0" w14:textId="77777777" w:rsidR="00133162" w:rsidRDefault="00133162" w:rsidP="00133162">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g) există restricții contractuale privind capacitatea debitorului de a desfășura activități care ar putea fi în detrimentul creditorilor, inclusiv restricția potrivit căreia nu pot fi emise noi titluri de datorie fără consimțământul furnizorilor de titluri de datorie existenți;</w:t>
            </w:r>
          </w:p>
          <w:p w14:paraId="76DBED49" w14:textId="2E7BC1CD" w:rsidR="00133162" w:rsidRPr="004C0B55" w:rsidRDefault="00133162" w:rsidP="00133162">
            <w:pPr>
              <w:spacing w:after="0" w:line="240" w:lineRule="auto"/>
              <w:rPr>
                <w:rFonts w:ascii="Times New Roman" w:eastAsia="Times New Roman" w:hAnsi="Times New Roman" w:cs="Times New Roman"/>
                <w:b/>
                <w:bCs/>
                <w:sz w:val="20"/>
                <w:szCs w:val="20"/>
                <w:lang w:val="ro-RO" w:eastAsia="ro-MD"/>
              </w:rPr>
            </w:pPr>
            <w:r w:rsidRPr="006F5136">
              <w:rPr>
                <w:rFonts w:ascii="Times New Roman" w:eastAsia="Times New Roman" w:hAnsi="Times New Roman" w:cs="Times New Roman"/>
                <w:i/>
                <w:iCs/>
                <w:sz w:val="18"/>
                <w:szCs w:val="18"/>
                <w:lang w:val="ro-RO" w:eastAsia="ro-MD"/>
              </w:rPr>
              <w:t>Proiectul HCE al BNM privind modificarea Regulamentului nr.111/2018</w:t>
            </w:r>
          </w:p>
        </w:tc>
        <w:tc>
          <w:tcPr>
            <w:tcW w:w="503" w:type="pct"/>
          </w:tcPr>
          <w:p w14:paraId="6E2B0D17" w14:textId="592228AE" w:rsidR="00133162" w:rsidRPr="00CB3F3F" w:rsidRDefault="00133162" w:rsidP="00133162">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Compatibil</w:t>
            </w:r>
          </w:p>
        </w:tc>
        <w:tc>
          <w:tcPr>
            <w:tcW w:w="912" w:type="pct"/>
          </w:tcPr>
          <w:p w14:paraId="04A22A10" w14:textId="0E7F6F3F" w:rsidR="00133162" w:rsidRPr="00CB3F3F" w:rsidRDefault="00133162" w:rsidP="00133162">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Regulamentul nr.111/2018</w:t>
            </w:r>
          </w:p>
        </w:tc>
      </w:tr>
      <w:tr w:rsidR="00133162" w:rsidRPr="006F5136" w14:paraId="516A241C"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C60953C" w14:textId="77777777" w:rsidR="00133162" w:rsidRPr="006F5136"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(h) obligația are rang prioritar față de toate celelalte creanțe, altele decât creanțele statutare și creanțele contrapărților aferente instrumentelor financiare </w:t>
            </w:r>
            <w:proofErr w:type="gramStart"/>
            <w:r w:rsidRPr="006F5136">
              <w:rPr>
                <w:rFonts w:ascii="Times New Roman" w:eastAsia="Arial Unicode MS" w:hAnsi="Times New Roman" w:cs="Times New Roman"/>
                <w:color w:val="000000" w:themeColor="text1"/>
                <w:sz w:val="18"/>
                <w:szCs w:val="18"/>
              </w:rPr>
              <w:t>derivate;</w:t>
            </w:r>
            <w:proofErr w:type="gramEnd"/>
          </w:p>
          <w:p w14:paraId="27E22E37" w14:textId="77777777" w:rsidR="00133162" w:rsidRPr="006F5136" w:rsidRDefault="00133162" w:rsidP="00133162">
            <w:pPr>
              <w:pStyle w:val="modref"/>
              <w:shd w:val="clear" w:color="auto" w:fill="FFFFFF"/>
              <w:spacing w:before="0" w:beforeAutospacing="0" w:after="0" w:afterAutospacing="0"/>
              <w:rPr>
                <w:rFonts w:eastAsia="Arial Unicode MS"/>
                <w:b/>
                <w:bCs/>
                <w:color w:val="000000" w:themeColor="text1"/>
                <w:sz w:val="18"/>
                <w:szCs w:val="18"/>
              </w:rPr>
            </w:pPr>
          </w:p>
        </w:tc>
        <w:tc>
          <w:tcPr>
            <w:tcW w:w="1661" w:type="pct"/>
          </w:tcPr>
          <w:p w14:paraId="1D4C9745" w14:textId="77777777" w:rsidR="00133162" w:rsidRPr="004C0B55" w:rsidRDefault="00133162" w:rsidP="00133162">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8) obligația are rang prioritar față de toate celelalte creanțe, altele decât creanțele statutare și creanțele contrapărților aferente instrumentelor financiare derivate;</w:t>
            </w:r>
          </w:p>
          <w:p w14:paraId="2B13C342" w14:textId="4049DB44" w:rsidR="00133162" w:rsidRPr="00133162" w:rsidRDefault="00133162" w:rsidP="00133162">
            <w:pPr>
              <w:spacing w:after="0" w:line="240" w:lineRule="auto"/>
              <w:jc w:val="both"/>
              <w:rPr>
                <w:rFonts w:ascii="Times New Roman" w:eastAsia="Times New Roman" w:hAnsi="Times New Roman" w:cs="Times New Roman"/>
                <w:i/>
                <w:iCs/>
                <w:sz w:val="18"/>
                <w:szCs w:val="18"/>
                <w:lang w:val="ro-RO" w:eastAsia="ro-MD"/>
              </w:rPr>
            </w:pPr>
            <w:r w:rsidRPr="006F5136">
              <w:rPr>
                <w:rFonts w:ascii="Times New Roman" w:eastAsia="Times New Roman" w:hAnsi="Times New Roman" w:cs="Times New Roman"/>
                <w:i/>
                <w:iCs/>
                <w:sz w:val="18"/>
                <w:szCs w:val="18"/>
                <w:lang w:val="ro-RO" w:eastAsia="ro-MD"/>
              </w:rPr>
              <w:t>Proiectul HCE al BNM privind modificarea Regulamentului nr.111/2018</w:t>
            </w:r>
          </w:p>
        </w:tc>
        <w:tc>
          <w:tcPr>
            <w:tcW w:w="503" w:type="pct"/>
          </w:tcPr>
          <w:p w14:paraId="30367532" w14:textId="50E1311B" w:rsidR="00133162" w:rsidRPr="00CB3F3F" w:rsidRDefault="00133162" w:rsidP="00133162">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Compatibil</w:t>
            </w:r>
          </w:p>
        </w:tc>
        <w:tc>
          <w:tcPr>
            <w:tcW w:w="912" w:type="pct"/>
          </w:tcPr>
          <w:p w14:paraId="343ADE2D" w14:textId="6A25B917" w:rsidR="00133162" w:rsidRPr="00CB3F3F" w:rsidRDefault="00133162" w:rsidP="00133162">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Regulamentul nr.111/2018</w:t>
            </w:r>
          </w:p>
        </w:tc>
      </w:tr>
      <w:tr w:rsidR="00133162" w:rsidRPr="006F5136" w14:paraId="7B7A0D0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3E066BD" w14:textId="77777777" w:rsidR="00133162" w:rsidRPr="006F5136"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(i) în cazul în care debitorul se află în etapa de construcție, investitorul în titluri de capital sau, în cazul în care există mai mult de un investitor în titluri de capital, grupul de investitori în titluri de capital, considerați împreună, îndeplinește următoarele criterii:</w:t>
            </w:r>
          </w:p>
          <w:p w14:paraId="52D21EA0" w14:textId="77777777" w:rsidR="00133162"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p>
          <w:p w14:paraId="61EDC248" w14:textId="77777777" w:rsidR="00133162" w:rsidRPr="006F5136"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(i) investitorii în titluri de capital au un istoric de proiecte de infrastructură supravegheate cu succes, capacitate financiară și competență în </w:t>
            </w:r>
            <w:proofErr w:type="gramStart"/>
            <w:r w:rsidRPr="006F5136">
              <w:rPr>
                <w:rFonts w:ascii="Times New Roman" w:eastAsia="Arial Unicode MS" w:hAnsi="Times New Roman" w:cs="Times New Roman"/>
                <w:color w:val="000000" w:themeColor="text1"/>
                <w:sz w:val="18"/>
                <w:szCs w:val="18"/>
              </w:rPr>
              <w:t>domeniu;</w:t>
            </w:r>
            <w:proofErr w:type="gramEnd"/>
          </w:p>
          <w:p w14:paraId="79431C0B" w14:textId="77777777" w:rsidR="00133162" w:rsidRPr="006F5136"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(ii) investitorii în titluri de capital au un risc scăzut de nerambursare sau există un risc scăzut de pierderi semnificative pentru debitor ca urmare </w:t>
            </w:r>
            <w:proofErr w:type="gramStart"/>
            <w:r w:rsidRPr="006F5136">
              <w:rPr>
                <w:rFonts w:ascii="Times New Roman" w:eastAsia="Arial Unicode MS" w:hAnsi="Times New Roman" w:cs="Times New Roman"/>
                <w:color w:val="000000" w:themeColor="text1"/>
                <w:sz w:val="18"/>
                <w:szCs w:val="18"/>
              </w:rPr>
              <w:t>a</w:t>
            </w:r>
            <w:proofErr w:type="gramEnd"/>
            <w:r w:rsidRPr="006F5136">
              <w:rPr>
                <w:rFonts w:ascii="Times New Roman" w:eastAsia="Arial Unicode MS" w:hAnsi="Times New Roman" w:cs="Times New Roman"/>
                <w:color w:val="000000" w:themeColor="text1"/>
                <w:sz w:val="18"/>
                <w:szCs w:val="18"/>
              </w:rPr>
              <w:t xml:space="preserve"> intrării acestora în stare de </w:t>
            </w:r>
            <w:proofErr w:type="gramStart"/>
            <w:r w:rsidRPr="006F5136">
              <w:rPr>
                <w:rFonts w:ascii="Times New Roman" w:eastAsia="Arial Unicode MS" w:hAnsi="Times New Roman" w:cs="Times New Roman"/>
                <w:color w:val="000000" w:themeColor="text1"/>
                <w:sz w:val="18"/>
                <w:szCs w:val="18"/>
              </w:rPr>
              <w:t>nerambursare;</w:t>
            </w:r>
            <w:proofErr w:type="gramEnd"/>
          </w:p>
          <w:p w14:paraId="1E97D4AC" w14:textId="77777777" w:rsidR="00133162"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p>
          <w:p w14:paraId="41C69BEF" w14:textId="77777777" w:rsidR="00133162" w:rsidRPr="006F5136" w:rsidRDefault="00133162" w:rsidP="00133162">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(iii) există mecanisme adecvate pentru </w:t>
            </w:r>
            <w:proofErr w:type="gramStart"/>
            <w:r w:rsidRPr="006F5136">
              <w:rPr>
                <w:rFonts w:ascii="Times New Roman" w:eastAsia="Arial Unicode MS" w:hAnsi="Times New Roman" w:cs="Times New Roman"/>
                <w:color w:val="000000" w:themeColor="text1"/>
                <w:sz w:val="18"/>
                <w:szCs w:val="18"/>
              </w:rPr>
              <w:t>a</w:t>
            </w:r>
            <w:proofErr w:type="gramEnd"/>
            <w:r w:rsidRPr="006F5136">
              <w:rPr>
                <w:rFonts w:ascii="Times New Roman" w:eastAsia="Arial Unicode MS" w:hAnsi="Times New Roman" w:cs="Times New Roman"/>
                <w:color w:val="000000" w:themeColor="text1"/>
                <w:sz w:val="18"/>
                <w:szCs w:val="18"/>
              </w:rPr>
              <w:t xml:space="preserve"> alinia interesul investitorilor în titluri de capital cu interesele </w:t>
            </w:r>
            <w:proofErr w:type="gramStart"/>
            <w:r w:rsidRPr="006F5136">
              <w:rPr>
                <w:rFonts w:ascii="Times New Roman" w:eastAsia="Arial Unicode MS" w:hAnsi="Times New Roman" w:cs="Times New Roman"/>
                <w:color w:val="000000" w:themeColor="text1"/>
                <w:sz w:val="18"/>
                <w:szCs w:val="18"/>
              </w:rPr>
              <w:t>creditorilor;</w:t>
            </w:r>
            <w:proofErr w:type="gramEnd"/>
          </w:p>
          <w:p w14:paraId="5DCC1EF0" w14:textId="77777777" w:rsidR="00133162" w:rsidRPr="006F5136" w:rsidRDefault="00133162" w:rsidP="00133162">
            <w:pPr>
              <w:pStyle w:val="modref"/>
              <w:shd w:val="clear" w:color="auto" w:fill="FFFFFF"/>
              <w:spacing w:before="0" w:beforeAutospacing="0" w:after="0" w:afterAutospacing="0"/>
              <w:rPr>
                <w:rFonts w:eastAsia="Arial Unicode MS"/>
                <w:b/>
                <w:bCs/>
                <w:color w:val="000000" w:themeColor="text1"/>
                <w:sz w:val="18"/>
                <w:szCs w:val="18"/>
              </w:rPr>
            </w:pPr>
          </w:p>
        </w:tc>
        <w:tc>
          <w:tcPr>
            <w:tcW w:w="1661" w:type="pct"/>
          </w:tcPr>
          <w:p w14:paraId="7B18135B" w14:textId="77777777" w:rsidR="00133162" w:rsidRPr="004C0B55" w:rsidRDefault="00133162" w:rsidP="00133162">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9) în cazul în care debitorul se află în etapa de construcție, investitorul în titluri de capital sau, în cazul în care există mai mult de un investitor în titluri de capital, grupul de investitori în titluri de capital, considerați împreună, îndeplinește următoarele criterii:</w:t>
            </w:r>
          </w:p>
          <w:p w14:paraId="65AB7534" w14:textId="77777777" w:rsidR="00133162" w:rsidRPr="004C0B55" w:rsidRDefault="00133162" w:rsidP="00133162">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a) investitorii în titluri de capital au un istoric de proiecte de infrastructură supravegheate cu succes, capacitate financiară și competență în domeniu;</w:t>
            </w:r>
          </w:p>
          <w:p w14:paraId="7DBC4280" w14:textId="77777777" w:rsidR="00133162" w:rsidRPr="004C0B55" w:rsidRDefault="00133162" w:rsidP="00133162">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b) investitorii în titluri de capital au un risc scăzut de nerambursare sau există un risc scăzut de pierderi semnificative pentru debitor ca urmare a intrării acestora în stare de nerambursare;</w:t>
            </w:r>
          </w:p>
          <w:p w14:paraId="3A5016F2" w14:textId="77777777" w:rsidR="00133162" w:rsidRPr="004C0B55" w:rsidRDefault="00133162" w:rsidP="00133162">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c) există mecanisme adecvate pentru a alinia interesul investitorilor în titluri de capital cu interesele creditorilor;</w:t>
            </w:r>
          </w:p>
          <w:p w14:paraId="7ACBB96C" w14:textId="2D8D11DD" w:rsidR="00133162" w:rsidRPr="004C0B55" w:rsidRDefault="00133162" w:rsidP="00133162">
            <w:pPr>
              <w:spacing w:after="0" w:line="240" w:lineRule="auto"/>
              <w:rPr>
                <w:rFonts w:ascii="Times New Roman" w:eastAsia="Times New Roman" w:hAnsi="Times New Roman" w:cs="Times New Roman"/>
                <w:b/>
                <w:bCs/>
                <w:sz w:val="20"/>
                <w:szCs w:val="20"/>
                <w:lang w:val="ro-RO" w:eastAsia="ro-MD"/>
              </w:rPr>
            </w:pPr>
            <w:r w:rsidRPr="006F5136">
              <w:rPr>
                <w:rFonts w:ascii="Times New Roman" w:eastAsia="Times New Roman" w:hAnsi="Times New Roman" w:cs="Times New Roman"/>
                <w:i/>
                <w:iCs/>
                <w:sz w:val="18"/>
                <w:szCs w:val="18"/>
                <w:lang w:val="ro-RO" w:eastAsia="ro-MD"/>
              </w:rPr>
              <w:t>Proiectul HCE al BNM privind modificarea Regulamentului nr.111/2018</w:t>
            </w:r>
          </w:p>
        </w:tc>
        <w:tc>
          <w:tcPr>
            <w:tcW w:w="503" w:type="pct"/>
          </w:tcPr>
          <w:p w14:paraId="74955513" w14:textId="443A90DB" w:rsidR="00133162" w:rsidRPr="00CB3F3F" w:rsidRDefault="00133162" w:rsidP="00133162">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Compatibil</w:t>
            </w:r>
          </w:p>
        </w:tc>
        <w:tc>
          <w:tcPr>
            <w:tcW w:w="912" w:type="pct"/>
          </w:tcPr>
          <w:p w14:paraId="1FEDA906" w14:textId="15D3F1CF" w:rsidR="00133162" w:rsidRPr="00CB3F3F" w:rsidRDefault="00133162" w:rsidP="00133162">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Regulamentul nr.111/2018</w:t>
            </w:r>
          </w:p>
        </w:tc>
      </w:tr>
      <w:tr w:rsidR="00084319" w:rsidRPr="006F5136" w14:paraId="3DBA42DD"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DD7A1E9" w14:textId="77777777" w:rsidR="00084319" w:rsidRPr="006F5136" w:rsidRDefault="00084319" w:rsidP="00084319">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(j) debitorul dispune de garanții adecvate pentru </w:t>
            </w:r>
            <w:proofErr w:type="gramStart"/>
            <w:r w:rsidRPr="006F5136">
              <w:rPr>
                <w:rFonts w:ascii="Times New Roman" w:eastAsia="Arial Unicode MS" w:hAnsi="Times New Roman" w:cs="Times New Roman"/>
                <w:color w:val="000000" w:themeColor="text1"/>
                <w:sz w:val="18"/>
                <w:szCs w:val="18"/>
              </w:rPr>
              <w:t>a</w:t>
            </w:r>
            <w:proofErr w:type="gramEnd"/>
            <w:r w:rsidRPr="006F5136">
              <w:rPr>
                <w:rFonts w:ascii="Times New Roman" w:eastAsia="Arial Unicode MS" w:hAnsi="Times New Roman" w:cs="Times New Roman"/>
                <w:color w:val="000000" w:themeColor="text1"/>
                <w:sz w:val="18"/>
                <w:szCs w:val="18"/>
              </w:rPr>
              <w:t xml:space="preserve"> asigura finalizarea proiectului în conformitate cu specificațiile, bugetul și data de finalizare convenite, inclusiv de garanții solide privind finalizarea sau implicarea unui constructor cu experiență și clauze contractuale adecvate privind daunele-</w:t>
            </w:r>
            <w:proofErr w:type="gramStart"/>
            <w:r w:rsidRPr="006F5136">
              <w:rPr>
                <w:rFonts w:ascii="Times New Roman" w:eastAsia="Arial Unicode MS" w:hAnsi="Times New Roman" w:cs="Times New Roman"/>
                <w:color w:val="000000" w:themeColor="text1"/>
                <w:sz w:val="18"/>
                <w:szCs w:val="18"/>
              </w:rPr>
              <w:t>interese;</w:t>
            </w:r>
            <w:proofErr w:type="gramEnd"/>
          </w:p>
          <w:p w14:paraId="713C8934" w14:textId="77777777" w:rsidR="00084319" w:rsidRPr="006F5136" w:rsidRDefault="00084319" w:rsidP="00084319">
            <w:pPr>
              <w:pStyle w:val="modref"/>
              <w:shd w:val="clear" w:color="auto" w:fill="FFFFFF"/>
              <w:spacing w:before="0" w:beforeAutospacing="0" w:after="0" w:afterAutospacing="0"/>
              <w:rPr>
                <w:rFonts w:eastAsia="Arial Unicode MS"/>
                <w:b/>
                <w:bCs/>
                <w:color w:val="000000" w:themeColor="text1"/>
                <w:sz w:val="18"/>
                <w:szCs w:val="18"/>
              </w:rPr>
            </w:pPr>
          </w:p>
        </w:tc>
        <w:tc>
          <w:tcPr>
            <w:tcW w:w="1661" w:type="pct"/>
          </w:tcPr>
          <w:p w14:paraId="1AF7F68A" w14:textId="77777777" w:rsidR="00084319" w:rsidRPr="004C0B55" w:rsidRDefault="00084319" w:rsidP="00084319">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10) debitorul dispune de garanții adecvate pentru a asigura finalizarea proiectului în conformitate cu specificațiile, bugetul și data de finalizare convenite, inclusiv de garanții solide privind finalizarea sau implicarea unui constructor cu experiență și clauze contractuale adecvate privind daunele-interese;</w:t>
            </w:r>
          </w:p>
          <w:p w14:paraId="3A687D36" w14:textId="0441F62C" w:rsidR="00084319" w:rsidRPr="004C0B55" w:rsidRDefault="00084319" w:rsidP="00084319">
            <w:pPr>
              <w:spacing w:after="0" w:line="240" w:lineRule="auto"/>
              <w:rPr>
                <w:rFonts w:ascii="Times New Roman" w:eastAsia="Times New Roman" w:hAnsi="Times New Roman" w:cs="Times New Roman"/>
                <w:b/>
                <w:bCs/>
                <w:sz w:val="20"/>
                <w:szCs w:val="20"/>
                <w:lang w:val="ro-RO" w:eastAsia="ro-MD"/>
              </w:rPr>
            </w:pPr>
            <w:r w:rsidRPr="006F5136">
              <w:rPr>
                <w:rFonts w:ascii="Times New Roman" w:eastAsia="Times New Roman" w:hAnsi="Times New Roman" w:cs="Times New Roman"/>
                <w:i/>
                <w:iCs/>
                <w:sz w:val="18"/>
                <w:szCs w:val="18"/>
                <w:lang w:val="ro-RO" w:eastAsia="ro-MD"/>
              </w:rPr>
              <w:t>Proiectul HCE al BNM privind modificarea Regulamentului nr.111/2018</w:t>
            </w:r>
          </w:p>
        </w:tc>
        <w:tc>
          <w:tcPr>
            <w:tcW w:w="503" w:type="pct"/>
          </w:tcPr>
          <w:p w14:paraId="55985B0E" w14:textId="69BDC342" w:rsidR="00084319" w:rsidRPr="00CB3F3F" w:rsidRDefault="00084319" w:rsidP="00084319">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Compatibil</w:t>
            </w:r>
          </w:p>
        </w:tc>
        <w:tc>
          <w:tcPr>
            <w:tcW w:w="912" w:type="pct"/>
          </w:tcPr>
          <w:p w14:paraId="50EA0B24" w14:textId="2FF897D0" w:rsidR="00084319" w:rsidRPr="00CB3F3F" w:rsidRDefault="00084319" w:rsidP="00084319">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Regulamentul nr.111/2018</w:t>
            </w:r>
          </w:p>
        </w:tc>
      </w:tr>
      <w:tr w:rsidR="00461EC9" w:rsidRPr="006F5136" w14:paraId="443FE41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0D4C9FF" w14:textId="77777777" w:rsidR="00461EC9" w:rsidRPr="006F5136" w:rsidRDefault="00461EC9" w:rsidP="00461EC9">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(k) în cazul în care riscurile de exploatare sunt semnificative, acestea sunt administrate în mod </w:t>
            </w:r>
            <w:proofErr w:type="gramStart"/>
            <w:r w:rsidRPr="006F5136">
              <w:rPr>
                <w:rFonts w:ascii="Times New Roman" w:eastAsia="Arial Unicode MS" w:hAnsi="Times New Roman" w:cs="Times New Roman"/>
                <w:color w:val="000000" w:themeColor="text1"/>
                <w:sz w:val="18"/>
                <w:szCs w:val="18"/>
              </w:rPr>
              <w:t>adecvat;</w:t>
            </w:r>
            <w:proofErr w:type="gramEnd"/>
          </w:p>
          <w:p w14:paraId="39F9D348" w14:textId="77777777" w:rsidR="00461EC9" w:rsidRPr="006F5136" w:rsidRDefault="00461EC9" w:rsidP="00461EC9">
            <w:pPr>
              <w:pStyle w:val="modref"/>
              <w:shd w:val="clear" w:color="auto" w:fill="FFFFFF"/>
              <w:spacing w:before="0" w:beforeAutospacing="0" w:after="0" w:afterAutospacing="0"/>
              <w:rPr>
                <w:rFonts w:eastAsia="Arial Unicode MS"/>
                <w:b/>
                <w:bCs/>
                <w:color w:val="000000" w:themeColor="text1"/>
                <w:sz w:val="18"/>
                <w:szCs w:val="18"/>
              </w:rPr>
            </w:pPr>
          </w:p>
        </w:tc>
        <w:tc>
          <w:tcPr>
            <w:tcW w:w="1661" w:type="pct"/>
          </w:tcPr>
          <w:p w14:paraId="0143D35F" w14:textId="77777777" w:rsidR="00461EC9" w:rsidRPr="004C0B55" w:rsidRDefault="00461EC9" w:rsidP="00461EC9">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11) în cazul în care riscurile de exploatare sunt semnificative, acestea sunt administrate în mod adecvat;</w:t>
            </w:r>
          </w:p>
          <w:p w14:paraId="402B4899" w14:textId="2210A1DB" w:rsidR="00461EC9" w:rsidRPr="004C0B55" w:rsidRDefault="00461EC9" w:rsidP="00461EC9">
            <w:pPr>
              <w:spacing w:after="0" w:line="240" w:lineRule="auto"/>
              <w:rPr>
                <w:rFonts w:ascii="Times New Roman" w:eastAsia="Times New Roman" w:hAnsi="Times New Roman" w:cs="Times New Roman"/>
                <w:b/>
                <w:bCs/>
                <w:sz w:val="20"/>
                <w:szCs w:val="20"/>
                <w:lang w:val="ro-RO" w:eastAsia="ro-MD"/>
              </w:rPr>
            </w:pPr>
            <w:r w:rsidRPr="006F5136">
              <w:rPr>
                <w:rFonts w:ascii="Times New Roman" w:eastAsia="Times New Roman" w:hAnsi="Times New Roman" w:cs="Times New Roman"/>
                <w:i/>
                <w:iCs/>
                <w:sz w:val="18"/>
                <w:szCs w:val="18"/>
                <w:lang w:val="ro-RO" w:eastAsia="ro-MD"/>
              </w:rPr>
              <w:t>Proiectul HCE al BNM privind modificarea Regulamentului nr.111/2018</w:t>
            </w:r>
          </w:p>
        </w:tc>
        <w:tc>
          <w:tcPr>
            <w:tcW w:w="503" w:type="pct"/>
          </w:tcPr>
          <w:p w14:paraId="578CEE72" w14:textId="0AC6BC4A" w:rsidR="00461EC9" w:rsidRPr="00CB3F3F" w:rsidRDefault="00461EC9" w:rsidP="00461EC9">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Compatibil</w:t>
            </w:r>
          </w:p>
        </w:tc>
        <w:tc>
          <w:tcPr>
            <w:tcW w:w="912" w:type="pct"/>
          </w:tcPr>
          <w:p w14:paraId="54A47596" w14:textId="05320B33" w:rsidR="00461EC9" w:rsidRPr="00CB3F3F" w:rsidRDefault="00461EC9" w:rsidP="00461EC9">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Regulamentul nr.111/2018</w:t>
            </w:r>
          </w:p>
        </w:tc>
      </w:tr>
      <w:tr w:rsidR="000B4AB6" w:rsidRPr="006F5136" w14:paraId="58690C35"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CEE5379"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(l) debitorul utilizează o tehnologie și un model de proiectare </w:t>
            </w:r>
            <w:proofErr w:type="gramStart"/>
            <w:r w:rsidRPr="006F5136">
              <w:rPr>
                <w:rFonts w:ascii="Times New Roman" w:eastAsia="Arial Unicode MS" w:hAnsi="Times New Roman" w:cs="Times New Roman"/>
                <w:color w:val="000000" w:themeColor="text1"/>
                <w:sz w:val="18"/>
                <w:szCs w:val="18"/>
              </w:rPr>
              <w:t>testate;</w:t>
            </w:r>
            <w:proofErr w:type="gramEnd"/>
          </w:p>
          <w:p w14:paraId="61A1E7CD" w14:textId="77777777" w:rsidR="000B4AB6" w:rsidRPr="006F5136" w:rsidRDefault="000B4AB6" w:rsidP="000B4AB6">
            <w:pPr>
              <w:pStyle w:val="modref"/>
              <w:shd w:val="clear" w:color="auto" w:fill="FFFFFF"/>
              <w:spacing w:before="0" w:beforeAutospacing="0" w:after="0" w:afterAutospacing="0"/>
              <w:rPr>
                <w:rFonts w:eastAsia="Arial Unicode MS"/>
                <w:b/>
                <w:bCs/>
                <w:color w:val="000000" w:themeColor="text1"/>
                <w:sz w:val="18"/>
                <w:szCs w:val="18"/>
              </w:rPr>
            </w:pPr>
          </w:p>
        </w:tc>
        <w:tc>
          <w:tcPr>
            <w:tcW w:w="1661" w:type="pct"/>
          </w:tcPr>
          <w:p w14:paraId="39BC7CFC"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12) debitorul utilizează o tehnologie și un model de proiectare testate;</w:t>
            </w:r>
          </w:p>
          <w:p w14:paraId="1B467C91" w14:textId="0041E917" w:rsidR="000B4AB6" w:rsidRPr="004C0B55" w:rsidRDefault="000B4AB6" w:rsidP="000B4AB6">
            <w:pPr>
              <w:spacing w:after="0" w:line="240" w:lineRule="auto"/>
              <w:rPr>
                <w:rFonts w:ascii="Times New Roman" w:eastAsia="Times New Roman" w:hAnsi="Times New Roman" w:cs="Times New Roman"/>
                <w:b/>
                <w:bCs/>
                <w:sz w:val="20"/>
                <w:szCs w:val="20"/>
                <w:lang w:val="ro-RO" w:eastAsia="ro-MD"/>
              </w:rPr>
            </w:pPr>
            <w:r w:rsidRPr="006F5136">
              <w:rPr>
                <w:rFonts w:ascii="Times New Roman" w:eastAsia="Times New Roman" w:hAnsi="Times New Roman" w:cs="Times New Roman"/>
                <w:i/>
                <w:iCs/>
                <w:sz w:val="18"/>
                <w:szCs w:val="18"/>
                <w:lang w:val="ro-RO" w:eastAsia="ro-MD"/>
              </w:rPr>
              <w:t>Proiectul HCE al BNM privind modificarea Regulamentului nr.111/2018</w:t>
            </w:r>
          </w:p>
        </w:tc>
        <w:tc>
          <w:tcPr>
            <w:tcW w:w="503" w:type="pct"/>
          </w:tcPr>
          <w:p w14:paraId="7A257906" w14:textId="70AFD9D4" w:rsidR="000B4AB6" w:rsidRPr="00CB3F3F" w:rsidRDefault="000B4AB6" w:rsidP="000B4AB6">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Compatibil</w:t>
            </w:r>
          </w:p>
        </w:tc>
        <w:tc>
          <w:tcPr>
            <w:tcW w:w="912" w:type="pct"/>
          </w:tcPr>
          <w:p w14:paraId="0AA0DDC9" w14:textId="25449713" w:rsidR="000B4AB6" w:rsidRPr="00CB3F3F" w:rsidRDefault="000B4AB6" w:rsidP="000B4AB6">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Regulamentul nr.111/2018</w:t>
            </w:r>
          </w:p>
        </w:tc>
      </w:tr>
      <w:tr w:rsidR="000B4AB6" w:rsidRPr="006F5136" w14:paraId="2613611E"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82CEC4D"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(m) au fost obținute toate permisele și autorizațiile </w:t>
            </w:r>
            <w:proofErr w:type="gramStart"/>
            <w:r w:rsidRPr="006F5136">
              <w:rPr>
                <w:rFonts w:ascii="Times New Roman" w:eastAsia="Arial Unicode MS" w:hAnsi="Times New Roman" w:cs="Times New Roman"/>
                <w:color w:val="000000" w:themeColor="text1"/>
                <w:sz w:val="18"/>
                <w:szCs w:val="18"/>
              </w:rPr>
              <w:t>necesare;</w:t>
            </w:r>
            <w:proofErr w:type="gramEnd"/>
          </w:p>
          <w:p w14:paraId="47962917" w14:textId="77777777" w:rsidR="000B4AB6" w:rsidRPr="006F5136" w:rsidRDefault="000B4AB6" w:rsidP="000B4AB6">
            <w:pPr>
              <w:pStyle w:val="modref"/>
              <w:shd w:val="clear" w:color="auto" w:fill="FFFFFF"/>
              <w:spacing w:before="0" w:beforeAutospacing="0" w:after="0" w:afterAutospacing="0"/>
              <w:rPr>
                <w:rFonts w:eastAsia="Arial Unicode MS"/>
                <w:b/>
                <w:bCs/>
                <w:color w:val="000000" w:themeColor="text1"/>
                <w:sz w:val="18"/>
                <w:szCs w:val="18"/>
              </w:rPr>
            </w:pPr>
          </w:p>
        </w:tc>
        <w:tc>
          <w:tcPr>
            <w:tcW w:w="1661" w:type="pct"/>
          </w:tcPr>
          <w:p w14:paraId="194DDBF7"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13) au fost obținute toate permisele și autorizațiile necesare;</w:t>
            </w:r>
          </w:p>
          <w:p w14:paraId="66B31F49" w14:textId="518F4474" w:rsidR="000B4AB6" w:rsidRPr="004C0B55" w:rsidRDefault="000B4AB6" w:rsidP="000B4AB6">
            <w:pPr>
              <w:spacing w:after="0" w:line="240" w:lineRule="auto"/>
              <w:rPr>
                <w:rFonts w:ascii="Times New Roman" w:eastAsia="Times New Roman" w:hAnsi="Times New Roman" w:cs="Times New Roman"/>
                <w:b/>
                <w:bCs/>
                <w:sz w:val="20"/>
                <w:szCs w:val="20"/>
                <w:lang w:val="ro-RO" w:eastAsia="ro-MD"/>
              </w:rPr>
            </w:pPr>
            <w:r w:rsidRPr="006F5136">
              <w:rPr>
                <w:rFonts w:ascii="Times New Roman" w:eastAsia="Times New Roman" w:hAnsi="Times New Roman" w:cs="Times New Roman"/>
                <w:i/>
                <w:iCs/>
                <w:sz w:val="18"/>
                <w:szCs w:val="18"/>
                <w:lang w:val="ro-RO" w:eastAsia="ro-MD"/>
              </w:rPr>
              <w:t>Proiectul HCE al BNM privind modificarea Regulamentului nr.111/2018</w:t>
            </w:r>
          </w:p>
        </w:tc>
        <w:tc>
          <w:tcPr>
            <w:tcW w:w="503" w:type="pct"/>
          </w:tcPr>
          <w:p w14:paraId="00C41BC0" w14:textId="53646D85" w:rsidR="000B4AB6" w:rsidRPr="00CB3F3F" w:rsidRDefault="000B4AB6" w:rsidP="000B4AB6">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Compatibil</w:t>
            </w:r>
          </w:p>
        </w:tc>
        <w:tc>
          <w:tcPr>
            <w:tcW w:w="912" w:type="pct"/>
          </w:tcPr>
          <w:p w14:paraId="7E693B42" w14:textId="4ECA7B4E" w:rsidR="000B4AB6" w:rsidRPr="00CB3F3F" w:rsidRDefault="000B4AB6" w:rsidP="000B4AB6">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Regulamentul nr.111/2018</w:t>
            </w:r>
          </w:p>
        </w:tc>
      </w:tr>
      <w:tr w:rsidR="000B4AB6" w:rsidRPr="006F5136" w14:paraId="3B83618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DA54E99"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(n) debitorul utilizează instrumente financiare derivate numai în scopuri de diminuare a </w:t>
            </w:r>
            <w:proofErr w:type="gramStart"/>
            <w:r w:rsidRPr="006F5136">
              <w:rPr>
                <w:rFonts w:ascii="Times New Roman" w:eastAsia="Arial Unicode MS" w:hAnsi="Times New Roman" w:cs="Times New Roman"/>
                <w:color w:val="000000" w:themeColor="text1"/>
                <w:sz w:val="18"/>
                <w:szCs w:val="18"/>
              </w:rPr>
              <w:t>riscurilor;</w:t>
            </w:r>
            <w:proofErr w:type="gramEnd"/>
          </w:p>
          <w:p w14:paraId="7B6D6FF7" w14:textId="77777777" w:rsidR="000B4AB6" w:rsidRPr="006F5136" w:rsidRDefault="000B4AB6" w:rsidP="000B4AB6">
            <w:pPr>
              <w:pStyle w:val="modref"/>
              <w:shd w:val="clear" w:color="auto" w:fill="FFFFFF"/>
              <w:spacing w:before="0" w:beforeAutospacing="0" w:after="0" w:afterAutospacing="0"/>
              <w:rPr>
                <w:rFonts w:eastAsia="Arial Unicode MS"/>
                <w:b/>
                <w:bCs/>
                <w:color w:val="000000" w:themeColor="text1"/>
                <w:sz w:val="18"/>
                <w:szCs w:val="18"/>
              </w:rPr>
            </w:pPr>
          </w:p>
        </w:tc>
        <w:tc>
          <w:tcPr>
            <w:tcW w:w="1661" w:type="pct"/>
          </w:tcPr>
          <w:p w14:paraId="075146C8"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14) debitorul utilizează instrumente financiare derivate numai în scopuri de diminuare a riscurilor;</w:t>
            </w:r>
          </w:p>
          <w:p w14:paraId="306D4F37" w14:textId="45BF7AC0" w:rsidR="000B4AB6" w:rsidRPr="004C0B55" w:rsidRDefault="000B4AB6" w:rsidP="000B4AB6">
            <w:pPr>
              <w:spacing w:after="0" w:line="240" w:lineRule="auto"/>
              <w:rPr>
                <w:rFonts w:ascii="Times New Roman" w:eastAsia="Times New Roman" w:hAnsi="Times New Roman" w:cs="Times New Roman"/>
                <w:b/>
                <w:bCs/>
                <w:sz w:val="20"/>
                <w:szCs w:val="20"/>
                <w:lang w:val="ro-RO" w:eastAsia="ro-MD"/>
              </w:rPr>
            </w:pPr>
            <w:r w:rsidRPr="006F5136">
              <w:rPr>
                <w:rFonts w:ascii="Times New Roman" w:eastAsia="Times New Roman" w:hAnsi="Times New Roman" w:cs="Times New Roman"/>
                <w:i/>
                <w:iCs/>
                <w:sz w:val="18"/>
                <w:szCs w:val="18"/>
                <w:lang w:val="ro-RO" w:eastAsia="ro-MD"/>
              </w:rPr>
              <w:t>Proiectul HCE al BNM privind modificarea Regulamentului nr.111/2018</w:t>
            </w:r>
          </w:p>
        </w:tc>
        <w:tc>
          <w:tcPr>
            <w:tcW w:w="503" w:type="pct"/>
          </w:tcPr>
          <w:p w14:paraId="6C84CDD0" w14:textId="48E94011" w:rsidR="000B4AB6" w:rsidRPr="00CB3F3F" w:rsidRDefault="000B4AB6" w:rsidP="000B4AB6">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Compatibil</w:t>
            </w:r>
          </w:p>
        </w:tc>
        <w:tc>
          <w:tcPr>
            <w:tcW w:w="912" w:type="pct"/>
          </w:tcPr>
          <w:p w14:paraId="3DD8A6CA" w14:textId="374BB91F" w:rsidR="000B4AB6" w:rsidRPr="00CB3F3F" w:rsidRDefault="000B4AB6" w:rsidP="000B4AB6">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Regulamentul nr.111/2018</w:t>
            </w:r>
          </w:p>
        </w:tc>
      </w:tr>
      <w:tr w:rsidR="000B4AB6" w:rsidRPr="006F5136" w14:paraId="5BA59F6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11D6B94" w14:textId="77777777" w:rsidR="000B4AB6" w:rsidRPr="006F5136" w:rsidRDefault="000B4AB6" w:rsidP="000B4AB6">
            <w:pPr>
              <w:pStyle w:val="modref"/>
              <w:shd w:val="clear" w:color="auto" w:fill="FFFFFF"/>
              <w:spacing w:before="0" w:beforeAutospacing="0" w:after="0" w:afterAutospacing="0"/>
              <w:rPr>
                <w:rFonts w:eastAsia="Arial Unicode MS"/>
                <w:b/>
                <w:bCs/>
                <w:color w:val="000000" w:themeColor="text1"/>
                <w:sz w:val="18"/>
                <w:szCs w:val="18"/>
              </w:rPr>
            </w:pPr>
            <w:hyperlink r:id="rId53" w:tooltip="32024R1623: REPLACED" w:history="1">
              <w:r w:rsidRPr="006F5136">
                <w:rPr>
                  <w:rStyle w:val="Hyperlink"/>
                  <w:rFonts w:eastAsia="Arial Unicode MS"/>
                  <w:b/>
                  <w:bCs/>
                  <w:color w:val="000000" w:themeColor="text1"/>
                  <w:sz w:val="18"/>
                  <w:szCs w:val="18"/>
                </w:rPr>
                <w:t>▼M17</w:t>
              </w:r>
            </w:hyperlink>
          </w:p>
          <w:p w14:paraId="20B4E482"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(o) pentru expunerile inițiate după 1 ianuarie 2025, debitorul </w:t>
            </w:r>
            <w:proofErr w:type="gramStart"/>
            <w:r w:rsidRPr="006F5136">
              <w:rPr>
                <w:rFonts w:ascii="Times New Roman" w:eastAsia="Arial Unicode MS" w:hAnsi="Times New Roman" w:cs="Times New Roman"/>
                <w:color w:val="000000" w:themeColor="text1"/>
                <w:sz w:val="18"/>
                <w:szCs w:val="18"/>
              </w:rPr>
              <w:t>a</w:t>
            </w:r>
            <w:proofErr w:type="gramEnd"/>
            <w:r w:rsidRPr="006F5136">
              <w:rPr>
                <w:rFonts w:ascii="Times New Roman" w:eastAsia="Arial Unicode MS" w:hAnsi="Times New Roman" w:cs="Times New Roman"/>
                <w:color w:val="000000" w:themeColor="text1"/>
                <w:sz w:val="18"/>
                <w:szCs w:val="18"/>
              </w:rPr>
              <w:t xml:space="preserve"> efectuat o evaluare care </w:t>
            </w:r>
            <w:proofErr w:type="gramStart"/>
            <w:r w:rsidRPr="006F5136">
              <w:rPr>
                <w:rFonts w:ascii="Times New Roman" w:eastAsia="Arial Unicode MS" w:hAnsi="Times New Roman" w:cs="Times New Roman"/>
                <w:color w:val="000000" w:themeColor="text1"/>
                <w:sz w:val="18"/>
                <w:szCs w:val="18"/>
              </w:rPr>
              <w:t>a</w:t>
            </w:r>
            <w:proofErr w:type="gramEnd"/>
            <w:r w:rsidRPr="006F5136">
              <w:rPr>
                <w:rFonts w:ascii="Times New Roman" w:eastAsia="Arial Unicode MS" w:hAnsi="Times New Roman" w:cs="Times New Roman"/>
                <w:color w:val="000000" w:themeColor="text1"/>
                <w:sz w:val="18"/>
                <w:szCs w:val="18"/>
              </w:rPr>
              <w:t> arătat că activele finanțate contribuie pozitiv la unul sau mai multe dintre obiectivele de mediu prevăzute la articolul 9 din Regulamentul (UE) 2020/852 și nu prejudiciază în mod semnificativ celelalte obiective prevăzute la articolul respectiv sau că activele finanțate nu prejudiciază în mod semnificativ niciunul dintre obiectivele de mediu prevăzute la articolul respectiv.</w:t>
            </w:r>
          </w:p>
          <w:p w14:paraId="73AF614C" w14:textId="77777777" w:rsidR="000B4AB6" w:rsidRPr="006F5136" w:rsidRDefault="000B4AB6" w:rsidP="000B4AB6">
            <w:pPr>
              <w:pStyle w:val="modref"/>
              <w:shd w:val="clear" w:color="auto" w:fill="FFFFFF"/>
              <w:spacing w:before="0" w:beforeAutospacing="0" w:after="0" w:afterAutospacing="0"/>
              <w:rPr>
                <w:rFonts w:eastAsia="Arial Unicode MS"/>
                <w:b/>
                <w:bCs/>
                <w:color w:val="000000" w:themeColor="text1"/>
                <w:sz w:val="18"/>
                <w:szCs w:val="18"/>
              </w:rPr>
            </w:pPr>
          </w:p>
        </w:tc>
        <w:tc>
          <w:tcPr>
            <w:tcW w:w="1661" w:type="pct"/>
          </w:tcPr>
          <w:p w14:paraId="49DE13DF" w14:textId="77777777" w:rsidR="000B4AB6"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15) pentru expunerile inițiate după 1 ianuarie 2025, debitorul a efectuat o evaluare care a arătat că activele finanțate contribuie pozitiv la unul sau mai multe dintre obiectivele de mediu și nu prejudiciază în mod semnificativ niciunul dintre obiectivele de mediu și celelalte obiective prevăzute la prezentul capitol.</w:t>
            </w:r>
          </w:p>
          <w:p w14:paraId="2A349D11" w14:textId="3A41898E" w:rsidR="000B4AB6" w:rsidRPr="004C0B55" w:rsidRDefault="000B4AB6" w:rsidP="000B4AB6">
            <w:pPr>
              <w:spacing w:after="0" w:line="240" w:lineRule="auto"/>
              <w:rPr>
                <w:rFonts w:ascii="Times New Roman" w:eastAsia="Times New Roman" w:hAnsi="Times New Roman" w:cs="Times New Roman"/>
                <w:b/>
                <w:bCs/>
                <w:sz w:val="20"/>
                <w:szCs w:val="20"/>
                <w:lang w:val="ro-RO" w:eastAsia="ro-MD"/>
              </w:rPr>
            </w:pPr>
            <w:r w:rsidRPr="006F5136">
              <w:rPr>
                <w:rFonts w:ascii="Times New Roman" w:eastAsia="Times New Roman" w:hAnsi="Times New Roman" w:cs="Times New Roman"/>
                <w:i/>
                <w:iCs/>
                <w:sz w:val="18"/>
                <w:szCs w:val="18"/>
                <w:lang w:val="ro-RO" w:eastAsia="ro-MD"/>
              </w:rPr>
              <w:t>Proiectul HCE al BNM privind modificarea Regulamentului nr.111/2018</w:t>
            </w:r>
          </w:p>
        </w:tc>
        <w:tc>
          <w:tcPr>
            <w:tcW w:w="503" w:type="pct"/>
          </w:tcPr>
          <w:p w14:paraId="3F7A63C7" w14:textId="6F09B825" w:rsidR="000B4AB6" w:rsidRPr="00CB3F3F" w:rsidRDefault="000B4AB6" w:rsidP="000B4AB6">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Compatibil</w:t>
            </w:r>
          </w:p>
        </w:tc>
        <w:tc>
          <w:tcPr>
            <w:tcW w:w="912" w:type="pct"/>
          </w:tcPr>
          <w:p w14:paraId="55529186" w14:textId="62EA5422" w:rsidR="000B4AB6" w:rsidRPr="00CB3F3F" w:rsidRDefault="000B4AB6" w:rsidP="000B4AB6">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Regulamentul nr.111/2018</w:t>
            </w:r>
          </w:p>
        </w:tc>
      </w:tr>
      <w:tr w:rsidR="000B4AB6" w:rsidRPr="006F5136" w14:paraId="4DC7FA69"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61D5F8E" w14:textId="77777777" w:rsidR="000B4AB6" w:rsidRPr="006F5136" w:rsidRDefault="000B4AB6" w:rsidP="000B4AB6">
            <w:pPr>
              <w:pStyle w:val="modref"/>
              <w:shd w:val="clear" w:color="auto" w:fill="FFFFFF"/>
              <w:spacing w:before="0" w:beforeAutospacing="0" w:after="0" w:afterAutospacing="0"/>
              <w:rPr>
                <w:rFonts w:eastAsia="Arial Unicode MS"/>
                <w:b/>
                <w:bCs/>
                <w:color w:val="000000" w:themeColor="text1"/>
                <w:sz w:val="18"/>
                <w:szCs w:val="18"/>
              </w:rPr>
            </w:pPr>
            <w:hyperlink r:id="rId54" w:tooltip="32019R0876: INSERTED" w:history="1">
              <w:r w:rsidRPr="006F5136">
                <w:rPr>
                  <w:rStyle w:val="Hyperlink"/>
                  <w:rFonts w:eastAsia="Arial Unicode MS"/>
                  <w:b/>
                  <w:bCs/>
                  <w:color w:val="000000" w:themeColor="text1"/>
                  <w:sz w:val="18"/>
                  <w:szCs w:val="18"/>
                </w:rPr>
                <w:t>▼M8</w:t>
              </w:r>
            </w:hyperlink>
          </w:p>
          <w:p w14:paraId="5FE7C1CC" w14:textId="77777777" w:rsidR="000B4AB6" w:rsidRPr="006F5136" w:rsidRDefault="000B4AB6" w:rsidP="000B4AB6">
            <w:pPr>
              <w:shd w:val="clear" w:color="auto" w:fill="FFFFFF"/>
              <w:spacing w:after="0" w:line="240" w:lineRule="auto"/>
              <w:rPr>
                <w:rFonts w:ascii="Times New Roman" w:eastAsia="Arial Unicode MS" w:hAnsi="Times New Roman" w:cs="Times New Roman"/>
                <w:color w:val="000000" w:themeColor="text1"/>
                <w:sz w:val="18"/>
                <w:szCs w:val="18"/>
              </w:rPr>
            </w:pPr>
            <w:r w:rsidRPr="006F5136">
              <w:rPr>
                <w:rStyle w:val="no-parag"/>
                <w:rFonts w:ascii="Times New Roman" w:eastAsia="Arial Unicode MS" w:hAnsi="Times New Roman" w:cs="Times New Roman"/>
                <w:color w:val="000000" w:themeColor="text1"/>
                <w:sz w:val="18"/>
                <w:szCs w:val="18"/>
              </w:rPr>
              <w:t>(2)  </w:t>
            </w:r>
            <w:r w:rsidRPr="006F5136">
              <w:rPr>
                <w:rFonts w:ascii="Times New Roman" w:eastAsia="Arial Unicode MS" w:hAnsi="Times New Roman" w:cs="Times New Roman"/>
                <w:color w:val="000000" w:themeColor="text1"/>
                <w:sz w:val="18"/>
                <w:szCs w:val="18"/>
              </w:rPr>
              <w:t> În sensul alineatului (1) litera (e), fluxurile de numerar generate nu sunt considerate previzibile decât în cazul în care o parte semnificativă din venituri îndeplinește următoarele condiții:</w:t>
            </w:r>
          </w:p>
          <w:p w14:paraId="590288A6"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(a) este îndeplinit unul dintre următoarele criterii:</w:t>
            </w:r>
          </w:p>
          <w:p w14:paraId="51412477"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(i) veniturile se bazează pe disponibilitate („availability-based”</w:t>
            </w:r>
            <w:proofErr w:type="gramStart"/>
            <w:r w:rsidRPr="006F5136">
              <w:rPr>
                <w:rFonts w:ascii="Times New Roman" w:eastAsia="Arial Unicode MS" w:hAnsi="Times New Roman" w:cs="Times New Roman"/>
                <w:color w:val="000000" w:themeColor="text1"/>
                <w:sz w:val="18"/>
                <w:szCs w:val="18"/>
              </w:rPr>
              <w:t>);</w:t>
            </w:r>
            <w:proofErr w:type="gramEnd"/>
          </w:p>
          <w:p w14:paraId="4B20D31B"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(ii) veniturile fac obiectul unei reglementări privind rata de </w:t>
            </w:r>
            <w:proofErr w:type="gramStart"/>
            <w:r w:rsidRPr="006F5136">
              <w:rPr>
                <w:rFonts w:ascii="Times New Roman" w:eastAsia="Arial Unicode MS" w:hAnsi="Times New Roman" w:cs="Times New Roman"/>
                <w:color w:val="000000" w:themeColor="text1"/>
                <w:sz w:val="18"/>
                <w:szCs w:val="18"/>
              </w:rPr>
              <w:t>rentabilitate;</w:t>
            </w:r>
            <w:proofErr w:type="gramEnd"/>
          </w:p>
          <w:p w14:paraId="454F7F89"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(iii) veniturile fac obiectul unui contract cu obligații de plată necondiționate („take-or-pay contract”</w:t>
            </w:r>
            <w:proofErr w:type="gramStart"/>
            <w:r w:rsidRPr="006F5136">
              <w:rPr>
                <w:rFonts w:ascii="Times New Roman" w:eastAsia="Arial Unicode MS" w:hAnsi="Times New Roman" w:cs="Times New Roman"/>
                <w:color w:val="000000" w:themeColor="text1"/>
                <w:sz w:val="18"/>
                <w:szCs w:val="18"/>
              </w:rPr>
              <w:t>);</w:t>
            </w:r>
            <w:proofErr w:type="gramEnd"/>
          </w:p>
          <w:p w14:paraId="15DC849D"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(iv) nivelul producției sau al utilizării și prețul îndeplinesc în mod independent unul dintre următoarele criterii:</w:t>
            </w:r>
          </w:p>
          <w:p w14:paraId="47D82658"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 este </w:t>
            </w:r>
            <w:proofErr w:type="gramStart"/>
            <w:r w:rsidRPr="006F5136">
              <w:rPr>
                <w:rFonts w:ascii="Times New Roman" w:eastAsia="Arial Unicode MS" w:hAnsi="Times New Roman" w:cs="Times New Roman"/>
                <w:color w:val="000000" w:themeColor="text1"/>
                <w:sz w:val="18"/>
                <w:szCs w:val="18"/>
              </w:rPr>
              <w:t>reglementat;</w:t>
            </w:r>
            <w:proofErr w:type="gramEnd"/>
          </w:p>
          <w:p w14:paraId="4A43D75C"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 este fixat prin </w:t>
            </w:r>
            <w:proofErr w:type="gramStart"/>
            <w:r w:rsidRPr="006F5136">
              <w:rPr>
                <w:rFonts w:ascii="Times New Roman" w:eastAsia="Arial Unicode MS" w:hAnsi="Times New Roman" w:cs="Times New Roman"/>
                <w:color w:val="000000" w:themeColor="text1"/>
                <w:sz w:val="18"/>
                <w:szCs w:val="18"/>
              </w:rPr>
              <w:t>contract;</w:t>
            </w:r>
            <w:proofErr w:type="gramEnd"/>
          </w:p>
          <w:p w14:paraId="27A9B2A6"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 este suficient de previzibil ca urmare a riscului scăzut aferent </w:t>
            </w:r>
            <w:proofErr w:type="gramStart"/>
            <w:r w:rsidRPr="006F5136">
              <w:rPr>
                <w:rFonts w:ascii="Times New Roman" w:eastAsia="Arial Unicode MS" w:hAnsi="Times New Roman" w:cs="Times New Roman"/>
                <w:color w:val="000000" w:themeColor="text1"/>
                <w:sz w:val="18"/>
                <w:szCs w:val="18"/>
              </w:rPr>
              <w:t>cererii;</w:t>
            </w:r>
            <w:proofErr w:type="gramEnd"/>
          </w:p>
          <w:p w14:paraId="3437560F"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(b) în cazul în care veniturile debitorului nu sunt finanțate prin plăți provenind de la un număr mare de utilizatori, partea care acceptă să achiziționeze bunurile sau serviciile furnizate de debitor trebuie să fie una dintre următoarele:</w:t>
            </w:r>
          </w:p>
          <w:p w14:paraId="49ED496D"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(i) o bancă centrală, o administrație centrală, o administrație regională sau o autoritate locală, cu condiția ca acestora să li se atribuie o pondere de risc de 0 %, în conformitate cu articolele 114 și 115, sau un rating ECAI cu un nivel de calitate a creditului de cel puțin </w:t>
            </w:r>
            <w:proofErr w:type="gramStart"/>
            <w:r w:rsidRPr="006F5136">
              <w:rPr>
                <w:rFonts w:ascii="Times New Roman" w:eastAsia="Arial Unicode MS" w:hAnsi="Times New Roman" w:cs="Times New Roman"/>
                <w:color w:val="000000" w:themeColor="text1"/>
                <w:sz w:val="18"/>
                <w:szCs w:val="18"/>
              </w:rPr>
              <w:t>3;</w:t>
            </w:r>
            <w:proofErr w:type="gramEnd"/>
          </w:p>
          <w:p w14:paraId="2F26BB7B"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(ii) o entitate din sectorul public, cu condiția să i se atribuie o pondere de risc de cel mult 20 % în conformitate cu articolul 116 sau un rating ECAI cu un nivel de calitate a creditului de cel puțin </w:t>
            </w:r>
            <w:proofErr w:type="gramStart"/>
            <w:r w:rsidRPr="006F5136">
              <w:rPr>
                <w:rFonts w:ascii="Times New Roman" w:eastAsia="Arial Unicode MS" w:hAnsi="Times New Roman" w:cs="Times New Roman"/>
                <w:color w:val="000000" w:themeColor="text1"/>
                <w:sz w:val="18"/>
                <w:szCs w:val="18"/>
              </w:rPr>
              <w:t>3;</w:t>
            </w:r>
            <w:proofErr w:type="gramEnd"/>
          </w:p>
          <w:p w14:paraId="7BF33233"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(iii) o bancă multilaterală de dezvoltare menționată la articolul 117 alineatul (2</w:t>
            </w:r>
            <w:proofErr w:type="gramStart"/>
            <w:r w:rsidRPr="006F5136">
              <w:rPr>
                <w:rFonts w:ascii="Times New Roman" w:eastAsia="Arial Unicode MS" w:hAnsi="Times New Roman" w:cs="Times New Roman"/>
                <w:color w:val="000000" w:themeColor="text1"/>
                <w:sz w:val="18"/>
                <w:szCs w:val="18"/>
              </w:rPr>
              <w:t>);</w:t>
            </w:r>
            <w:proofErr w:type="gramEnd"/>
          </w:p>
          <w:p w14:paraId="3BD9CA89"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(iv) o organizație internațională menționată la articolul </w:t>
            </w:r>
            <w:proofErr w:type="gramStart"/>
            <w:r w:rsidRPr="006F5136">
              <w:rPr>
                <w:rFonts w:ascii="Times New Roman" w:eastAsia="Arial Unicode MS" w:hAnsi="Times New Roman" w:cs="Times New Roman"/>
                <w:color w:val="000000" w:themeColor="text1"/>
                <w:sz w:val="18"/>
                <w:szCs w:val="18"/>
              </w:rPr>
              <w:t>118;</w:t>
            </w:r>
            <w:proofErr w:type="gramEnd"/>
          </w:p>
          <w:p w14:paraId="2D3BB4ED"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(v) o entitate corporativă căreia i s-</w:t>
            </w:r>
            <w:proofErr w:type="gramStart"/>
            <w:r w:rsidRPr="006F5136">
              <w:rPr>
                <w:rFonts w:ascii="Times New Roman" w:eastAsia="Arial Unicode MS" w:hAnsi="Times New Roman" w:cs="Times New Roman"/>
                <w:color w:val="000000" w:themeColor="text1"/>
                <w:sz w:val="18"/>
                <w:szCs w:val="18"/>
              </w:rPr>
              <w:t>a</w:t>
            </w:r>
            <w:proofErr w:type="gramEnd"/>
            <w:r w:rsidRPr="006F5136">
              <w:rPr>
                <w:rFonts w:ascii="Times New Roman" w:eastAsia="Arial Unicode MS" w:hAnsi="Times New Roman" w:cs="Times New Roman"/>
                <w:color w:val="000000" w:themeColor="text1"/>
                <w:sz w:val="18"/>
                <w:szCs w:val="18"/>
              </w:rPr>
              <w:t xml:space="preserve"> atribuit un rating ECAI cu un nivel de calitate a creditului de cel puțin </w:t>
            </w:r>
            <w:proofErr w:type="gramStart"/>
            <w:r w:rsidRPr="006F5136">
              <w:rPr>
                <w:rFonts w:ascii="Times New Roman" w:eastAsia="Arial Unicode MS" w:hAnsi="Times New Roman" w:cs="Times New Roman"/>
                <w:color w:val="000000" w:themeColor="text1"/>
                <w:sz w:val="18"/>
                <w:szCs w:val="18"/>
              </w:rPr>
              <w:t>3;</w:t>
            </w:r>
            <w:proofErr w:type="gramEnd"/>
          </w:p>
          <w:p w14:paraId="6698A2B1" w14:textId="77777777" w:rsidR="000B4AB6" w:rsidRPr="006F5136" w:rsidRDefault="000B4AB6" w:rsidP="000B4AB6">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(vi) o entitate care poate fi înlocuită fără ca nivelul veniturilor și data de realizare </w:t>
            </w:r>
            <w:proofErr w:type="gramStart"/>
            <w:r w:rsidRPr="006F5136">
              <w:rPr>
                <w:rFonts w:ascii="Times New Roman" w:eastAsia="Arial Unicode MS" w:hAnsi="Times New Roman" w:cs="Times New Roman"/>
                <w:color w:val="000000" w:themeColor="text1"/>
                <w:sz w:val="18"/>
                <w:szCs w:val="18"/>
              </w:rPr>
              <w:t>a</w:t>
            </w:r>
            <w:proofErr w:type="gramEnd"/>
            <w:r w:rsidRPr="006F5136">
              <w:rPr>
                <w:rFonts w:ascii="Times New Roman" w:eastAsia="Arial Unicode MS" w:hAnsi="Times New Roman" w:cs="Times New Roman"/>
                <w:color w:val="000000" w:themeColor="text1"/>
                <w:sz w:val="18"/>
                <w:szCs w:val="18"/>
              </w:rPr>
              <w:t xml:space="preserve"> acestora să se modifice în mod semnificativ.</w:t>
            </w:r>
          </w:p>
          <w:p w14:paraId="444A586D" w14:textId="77777777" w:rsidR="000B4AB6" w:rsidRPr="006F5136" w:rsidRDefault="000B4AB6" w:rsidP="000B4AB6">
            <w:pPr>
              <w:pStyle w:val="modref"/>
              <w:shd w:val="clear" w:color="auto" w:fill="FFFFFF"/>
              <w:spacing w:before="0" w:beforeAutospacing="0" w:after="0" w:afterAutospacing="0"/>
              <w:rPr>
                <w:rFonts w:eastAsia="Arial Unicode MS"/>
                <w:b/>
                <w:bCs/>
                <w:color w:val="000000" w:themeColor="text1"/>
                <w:sz w:val="18"/>
                <w:szCs w:val="18"/>
              </w:rPr>
            </w:pPr>
          </w:p>
        </w:tc>
        <w:tc>
          <w:tcPr>
            <w:tcW w:w="1661" w:type="pct"/>
          </w:tcPr>
          <w:p w14:paraId="307DD475"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b/>
                <w:bCs/>
                <w:sz w:val="20"/>
                <w:szCs w:val="20"/>
                <w:lang w:val="ro-RO" w:eastAsia="ro-MD"/>
              </w:rPr>
              <w:t>97</w:t>
            </w:r>
            <w:r w:rsidRPr="004C0B55">
              <w:rPr>
                <w:rFonts w:ascii="Times New Roman" w:eastAsia="Times New Roman" w:hAnsi="Times New Roman" w:cs="Times New Roman"/>
                <w:b/>
                <w:bCs/>
                <w:sz w:val="20"/>
                <w:szCs w:val="20"/>
                <w:vertAlign w:val="superscript"/>
                <w:lang w:val="ro-RO" w:eastAsia="ro-MD"/>
              </w:rPr>
              <w:t>2</w:t>
            </w:r>
            <w:r w:rsidRPr="004C0B55">
              <w:rPr>
                <w:rFonts w:ascii="Times New Roman" w:eastAsia="Times New Roman" w:hAnsi="Times New Roman" w:cs="Times New Roman"/>
                <w:b/>
                <w:bCs/>
                <w:sz w:val="20"/>
                <w:szCs w:val="20"/>
                <w:lang w:val="ro-RO" w:eastAsia="ro-MD"/>
              </w:rPr>
              <w:t>.</w:t>
            </w:r>
            <w:r w:rsidRPr="004C0B55">
              <w:rPr>
                <w:rFonts w:ascii="Arial Unicode MS" w:eastAsia="Arial Unicode MS" w:hAnsi="Arial Unicode MS" w:cs="Arial Unicode MS"/>
                <w:color w:val="333333"/>
                <w:sz w:val="20"/>
                <w:szCs w:val="20"/>
                <w:lang w:val="ro-RO" w:eastAsia="ru-RU"/>
              </w:rPr>
              <w:t xml:space="preserve"> </w:t>
            </w:r>
            <w:r w:rsidRPr="004C0B55">
              <w:rPr>
                <w:rFonts w:ascii="Times New Roman" w:eastAsia="Times New Roman" w:hAnsi="Times New Roman" w:cs="Times New Roman"/>
                <w:sz w:val="20"/>
                <w:szCs w:val="20"/>
                <w:lang w:val="ro-RO" w:eastAsia="ro-MD"/>
              </w:rPr>
              <w:t>În sensul punctului 97</w:t>
            </w:r>
            <w:r w:rsidRPr="004C0B55">
              <w:rPr>
                <w:rFonts w:ascii="Times New Roman" w:eastAsia="Times New Roman" w:hAnsi="Times New Roman" w:cs="Times New Roman"/>
                <w:sz w:val="20"/>
                <w:szCs w:val="20"/>
                <w:vertAlign w:val="superscript"/>
                <w:lang w:val="ro-RO" w:eastAsia="ro-MD"/>
              </w:rPr>
              <w:t>1</w:t>
            </w:r>
            <w:r w:rsidRPr="004C0B55">
              <w:rPr>
                <w:rFonts w:ascii="Times New Roman" w:eastAsia="Times New Roman" w:hAnsi="Times New Roman" w:cs="Times New Roman"/>
                <w:b/>
                <w:bCs/>
                <w:sz w:val="20"/>
                <w:szCs w:val="20"/>
                <w:lang w:val="ro-RO" w:eastAsia="ro-MD"/>
              </w:rPr>
              <w:t xml:space="preserve"> </w:t>
            </w:r>
            <w:r w:rsidRPr="004C0B55">
              <w:rPr>
                <w:rFonts w:ascii="Times New Roman" w:eastAsia="Times New Roman" w:hAnsi="Times New Roman" w:cs="Times New Roman"/>
                <w:sz w:val="20"/>
                <w:szCs w:val="20"/>
                <w:lang w:val="ro-RO" w:eastAsia="ro-MD"/>
              </w:rPr>
              <w:t>subpunctul 5), fluxurile de numerar generate nu sunt considerate previzibile decât în cazul în care o parte semnificativă din venituri îndeplinește următoarele condiții:</w:t>
            </w:r>
          </w:p>
          <w:p w14:paraId="664C57CE"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1) este îndeplinit unul dintre următoarele criterii:</w:t>
            </w:r>
          </w:p>
          <w:p w14:paraId="19D168BC"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a) veniturile se bazează pe disponibilitate („availability-based”);</w:t>
            </w:r>
          </w:p>
          <w:p w14:paraId="11ABA12F"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b) veniturile fac obiectul unei reglementări privind rata de rentabilitate;</w:t>
            </w:r>
          </w:p>
          <w:p w14:paraId="005333FD"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c) veniturile fac obiectul unui contract cu obligații de plată necondiționate („take-or-pay contract”);</w:t>
            </w:r>
          </w:p>
          <w:p w14:paraId="12FE0EF6"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d) nivelul producției sau al utilizării și prețul îndeplinesc în mod independent unul dintre următoarele criterii:</w:t>
            </w:r>
          </w:p>
          <w:p w14:paraId="3790A0A0"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 este reglementat;</w:t>
            </w:r>
          </w:p>
          <w:p w14:paraId="426EF73E"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 este fixat prin contract;</w:t>
            </w:r>
          </w:p>
          <w:p w14:paraId="360FDEC4"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 este suficient de previzibil ca urmare a riscului scăzut aferent cererii;</w:t>
            </w:r>
          </w:p>
          <w:p w14:paraId="19E1C57F"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2) în cazul în care veniturile debitorului nu sunt finanțate prin plăți provenind de la un număr mare de utilizatori, partea care acceptă să achiziționeze bunurile sau serviciile furnizate de debitor trebuie să fie una dintre următoarele:</w:t>
            </w:r>
          </w:p>
          <w:p w14:paraId="056246C6"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a) o bancă centrală, o administrație centrală, o administrație regională sau o autoritate locală, cu condiția ca acestora să li se atribuie o pondere de risc de 0 %, în conformitate cu secțiunea 1 și 2 din capitolul IV, sau un rating ECAI cu un nivel de calitate a creditului de cel puțin 3;</w:t>
            </w:r>
          </w:p>
          <w:p w14:paraId="2641BECC"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b) o entitate din sectorul public, cu condiția să i se atribuie o pondere de risc de cel mult 20 % în conformitate cu secțiunea a 3-a din capitolul IV sau un rating ECAI cu un nivel de calitate a creditului de cel puțin 3;</w:t>
            </w:r>
          </w:p>
          <w:p w14:paraId="434159AC"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c) o bancă multilaterală de dezvoltare menționată la punctul 46;</w:t>
            </w:r>
          </w:p>
          <w:p w14:paraId="3D19F2DA"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d) o organizație internațională menționată la punctul 47;</w:t>
            </w:r>
          </w:p>
          <w:p w14:paraId="27866718" w14:textId="77777777" w:rsidR="000B4AB6" w:rsidRPr="004C0B55" w:rsidRDefault="000B4AB6" w:rsidP="000B4AB6">
            <w:pPr>
              <w:spacing w:after="0" w:line="240" w:lineRule="auto"/>
              <w:jc w:val="both"/>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e) o societate căreia i s-a atribuit un rating ECAI cu un nivel de calitate a creditului de cel puțin 3;</w:t>
            </w:r>
          </w:p>
          <w:p w14:paraId="067BC9F1" w14:textId="77777777" w:rsidR="000B4AB6" w:rsidRDefault="000B4AB6" w:rsidP="000B4AB6">
            <w:pPr>
              <w:spacing w:after="0" w:line="240" w:lineRule="auto"/>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sz w:val="20"/>
                <w:szCs w:val="20"/>
                <w:lang w:val="ro-RO" w:eastAsia="ro-MD"/>
              </w:rPr>
              <w:t>f) o entitate care poate fi înlocuită fără ca nivelul veniturilor și data de realizare a acestora să se modifice în mod semnificativ</w:t>
            </w:r>
            <w:r>
              <w:rPr>
                <w:rFonts w:ascii="Times New Roman" w:eastAsia="Times New Roman" w:hAnsi="Times New Roman" w:cs="Times New Roman"/>
                <w:sz w:val="20"/>
                <w:szCs w:val="20"/>
                <w:lang w:val="ro-RO" w:eastAsia="ro-MD"/>
              </w:rPr>
              <w:t>.</w:t>
            </w:r>
          </w:p>
          <w:p w14:paraId="732F30E0" w14:textId="470F84D0" w:rsidR="000B4AB6" w:rsidRPr="004C0B55" w:rsidRDefault="000B4AB6" w:rsidP="000B4AB6">
            <w:pPr>
              <w:spacing w:after="0" w:line="240" w:lineRule="auto"/>
              <w:rPr>
                <w:rFonts w:ascii="Times New Roman" w:eastAsia="Times New Roman" w:hAnsi="Times New Roman" w:cs="Times New Roman"/>
                <w:b/>
                <w:bCs/>
                <w:sz w:val="20"/>
                <w:szCs w:val="20"/>
                <w:lang w:val="ro-RO" w:eastAsia="ro-MD"/>
              </w:rPr>
            </w:pPr>
            <w:r w:rsidRPr="006F5136">
              <w:rPr>
                <w:rFonts w:ascii="Times New Roman" w:eastAsia="Times New Roman" w:hAnsi="Times New Roman" w:cs="Times New Roman"/>
                <w:i/>
                <w:iCs/>
                <w:sz w:val="18"/>
                <w:szCs w:val="18"/>
                <w:lang w:val="ro-RO" w:eastAsia="ro-MD"/>
              </w:rPr>
              <w:t>Proiectul HCE al BNM privind modificarea Regulamentului nr.111/2018</w:t>
            </w:r>
          </w:p>
        </w:tc>
        <w:tc>
          <w:tcPr>
            <w:tcW w:w="503" w:type="pct"/>
          </w:tcPr>
          <w:p w14:paraId="7472F510" w14:textId="52AA7D62" w:rsidR="000B4AB6" w:rsidRPr="00CB3F3F" w:rsidRDefault="000B4AB6" w:rsidP="000B4AB6">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Compatibil</w:t>
            </w:r>
          </w:p>
        </w:tc>
        <w:tc>
          <w:tcPr>
            <w:tcW w:w="912" w:type="pct"/>
          </w:tcPr>
          <w:p w14:paraId="79305208" w14:textId="7198FB0E" w:rsidR="000B4AB6" w:rsidRPr="00CB3F3F" w:rsidRDefault="000B4AB6" w:rsidP="000B4AB6">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Regulamentul nr.111/2018</w:t>
            </w:r>
          </w:p>
        </w:tc>
      </w:tr>
      <w:tr w:rsidR="000B4AB6" w:rsidRPr="006F5136" w14:paraId="7E05177B"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15CE70A" w14:textId="77777777" w:rsidR="000B4AB6" w:rsidRPr="006F5136" w:rsidRDefault="000B4AB6" w:rsidP="000B4AB6">
            <w:pPr>
              <w:shd w:val="clear" w:color="auto" w:fill="FFFFFF"/>
              <w:spacing w:after="0" w:line="240" w:lineRule="auto"/>
              <w:rPr>
                <w:rFonts w:ascii="Times New Roman" w:eastAsia="Arial Unicode MS" w:hAnsi="Times New Roman" w:cs="Times New Roman"/>
                <w:color w:val="000000" w:themeColor="text1"/>
                <w:sz w:val="18"/>
                <w:szCs w:val="18"/>
              </w:rPr>
            </w:pPr>
            <w:r w:rsidRPr="006F5136">
              <w:rPr>
                <w:rStyle w:val="no-parag"/>
                <w:rFonts w:ascii="Times New Roman" w:eastAsia="Arial Unicode MS" w:hAnsi="Times New Roman" w:cs="Times New Roman"/>
                <w:color w:val="000000" w:themeColor="text1"/>
                <w:sz w:val="18"/>
                <w:szCs w:val="18"/>
              </w:rPr>
              <w:t>(3)  </w:t>
            </w:r>
            <w:r w:rsidRPr="006F5136">
              <w:rPr>
                <w:rFonts w:ascii="Times New Roman" w:eastAsia="Arial Unicode MS" w:hAnsi="Times New Roman" w:cs="Times New Roman"/>
                <w:color w:val="000000" w:themeColor="text1"/>
                <w:sz w:val="18"/>
                <w:szCs w:val="18"/>
              </w:rPr>
              <w:t xml:space="preserve"> Instituțiile raportează autorităților competente o dată la șase luni valoarea totală </w:t>
            </w:r>
            <w:proofErr w:type="gramStart"/>
            <w:r w:rsidRPr="006F5136">
              <w:rPr>
                <w:rFonts w:ascii="Times New Roman" w:eastAsia="Arial Unicode MS" w:hAnsi="Times New Roman" w:cs="Times New Roman"/>
                <w:color w:val="000000" w:themeColor="text1"/>
                <w:sz w:val="18"/>
                <w:szCs w:val="18"/>
              </w:rPr>
              <w:t>a</w:t>
            </w:r>
            <w:proofErr w:type="gramEnd"/>
            <w:r w:rsidRPr="006F5136">
              <w:rPr>
                <w:rFonts w:ascii="Times New Roman" w:eastAsia="Arial Unicode MS" w:hAnsi="Times New Roman" w:cs="Times New Roman"/>
                <w:color w:val="000000" w:themeColor="text1"/>
                <w:sz w:val="18"/>
                <w:szCs w:val="18"/>
              </w:rPr>
              <w:t xml:space="preserve"> expunerilor față de entități implicate în proiecte de infrastructură, calculată în conformitate cu alineatul (1) din prezentul articol.</w:t>
            </w:r>
          </w:p>
          <w:p w14:paraId="5A11CEC9" w14:textId="77777777" w:rsidR="000B4AB6" w:rsidRPr="006F5136" w:rsidRDefault="000B4AB6" w:rsidP="000B4AB6">
            <w:pPr>
              <w:pStyle w:val="modref"/>
              <w:shd w:val="clear" w:color="auto" w:fill="FFFFFF"/>
              <w:spacing w:before="0" w:beforeAutospacing="0" w:after="0" w:afterAutospacing="0"/>
              <w:rPr>
                <w:rFonts w:eastAsia="Arial Unicode MS"/>
                <w:b/>
                <w:bCs/>
                <w:color w:val="000000" w:themeColor="text1"/>
                <w:sz w:val="18"/>
                <w:szCs w:val="18"/>
              </w:rPr>
            </w:pPr>
          </w:p>
        </w:tc>
        <w:tc>
          <w:tcPr>
            <w:tcW w:w="1661" w:type="pct"/>
          </w:tcPr>
          <w:p w14:paraId="402EA0D1" w14:textId="77777777" w:rsidR="000B4AB6" w:rsidRDefault="000B4AB6" w:rsidP="000B4AB6">
            <w:pPr>
              <w:spacing w:after="0" w:line="240" w:lineRule="auto"/>
              <w:contextualSpacing/>
              <w:rPr>
                <w:rFonts w:ascii="Times New Roman" w:eastAsia="Times New Roman" w:hAnsi="Times New Roman" w:cs="Times New Roman"/>
                <w:sz w:val="20"/>
                <w:szCs w:val="20"/>
                <w:lang w:val="ro-RO" w:eastAsia="ro-MD"/>
              </w:rPr>
            </w:pPr>
            <w:r w:rsidRPr="004C0B55">
              <w:rPr>
                <w:rFonts w:ascii="Times New Roman" w:eastAsia="Times New Roman" w:hAnsi="Times New Roman" w:cs="Times New Roman"/>
                <w:b/>
                <w:bCs/>
                <w:sz w:val="20"/>
                <w:szCs w:val="20"/>
                <w:lang w:val="ro-RO" w:eastAsia="ro-MD"/>
              </w:rPr>
              <w:t>97</w:t>
            </w:r>
            <w:r w:rsidRPr="004C0B55">
              <w:rPr>
                <w:rFonts w:ascii="Times New Roman" w:eastAsia="Times New Roman" w:hAnsi="Times New Roman" w:cs="Times New Roman"/>
                <w:b/>
                <w:bCs/>
                <w:sz w:val="20"/>
                <w:szCs w:val="20"/>
                <w:vertAlign w:val="superscript"/>
                <w:lang w:val="ro-RO" w:eastAsia="ro-MD"/>
              </w:rPr>
              <w:t>3</w:t>
            </w:r>
            <w:r w:rsidRPr="004C0B55">
              <w:rPr>
                <w:rFonts w:ascii="Times New Roman" w:eastAsia="Times New Roman" w:hAnsi="Times New Roman" w:cs="Times New Roman"/>
                <w:b/>
                <w:bCs/>
                <w:sz w:val="20"/>
                <w:szCs w:val="20"/>
                <w:lang w:val="ro-RO" w:eastAsia="ro-MD"/>
              </w:rPr>
              <w:t>.</w:t>
            </w:r>
            <w:r w:rsidRPr="004C0B55">
              <w:rPr>
                <w:rFonts w:ascii="Arial Unicode MS" w:eastAsia="Arial Unicode MS" w:hAnsi="Arial Unicode MS" w:cs="Arial Unicode MS"/>
                <w:color w:val="333333"/>
                <w:sz w:val="20"/>
                <w:szCs w:val="20"/>
                <w:lang w:val="ro-RO" w:eastAsia="ru-RU"/>
              </w:rPr>
              <w:t xml:space="preserve"> </w:t>
            </w:r>
            <w:r w:rsidRPr="004C0B55">
              <w:rPr>
                <w:rFonts w:ascii="Times New Roman" w:eastAsia="Times New Roman" w:hAnsi="Times New Roman" w:cs="Times New Roman"/>
                <w:sz w:val="20"/>
                <w:szCs w:val="20"/>
                <w:lang w:val="ro-RO" w:eastAsia="ro-MD"/>
              </w:rPr>
              <w:t>Băncile raportează Băncii Naționale a Moldovei o dată la șase luni valoarea totală a expunerilor față de entități implicate în proiecte de infrastructură, calculată în conformitate cu punctul 97</w:t>
            </w:r>
            <w:r w:rsidRPr="004C0B55">
              <w:rPr>
                <w:rFonts w:ascii="Times New Roman" w:eastAsia="Times New Roman" w:hAnsi="Times New Roman" w:cs="Times New Roman"/>
                <w:sz w:val="20"/>
                <w:szCs w:val="20"/>
                <w:vertAlign w:val="superscript"/>
                <w:lang w:val="ro-RO" w:eastAsia="ro-MD"/>
              </w:rPr>
              <w:t>1</w:t>
            </w:r>
            <w:r w:rsidRPr="004C0B55">
              <w:rPr>
                <w:rFonts w:ascii="Times New Roman" w:eastAsia="Times New Roman" w:hAnsi="Times New Roman" w:cs="Times New Roman"/>
                <w:sz w:val="20"/>
                <w:szCs w:val="20"/>
                <w:lang w:val="ro-RO" w:eastAsia="ro-MD"/>
              </w:rPr>
              <w:t>, în conformitate cu actele normative ale Băncii Naționale a Moldovei aferente prezentării de către bănci a rapoartelor COREP în scopuri de supraveghere.</w:t>
            </w:r>
          </w:p>
          <w:p w14:paraId="7836ECFA" w14:textId="3966E758" w:rsidR="000B4AB6" w:rsidRPr="004C0B55" w:rsidRDefault="000B4AB6" w:rsidP="000B4AB6">
            <w:pPr>
              <w:spacing w:after="0" w:line="240" w:lineRule="auto"/>
              <w:jc w:val="both"/>
              <w:rPr>
                <w:rFonts w:ascii="Times New Roman" w:eastAsia="Times New Roman" w:hAnsi="Times New Roman" w:cs="Times New Roman"/>
                <w:b/>
                <w:bCs/>
                <w:sz w:val="20"/>
                <w:szCs w:val="20"/>
                <w:lang w:val="ro-RO" w:eastAsia="ro-MD"/>
              </w:rPr>
            </w:pPr>
            <w:r w:rsidRPr="006F5136">
              <w:rPr>
                <w:rFonts w:ascii="Times New Roman" w:eastAsia="Times New Roman" w:hAnsi="Times New Roman" w:cs="Times New Roman"/>
                <w:i/>
                <w:iCs/>
                <w:sz w:val="18"/>
                <w:szCs w:val="18"/>
                <w:lang w:val="ro-RO" w:eastAsia="ro-MD"/>
              </w:rPr>
              <w:t>Proiectul HCE al BNM privind modificarea Regulamentului nr.111/2018</w:t>
            </w:r>
          </w:p>
        </w:tc>
        <w:tc>
          <w:tcPr>
            <w:tcW w:w="503" w:type="pct"/>
          </w:tcPr>
          <w:p w14:paraId="6E2E2B9A" w14:textId="5D09C20F" w:rsidR="000B4AB6" w:rsidRPr="00CB3F3F" w:rsidRDefault="000B4AB6" w:rsidP="000B4AB6">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Compatibil</w:t>
            </w:r>
          </w:p>
        </w:tc>
        <w:tc>
          <w:tcPr>
            <w:tcW w:w="912" w:type="pct"/>
          </w:tcPr>
          <w:p w14:paraId="7C4BABA7" w14:textId="5A66AE90" w:rsidR="000B4AB6" w:rsidRPr="00CB3F3F" w:rsidRDefault="000B4AB6" w:rsidP="000B4AB6">
            <w:pPr>
              <w:spacing w:after="0" w:line="240" w:lineRule="auto"/>
              <w:rPr>
                <w:rFonts w:ascii="Times New Roman" w:hAnsi="Times New Roman" w:cs="Times New Roman"/>
                <w:sz w:val="20"/>
                <w:szCs w:val="20"/>
                <w:lang w:val="ro-RO"/>
              </w:rPr>
            </w:pPr>
            <w:r w:rsidRPr="00CB3F3F">
              <w:rPr>
                <w:rFonts w:ascii="Times New Roman" w:hAnsi="Times New Roman" w:cs="Times New Roman"/>
                <w:sz w:val="20"/>
                <w:szCs w:val="20"/>
                <w:lang w:val="ro-RO"/>
              </w:rPr>
              <w:t>Regulamentul nr.111/2018</w:t>
            </w:r>
          </w:p>
        </w:tc>
      </w:tr>
      <w:tr w:rsidR="00CB3F3F" w:rsidRPr="006F5136" w14:paraId="012A114A"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9AF82E9" w14:textId="77777777" w:rsidR="00CB3F3F" w:rsidRPr="006F5136" w:rsidRDefault="00CB3F3F" w:rsidP="00CB3F3F">
            <w:pPr>
              <w:shd w:val="clear" w:color="auto" w:fill="FFFFFF"/>
              <w:spacing w:after="0" w:line="240" w:lineRule="auto"/>
              <w:rPr>
                <w:rFonts w:ascii="Times New Roman" w:eastAsia="Arial Unicode MS" w:hAnsi="Times New Roman" w:cs="Times New Roman"/>
                <w:color w:val="000000" w:themeColor="text1"/>
                <w:sz w:val="18"/>
                <w:szCs w:val="18"/>
              </w:rPr>
            </w:pPr>
            <w:r w:rsidRPr="006F5136">
              <w:rPr>
                <w:rStyle w:val="no-parag"/>
                <w:rFonts w:ascii="Times New Roman" w:eastAsia="Arial Unicode MS" w:hAnsi="Times New Roman" w:cs="Times New Roman"/>
                <w:color w:val="000000" w:themeColor="text1"/>
                <w:sz w:val="18"/>
                <w:szCs w:val="18"/>
              </w:rPr>
              <w:t>(4)  </w:t>
            </w:r>
            <w:r w:rsidRPr="006F5136">
              <w:rPr>
                <w:rFonts w:ascii="Times New Roman" w:eastAsia="Arial Unicode MS" w:hAnsi="Times New Roman" w:cs="Times New Roman"/>
                <w:color w:val="000000" w:themeColor="text1"/>
                <w:sz w:val="18"/>
                <w:szCs w:val="18"/>
              </w:rPr>
              <w:t> Până la 28 iunie 2022, Comisia întocmește un raport cu privire la impactul cerințelor de fonduri proprii prevăzute în prezentul regulament asupra creditării entităților implicate în proiecte de infrastructură și transmite Parlamentului European și Consiliului raportul respectiv împreună cu o propunere legislativă, dacă este cazul.</w:t>
            </w:r>
          </w:p>
          <w:p w14:paraId="4D3DDE44" w14:textId="77777777" w:rsidR="00CB3F3F" w:rsidRPr="006F5136" w:rsidRDefault="00CB3F3F" w:rsidP="00CB3F3F">
            <w:pPr>
              <w:shd w:val="clear" w:color="auto" w:fill="FFFFFF"/>
              <w:spacing w:after="0" w:line="240" w:lineRule="auto"/>
              <w:rPr>
                <w:rFonts w:ascii="Times New Roman" w:eastAsia="Arial Unicode MS" w:hAnsi="Times New Roman" w:cs="Times New Roman"/>
                <w:color w:val="000000" w:themeColor="text1"/>
                <w:sz w:val="18"/>
                <w:szCs w:val="18"/>
              </w:rPr>
            </w:pPr>
            <w:r w:rsidRPr="006F5136">
              <w:rPr>
                <w:rStyle w:val="no-parag"/>
                <w:rFonts w:ascii="Times New Roman" w:eastAsia="Arial Unicode MS" w:hAnsi="Times New Roman" w:cs="Times New Roman"/>
                <w:color w:val="000000" w:themeColor="text1"/>
                <w:sz w:val="18"/>
                <w:szCs w:val="18"/>
              </w:rPr>
              <w:t>(5)  </w:t>
            </w:r>
            <w:r w:rsidRPr="006F5136">
              <w:rPr>
                <w:rFonts w:ascii="Times New Roman" w:eastAsia="Arial Unicode MS" w:hAnsi="Times New Roman" w:cs="Times New Roman"/>
                <w:color w:val="000000" w:themeColor="text1"/>
                <w:sz w:val="18"/>
                <w:szCs w:val="18"/>
              </w:rPr>
              <w:t> În sensul alineatului (4), ABE transmite Comisiei următoarele:</w:t>
            </w:r>
          </w:p>
          <w:p w14:paraId="5984A454" w14:textId="77777777" w:rsidR="00CB3F3F" w:rsidRPr="006F5136" w:rsidRDefault="00CB3F3F" w:rsidP="00CB3F3F">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(a) o analiză </w:t>
            </w:r>
            <w:proofErr w:type="gramStart"/>
            <w:r w:rsidRPr="006F5136">
              <w:rPr>
                <w:rFonts w:ascii="Times New Roman" w:eastAsia="Arial Unicode MS" w:hAnsi="Times New Roman" w:cs="Times New Roman"/>
                <w:color w:val="000000" w:themeColor="text1"/>
                <w:sz w:val="18"/>
                <w:szCs w:val="18"/>
              </w:rPr>
              <w:t>a</w:t>
            </w:r>
            <w:proofErr w:type="gramEnd"/>
            <w:r w:rsidRPr="006F5136">
              <w:rPr>
                <w:rFonts w:ascii="Times New Roman" w:eastAsia="Arial Unicode MS" w:hAnsi="Times New Roman" w:cs="Times New Roman"/>
                <w:color w:val="000000" w:themeColor="text1"/>
                <w:sz w:val="18"/>
                <w:szCs w:val="18"/>
              </w:rPr>
              <w:t xml:space="preserve"> evoluției tendințelor și condițiilor de pe piețele de creditare în domeniul infrastructurii și de finanțare de proiecte pe parcursul perioadei menționate la alineatul (4</w:t>
            </w:r>
            <w:proofErr w:type="gramStart"/>
            <w:r w:rsidRPr="006F5136">
              <w:rPr>
                <w:rFonts w:ascii="Times New Roman" w:eastAsia="Arial Unicode MS" w:hAnsi="Times New Roman" w:cs="Times New Roman"/>
                <w:color w:val="000000" w:themeColor="text1"/>
                <w:sz w:val="18"/>
                <w:szCs w:val="18"/>
              </w:rPr>
              <w:t>);</w:t>
            </w:r>
            <w:proofErr w:type="gramEnd"/>
          </w:p>
          <w:p w14:paraId="50A10B3F" w14:textId="77777777" w:rsidR="00CB3F3F" w:rsidRPr="006F5136" w:rsidRDefault="00CB3F3F" w:rsidP="00CB3F3F">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 xml:space="preserve">(b) o analiză a gradului efectiv de risc pe care îl prezintă entitățile menționate la alineatul (1) litera (b) pe parcursul unui ciclu economic </w:t>
            </w:r>
            <w:proofErr w:type="gramStart"/>
            <w:r w:rsidRPr="006F5136">
              <w:rPr>
                <w:rFonts w:ascii="Times New Roman" w:eastAsia="Arial Unicode MS" w:hAnsi="Times New Roman" w:cs="Times New Roman"/>
                <w:color w:val="000000" w:themeColor="text1"/>
                <w:sz w:val="18"/>
                <w:szCs w:val="18"/>
              </w:rPr>
              <w:t>complet;</w:t>
            </w:r>
            <w:proofErr w:type="gramEnd"/>
          </w:p>
          <w:p w14:paraId="4D395CD5" w14:textId="77777777" w:rsidR="00CB3F3F" w:rsidRPr="006F5136" w:rsidRDefault="00CB3F3F" w:rsidP="00CB3F3F">
            <w:pPr>
              <w:shd w:val="clear" w:color="auto" w:fill="FFFFFF"/>
              <w:spacing w:after="0" w:line="240" w:lineRule="auto"/>
              <w:jc w:val="both"/>
              <w:rPr>
                <w:rFonts w:ascii="Times New Roman" w:eastAsia="Arial Unicode MS" w:hAnsi="Times New Roman" w:cs="Times New Roman"/>
                <w:color w:val="000000" w:themeColor="text1"/>
                <w:sz w:val="18"/>
                <w:szCs w:val="18"/>
              </w:rPr>
            </w:pPr>
            <w:r w:rsidRPr="006F5136">
              <w:rPr>
                <w:rFonts w:ascii="Times New Roman" w:eastAsia="Arial Unicode MS" w:hAnsi="Times New Roman" w:cs="Times New Roman"/>
                <w:color w:val="000000" w:themeColor="text1"/>
                <w:sz w:val="18"/>
                <w:szCs w:val="18"/>
              </w:rPr>
              <w:t>(c) coerența dintre cerințele de fonduri proprii prevăzute în prezentul regulament și rezultatele analizei stabilite la literele (a) și (b) de la prezentul alineat.</w:t>
            </w:r>
          </w:p>
          <w:p w14:paraId="177C8260" w14:textId="77777777" w:rsidR="00CB3F3F" w:rsidRPr="006F5136" w:rsidRDefault="00CB3F3F" w:rsidP="00CE7F79">
            <w:pPr>
              <w:pStyle w:val="modref"/>
              <w:shd w:val="clear" w:color="auto" w:fill="FFFFFF"/>
              <w:spacing w:before="0" w:beforeAutospacing="0" w:after="0" w:afterAutospacing="0"/>
              <w:rPr>
                <w:rFonts w:eastAsia="Arial Unicode MS"/>
                <w:b/>
                <w:bCs/>
                <w:color w:val="000000" w:themeColor="text1"/>
                <w:sz w:val="18"/>
                <w:szCs w:val="18"/>
              </w:rPr>
            </w:pPr>
          </w:p>
        </w:tc>
        <w:tc>
          <w:tcPr>
            <w:tcW w:w="1661" w:type="pct"/>
          </w:tcPr>
          <w:p w14:paraId="1EA26974" w14:textId="77777777" w:rsidR="00CB3F3F" w:rsidRPr="004C0B55" w:rsidRDefault="00CB3F3F" w:rsidP="00CE7F79">
            <w:pPr>
              <w:spacing w:after="0" w:line="240" w:lineRule="auto"/>
              <w:rPr>
                <w:rFonts w:ascii="Times New Roman" w:eastAsia="Times New Roman" w:hAnsi="Times New Roman" w:cs="Times New Roman"/>
                <w:b/>
                <w:bCs/>
                <w:sz w:val="20"/>
                <w:szCs w:val="20"/>
                <w:lang w:val="ro-RO" w:eastAsia="ro-MD"/>
              </w:rPr>
            </w:pPr>
          </w:p>
        </w:tc>
        <w:tc>
          <w:tcPr>
            <w:tcW w:w="503" w:type="pct"/>
          </w:tcPr>
          <w:p w14:paraId="57B4530B" w14:textId="34E211EC" w:rsidR="00CB3F3F" w:rsidRPr="00CB3F3F" w:rsidRDefault="00CB3F3F" w:rsidP="00CE7F79">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Prevederi UE neaplicabile</w:t>
            </w:r>
          </w:p>
        </w:tc>
        <w:tc>
          <w:tcPr>
            <w:tcW w:w="912" w:type="pct"/>
          </w:tcPr>
          <w:p w14:paraId="3BE2A6E9" w14:textId="77164578" w:rsidR="00CB3F3F" w:rsidRPr="00CB3F3F" w:rsidRDefault="001F5050" w:rsidP="00CE7F79">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Vizează atribuțiile Comisiei.</w:t>
            </w:r>
          </w:p>
        </w:tc>
      </w:tr>
      <w:tr w:rsidR="00983976" w:rsidRPr="006F5136" w14:paraId="3A1AAB18" w14:textId="77777777" w:rsidTr="0006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BAB1D8B" w14:textId="06A6A0A2" w:rsidR="006F5136" w:rsidRPr="006F5136" w:rsidRDefault="006F5136" w:rsidP="006F5136">
            <w:pPr>
              <w:pStyle w:val="title-annex-1"/>
              <w:shd w:val="clear" w:color="auto" w:fill="FFFFFF"/>
              <w:spacing w:before="0" w:beforeAutospacing="0" w:after="0" w:afterAutospacing="0"/>
              <w:rPr>
                <w:rFonts w:eastAsia="Arial Unicode MS"/>
                <w:b/>
                <w:bCs/>
                <w:color w:val="000000" w:themeColor="text1"/>
                <w:sz w:val="18"/>
                <w:szCs w:val="18"/>
              </w:rPr>
            </w:pPr>
            <w:r w:rsidRPr="006F5136">
              <w:rPr>
                <w:rFonts w:eastAsia="Arial Unicode MS"/>
                <w:i/>
                <w:iCs/>
                <w:color w:val="000000" w:themeColor="text1"/>
                <w:sz w:val="18"/>
                <w:szCs w:val="18"/>
              </w:rPr>
              <w:t>ANEXA I</w:t>
            </w:r>
            <w:r>
              <w:rPr>
                <w:rFonts w:eastAsia="Arial Unicode MS"/>
                <w:i/>
                <w:iCs/>
                <w:color w:val="000000" w:themeColor="text1"/>
                <w:sz w:val="18"/>
                <w:szCs w:val="18"/>
              </w:rPr>
              <w:t xml:space="preserve"> </w:t>
            </w:r>
            <w:r w:rsidRPr="006F5136">
              <w:rPr>
                <w:rFonts w:eastAsia="Arial Unicode MS"/>
                <w:b/>
                <w:bCs/>
                <w:color w:val="000000" w:themeColor="text1"/>
                <w:sz w:val="18"/>
                <w:szCs w:val="18"/>
              </w:rPr>
              <w:t>Clasificarea elementelor extrabilanțiere</w:t>
            </w:r>
          </w:p>
          <w:p w14:paraId="3E990788" w14:textId="77777777" w:rsidR="006F5136" w:rsidRPr="006F5136" w:rsidRDefault="006F5136" w:rsidP="006F5136">
            <w:pPr>
              <w:pStyle w:val="NormalWeb"/>
              <w:shd w:val="clear" w:color="auto" w:fill="FFFFFF"/>
              <w:rPr>
                <w:rFonts w:eastAsia="Arial Unicode MS"/>
                <w:color w:val="000000" w:themeColor="text1"/>
                <w:sz w:val="18"/>
                <w:szCs w:val="18"/>
                <w:lang w:val="en-US"/>
              </w:rPr>
            </w:pPr>
          </w:p>
          <w:p w14:paraId="0FC2C26D" w14:textId="77777777" w:rsidR="006F5136" w:rsidRPr="006F5136" w:rsidRDefault="006F5136" w:rsidP="006F5136">
            <w:pPr>
              <w:pStyle w:val="NormalWeb"/>
              <w:shd w:val="clear" w:color="auto" w:fill="FFFFFF"/>
              <w:jc w:val="center"/>
              <w:rPr>
                <w:rFonts w:eastAsia="Arial Unicode MS"/>
                <w:color w:val="000000" w:themeColor="text1"/>
                <w:sz w:val="18"/>
                <w:szCs w:val="18"/>
                <w:lang w:val="en-US"/>
              </w:rPr>
            </w:pPr>
          </w:p>
          <w:tbl>
            <w:tblPr>
              <w:tblW w:w="4798"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60"/>
              <w:gridCol w:w="4438"/>
            </w:tblGrid>
            <w:tr w:rsidR="006F5136" w:rsidRPr="006F5136" w14:paraId="0195587E" w14:textId="77777777" w:rsidTr="006F5136">
              <w:trPr>
                <w:trHeight w:val="261"/>
                <w:jc w:val="center"/>
              </w:trPr>
              <w:tc>
                <w:tcPr>
                  <w:tcW w:w="360" w:type="dxa"/>
                  <w:tcBorders>
                    <w:top w:val="outset" w:sz="6" w:space="0" w:color="auto"/>
                    <w:left w:val="outset" w:sz="6" w:space="0" w:color="auto"/>
                    <w:bottom w:val="outset" w:sz="6" w:space="0" w:color="auto"/>
                    <w:right w:val="outset" w:sz="6" w:space="0" w:color="auto"/>
                  </w:tcBorders>
                  <w:shd w:val="clear" w:color="auto" w:fill="auto"/>
                  <w:hideMark/>
                </w:tcPr>
                <w:p w14:paraId="3DA99728" w14:textId="77777777" w:rsidR="006F5136" w:rsidRPr="006F5136" w:rsidRDefault="006F5136" w:rsidP="006F5136">
                  <w:pPr>
                    <w:pStyle w:val="tbl-norm"/>
                    <w:spacing w:before="0" w:after="0"/>
                    <w:rPr>
                      <w:b/>
                      <w:bCs/>
                      <w:color w:val="000000" w:themeColor="text1"/>
                      <w:sz w:val="18"/>
                      <w:szCs w:val="18"/>
                    </w:rPr>
                  </w:pPr>
                  <w:r w:rsidRPr="006F5136">
                    <w:rPr>
                      <w:b/>
                      <w:bCs/>
                      <w:color w:val="000000" w:themeColor="text1"/>
                      <w:sz w:val="18"/>
                      <w:szCs w:val="18"/>
                    </w:rPr>
                    <w:t>Banda</w:t>
                  </w:r>
                </w:p>
              </w:tc>
              <w:tc>
                <w:tcPr>
                  <w:tcW w:w="4438" w:type="dxa"/>
                  <w:tcBorders>
                    <w:top w:val="outset" w:sz="6" w:space="0" w:color="auto"/>
                    <w:left w:val="outset" w:sz="6" w:space="0" w:color="auto"/>
                    <w:bottom w:val="outset" w:sz="6" w:space="0" w:color="auto"/>
                    <w:right w:val="outset" w:sz="6" w:space="0" w:color="auto"/>
                  </w:tcBorders>
                  <w:shd w:val="clear" w:color="auto" w:fill="auto"/>
                  <w:hideMark/>
                </w:tcPr>
                <w:p w14:paraId="2E189EEB" w14:textId="77777777" w:rsidR="006F5136" w:rsidRPr="006F5136" w:rsidRDefault="006F5136" w:rsidP="006F5136">
                  <w:pPr>
                    <w:pStyle w:val="tbl-norm"/>
                    <w:spacing w:before="0" w:after="0"/>
                    <w:rPr>
                      <w:b/>
                      <w:bCs/>
                      <w:color w:val="000000" w:themeColor="text1"/>
                      <w:sz w:val="18"/>
                      <w:szCs w:val="18"/>
                    </w:rPr>
                  </w:pPr>
                  <w:r w:rsidRPr="006F5136">
                    <w:rPr>
                      <w:b/>
                      <w:bCs/>
                      <w:color w:val="000000" w:themeColor="text1"/>
                      <w:sz w:val="18"/>
                      <w:szCs w:val="18"/>
                    </w:rPr>
                    <w:t>Elemente</w:t>
                  </w:r>
                </w:p>
              </w:tc>
            </w:tr>
            <w:tr w:rsidR="006F5136" w:rsidRPr="006F5136" w14:paraId="45BC40F6" w14:textId="77777777" w:rsidTr="006F5136">
              <w:trPr>
                <w:trHeight w:val="2839"/>
                <w:jc w:val="center"/>
              </w:trPr>
              <w:tc>
                <w:tcPr>
                  <w:tcW w:w="360" w:type="dxa"/>
                  <w:tcBorders>
                    <w:top w:val="outset" w:sz="6" w:space="0" w:color="auto"/>
                    <w:left w:val="outset" w:sz="6" w:space="0" w:color="auto"/>
                    <w:bottom w:val="outset" w:sz="6" w:space="0" w:color="auto"/>
                    <w:right w:val="outset" w:sz="6" w:space="0" w:color="auto"/>
                  </w:tcBorders>
                  <w:shd w:val="clear" w:color="auto" w:fill="auto"/>
                  <w:hideMark/>
                </w:tcPr>
                <w:p w14:paraId="59709950" w14:textId="77777777" w:rsidR="006F5136" w:rsidRPr="006F5136" w:rsidRDefault="006F5136" w:rsidP="006F5136">
                  <w:pPr>
                    <w:pStyle w:val="tbl-norm"/>
                    <w:spacing w:before="0" w:after="0"/>
                    <w:rPr>
                      <w:color w:val="000000" w:themeColor="text1"/>
                      <w:sz w:val="18"/>
                      <w:szCs w:val="18"/>
                    </w:rPr>
                  </w:pPr>
                  <w:r w:rsidRPr="006F5136">
                    <w:rPr>
                      <w:color w:val="000000" w:themeColor="text1"/>
                      <w:sz w:val="18"/>
                      <w:szCs w:val="18"/>
                    </w:rPr>
                    <w:t>1.</w:t>
                  </w:r>
                </w:p>
              </w:tc>
              <w:tc>
                <w:tcPr>
                  <w:tcW w:w="4438" w:type="dxa"/>
                  <w:tcBorders>
                    <w:top w:val="outset" w:sz="6" w:space="0" w:color="auto"/>
                    <w:left w:val="outset" w:sz="6" w:space="0" w:color="auto"/>
                    <w:bottom w:val="outset" w:sz="6" w:space="0" w:color="auto"/>
                    <w:right w:val="outset" w:sz="6" w:space="0" w:color="auto"/>
                  </w:tcBorders>
                  <w:shd w:val="clear" w:color="auto" w:fill="auto"/>
                  <w:hideMark/>
                </w:tcPr>
                <w:p w14:paraId="4FB66D1A"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 xml:space="preserve">(a)  Instrumente financiare derivate de credit și garanții generale de îndatorare, inclusiv acreditive stand-by care servesc drept garanții financiare pentru împrumuturi și titluri de valoare, și acceptări, inclusiv andosări cu caracter de acceptări, precum și orice alt substitut direct de </w:t>
                  </w:r>
                  <w:proofErr w:type="gramStart"/>
                  <w:r w:rsidRPr="006F5136">
                    <w:rPr>
                      <w:color w:val="000000" w:themeColor="text1"/>
                      <w:sz w:val="18"/>
                      <w:szCs w:val="18"/>
                    </w:rPr>
                    <w:t>credit;</w:t>
                  </w:r>
                  <w:proofErr w:type="gramEnd"/>
                </w:p>
                <w:p w14:paraId="248457FD"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 xml:space="preserve">(b)  Acorduri repo și vânzări de active cu recurs, în cazul în care riscul de credit rămâne la </w:t>
                  </w:r>
                  <w:proofErr w:type="gramStart"/>
                  <w:r w:rsidRPr="006F5136">
                    <w:rPr>
                      <w:color w:val="000000" w:themeColor="text1"/>
                      <w:sz w:val="18"/>
                      <w:szCs w:val="18"/>
                    </w:rPr>
                    <w:t>instituție;</w:t>
                  </w:r>
                  <w:proofErr w:type="gramEnd"/>
                </w:p>
                <w:p w14:paraId="04303AB6"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 xml:space="preserve">(c)  Titluri de valoare date cu împrumut de către instituție sau titluri de valoare furnizate de instituție drept garanții reale, inclusiv cazurile în care acestea rezultă din tranzacții de tip </w:t>
                  </w:r>
                  <w:proofErr w:type="gramStart"/>
                  <w:r w:rsidRPr="006F5136">
                    <w:rPr>
                      <w:color w:val="000000" w:themeColor="text1"/>
                      <w:sz w:val="18"/>
                      <w:szCs w:val="18"/>
                    </w:rPr>
                    <w:t>repo;</w:t>
                  </w:r>
                  <w:proofErr w:type="gramEnd"/>
                </w:p>
                <w:p w14:paraId="49491BA1"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 xml:space="preserve">(d)  Achiziții de active la termen, depozite la termen și acțiuni și titluri de valoare plătite parțial, care reprezintă angajamente cu anumite </w:t>
                  </w:r>
                  <w:proofErr w:type="gramStart"/>
                  <w:r w:rsidRPr="006F5136">
                    <w:rPr>
                      <w:color w:val="000000" w:themeColor="text1"/>
                      <w:sz w:val="18"/>
                      <w:szCs w:val="18"/>
                    </w:rPr>
                    <w:t>trageri;</w:t>
                  </w:r>
                  <w:proofErr w:type="gramEnd"/>
                </w:p>
                <w:p w14:paraId="14B5BC38"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 xml:space="preserve">(e)  Elemente extrabilanțiere care constituie un substitut de credit, în cazul în care nu sunt incluse în mod explicit în nicio altă </w:t>
                  </w:r>
                  <w:proofErr w:type="gramStart"/>
                  <w:r w:rsidRPr="006F5136">
                    <w:rPr>
                      <w:color w:val="000000" w:themeColor="text1"/>
                      <w:sz w:val="18"/>
                      <w:szCs w:val="18"/>
                    </w:rPr>
                    <w:t>categorie;</w:t>
                  </w:r>
                  <w:proofErr w:type="gramEnd"/>
                </w:p>
                <w:p w14:paraId="1B0263D2"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(f)  Alte elemente extrabilanțiere care prezintă un risc similar, astfel cum sunt comunicate ABE.</w:t>
                  </w:r>
                </w:p>
              </w:tc>
            </w:tr>
            <w:tr w:rsidR="006F5136" w:rsidRPr="006F5136" w14:paraId="744367C0" w14:textId="77777777" w:rsidTr="006F5136">
              <w:trPr>
                <w:trHeight w:val="764"/>
                <w:jc w:val="center"/>
              </w:trPr>
              <w:tc>
                <w:tcPr>
                  <w:tcW w:w="360" w:type="dxa"/>
                  <w:tcBorders>
                    <w:top w:val="outset" w:sz="6" w:space="0" w:color="auto"/>
                    <w:left w:val="outset" w:sz="6" w:space="0" w:color="auto"/>
                    <w:bottom w:val="outset" w:sz="6" w:space="0" w:color="auto"/>
                    <w:right w:val="outset" w:sz="6" w:space="0" w:color="auto"/>
                  </w:tcBorders>
                  <w:shd w:val="clear" w:color="auto" w:fill="auto"/>
                  <w:hideMark/>
                </w:tcPr>
                <w:p w14:paraId="6214F6C1" w14:textId="77777777" w:rsidR="006F5136" w:rsidRPr="006F5136" w:rsidRDefault="006F5136" w:rsidP="006F5136">
                  <w:pPr>
                    <w:pStyle w:val="tbl-norm"/>
                    <w:spacing w:before="0" w:after="0"/>
                    <w:rPr>
                      <w:color w:val="000000" w:themeColor="text1"/>
                      <w:sz w:val="18"/>
                      <w:szCs w:val="18"/>
                    </w:rPr>
                  </w:pPr>
                  <w:r w:rsidRPr="006F5136">
                    <w:rPr>
                      <w:color w:val="000000" w:themeColor="text1"/>
                      <w:sz w:val="18"/>
                      <w:szCs w:val="18"/>
                    </w:rPr>
                    <w:t>2.</w:t>
                  </w:r>
                </w:p>
              </w:tc>
              <w:tc>
                <w:tcPr>
                  <w:tcW w:w="4438" w:type="dxa"/>
                  <w:tcBorders>
                    <w:top w:val="outset" w:sz="6" w:space="0" w:color="auto"/>
                    <w:left w:val="outset" w:sz="6" w:space="0" w:color="auto"/>
                    <w:bottom w:val="outset" w:sz="6" w:space="0" w:color="auto"/>
                    <w:right w:val="outset" w:sz="6" w:space="0" w:color="auto"/>
                  </w:tcBorders>
                  <w:shd w:val="clear" w:color="auto" w:fill="auto"/>
                  <w:hideMark/>
                </w:tcPr>
                <w:p w14:paraId="594B3EB3"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(a)  Facilități de emisiune de efecte (NIF) și facilități reînnoibile de subscriere fermă (RUF), indiferent de scadența facilității-</w:t>
                  </w:r>
                  <w:proofErr w:type="gramStart"/>
                  <w:r w:rsidRPr="006F5136">
                    <w:rPr>
                      <w:color w:val="000000" w:themeColor="text1"/>
                      <w:sz w:val="18"/>
                      <w:szCs w:val="18"/>
                    </w:rPr>
                    <w:t>suport;</w:t>
                  </w:r>
                  <w:proofErr w:type="gramEnd"/>
                </w:p>
                <w:p w14:paraId="36B14B25"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 xml:space="preserve">(b)  Garanții de bună execuție, garanții de participare la licitații, garanții și acreditive stand-by legate de anumite tranzacții și elemente contingente similare legate de tranzacții, cu excepția elementelor extrabilanțiere aferente finanțării comerțului menționate în banda </w:t>
                  </w:r>
                  <w:proofErr w:type="gramStart"/>
                  <w:r w:rsidRPr="006F5136">
                    <w:rPr>
                      <w:color w:val="000000" w:themeColor="text1"/>
                      <w:sz w:val="18"/>
                      <w:szCs w:val="18"/>
                    </w:rPr>
                    <w:t>4;</w:t>
                  </w:r>
                  <w:proofErr w:type="gramEnd"/>
                </w:p>
                <w:p w14:paraId="4A9C966B"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(c)  Alte elemente extrabilanțiere care prezintă un risc similar, astfel cum sunt comunicate ABE.</w:t>
                  </w:r>
                </w:p>
              </w:tc>
            </w:tr>
            <w:tr w:rsidR="006F5136" w:rsidRPr="006F5136" w14:paraId="180E91F9" w14:textId="77777777" w:rsidTr="006F5136">
              <w:trPr>
                <w:trHeight w:val="783"/>
                <w:jc w:val="center"/>
              </w:trPr>
              <w:tc>
                <w:tcPr>
                  <w:tcW w:w="360" w:type="dxa"/>
                  <w:tcBorders>
                    <w:top w:val="outset" w:sz="6" w:space="0" w:color="auto"/>
                    <w:left w:val="outset" w:sz="6" w:space="0" w:color="auto"/>
                    <w:bottom w:val="outset" w:sz="6" w:space="0" w:color="auto"/>
                    <w:right w:val="outset" w:sz="6" w:space="0" w:color="auto"/>
                  </w:tcBorders>
                  <w:shd w:val="clear" w:color="auto" w:fill="auto"/>
                  <w:hideMark/>
                </w:tcPr>
                <w:p w14:paraId="58F02BA2" w14:textId="77777777" w:rsidR="006F5136" w:rsidRPr="006F5136" w:rsidRDefault="006F5136" w:rsidP="006F5136">
                  <w:pPr>
                    <w:pStyle w:val="tbl-norm"/>
                    <w:spacing w:before="0" w:after="0"/>
                    <w:rPr>
                      <w:color w:val="000000" w:themeColor="text1"/>
                      <w:sz w:val="18"/>
                      <w:szCs w:val="18"/>
                    </w:rPr>
                  </w:pPr>
                  <w:r w:rsidRPr="006F5136">
                    <w:rPr>
                      <w:color w:val="000000" w:themeColor="text1"/>
                      <w:sz w:val="18"/>
                      <w:szCs w:val="18"/>
                    </w:rPr>
                    <w:t>3.</w:t>
                  </w:r>
                </w:p>
              </w:tc>
              <w:tc>
                <w:tcPr>
                  <w:tcW w:w="4438" w:type="dxa"/>
                  <w:tcBorders>
                    <w:top w:val="outset" w:sz="6" w:space="0" w:color="auto"/>
                    <w:left w:val="outset" w:sz="6" w:space="0" w:color="auto"/>
                    <w:bottom w:val="outset" w:sz="6" w:space="0" w:color="auto"/>
                    <w:right w:val="outset" w:sz="6" w:space="0" w:color="auto"/>
                  </w:tcBorders>
                  <w:shd w:val="clear" w:color="auto" w:fill="auto"/>
                  <w:hideMark/>
                </w:tcPr>
                <w:p w14:paraId="10C6BB7F"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 xml:space="preserve">(a)  Cuantumul neutilizat din angajamente, indiferent de scadența facilității-suport, cu excepția cazului în care se încadrează într-o altă </w:t>
                  </w:r>
                  <w:proofErr w:type="gramStart"/>
                  <w:r w:rsidRPr="006F5136">
                    <w:rPr>
                      <w:color w:val="000000" w:themeColor="text1"/>
                      <w:sz w:val="18"/>
                      <w:szCs w:val="18"/>
                    </w:rPr>
                    <w:t>categorie;</w:t>
                  </w:r>
                  <w:proofErr w:type="gramEnd"/>
                </w:p>
                <w:p w14:paraId="3313C237"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(b)  Alte elemente extrabilanțiere care prezintă un risc similar, astfel cum sunt comunicate ABE.</w:t>
                  </w:r>
                </w:p>
              </w:tc>
            </w:tr>
            <w:tr w:rsidR="006F5136" w:rsidRPr="006F5136" w14:paraId="67C58531" w14:textId="77777777" w:rsidTr="006F5136">
              <w:trPr>
                <w:trHeight w:val="1791"/>
                <w:jc w:val="center"/>
              </w:trPr>
              <w:tc>
                <w:tcPr>
                  <w:tcW w:w="360" w:type="dxa"/>
                  <w:tcBorders>
                    <w:top w:val="outset" w:sz="6" w:space="0" w:color="auto"/>
                    <w:left w:val="outset" w:sz="6" w:space="0" w:color="auto"/>
                    <w:bottom w:val="outset" w:sz="6" w:space="0" w:color="auto"/>
                    <w:right w:val="outset" w:sz="6" w:space="0" w:color="auto"/>
                  </w:tcBorders>
                  <w:shd w:val="clear" w:color="auto" w:fill="auto"/>
                  <w:hideMark/>
                </w:tcPr>
                <w:p w14:paraId="0202B6B5" w14:textId="77777777" w:rsidR="006F5136" w:rsidRPr="006F5136" w:rsidRDefault="006F5136" w:rsidP="006F5136">
                  <w:pPr>
                    <w:pStyle w:val="tbl-norm"/>
                    <w:spacing w:before="0" w:after="0"/>
                    <w:rPr>
                      <w:color w:val="000000" w:themeColor="text1"/>
                      <w:sz w:val="18"/>
                      <w:szCs w:val="18"/>
                    </w:rPr>
                  </w:pPr>
                  <w:r w:rsidRPr="006F5136">
                    <w:rPr>
                      <w:color w:val="000000" w:themeColor="text1"/>
                      <w:sz w:val="18"/>
                      <w:szCs w:val="18"/>
                    </w:rPr>
                    <w:t>4.</w:t>
                  </w:r>
                </w:p>
              </w:tc>
              <w:tc>
                <w:tcPr>
                  <w:tcW w:w="4438" w:type="dxa"/>
                  <w:tcBorders>
                    <w:top w:val="outset" w:sz="6" w:space="0" w:color="auto"/>
                    <w:left w:val="outset" w:sz="6" w:space="0" w:color="auto"/>
                    <w:bottom w:val="outset" w:sz="6" w:space="0" w:color="auto"/>
                    <w:right w:val="outset" w:sz="6" w:space="0" w:color="auto"/>
                  </w:tcBorders>
                  <w:shd w:val="clear" w:color="auto" w:fill="auto"/>
                  <w:hideMark/>
                </w:tcPr>
                <w:p w14:paraId="3D27E88A"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(a)  Elemente extrabilanțiere aferente finanțării comerțului:</w:t>
                  </w:r>
                </w:p>
                <w:p w14:paraId="3F10C51C"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 xml:space="preserve">(i)  garanții, inclusiv garanții de participare la licitații, garanții de bună execuție, plăți în avans asociate și garanții sub formă de sume reținute, precum și garanții care nu au caracter de substitut de </w:t>
                  </w:r>
                  <w:proofErr w:type="gramStart"/>
                  <w:r w:rsidRPr="006F5136">
                    <w:rPr>
                      <w:color w:val="000000" w:themeColor="text1"/>
                      <w:sz w:val="18"/>
                      <w:szCs w:val="18"/>
                    </w:rPr>
                    <w:t>credit;</w:t>
                  </w:r>
                  <w:proofErr w:type="gramEnd"/>
                </w:p>
                <w:p w14:paraId="01669EE3"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 xml:space="preserve">(ii)  acreditive stand-by irevocabile care nu au caracter de substitut de </w:t>
                  </w:r>
                  <w:proofErr w:type="gramStart"/>
                  <w:r w:rsidRPr="006F5136">
                    <w:rPr>
                      <w:color w:val="000000" w:themeColor="text1"/>
                      <w:sz w:val="18"/>
                      <w:szCs w:val="18"/>
                    </w:rPr>
                    <w:t>credit;</w:t>
                  </w:r>
                  <w:proofErr w:type="gramEnd"/>
                </w:p>
                <w:p w14:paraId="58EA2A87"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 xml:space="preserve">(iii)  acreditive comerciale pe termen scurt care se lichidează de la sine rezultate din circulația mărfurilor, în special credite documentare garantate cu bunurile supuse livrării, în cazul unei instituții emitente sau al unei instituții </w:t>
                  </w:r>
                  <w:proofErr w:type="gramStart"/>
                  <w:r w:rsidRPr="006F5136">
                    <w:rPr>
                      <w:color w:val="000000" w:themeColor="text1"/>
                      <w:sz w:val="18"/>
                      <w:szCs w:val="18"/>
                    </w:rPr>
                    <w:t>confirmatoare;</w:t>
                  </w:r>
                  <w:proofErr w:type="gramEnd"/>
                </w:p>
                <w:p w14:paraId="2A6E6280"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(b)  Alte elemente extrabilanțiere care prezintă un risc similar, astfel cum sunt comunicate ABE.</w:t>
                  </w:r>
                </w:p>
              </w:tc>
            </w:tr>
            <w:tr w:rsidR="006F5136" w:rsidRPr="006F5136" w14:paraId="74F8008C" w14:textId="77777777" w:rsidTr="006F5136">
              <w:trPr>
                <w:trHeight w:val="1811"/>
                <w:jc w:val="center"/>
              </w:trPr>
              <w:tc>
                <w:tcPr>
                  <w:tcW w:w="360" w:type="dxa"/>
                  <w:tcBorders>
                    <w:top w:val="outset" w:sz="6" w:space="0" w:color="auto"/>
                    <w:left w:val="outset" w:sz="6" w:space="0" w:color="auto"/>
                    <w:bottom w:val="outset" w:sz="6" w:space="0" w:color="auto"/>
                    <w:right w:val="outset" w:sz="6" w:space="0" w:color="auto"/>
                  </w:tcBorders>
                  <w:shd w:val="clear" w:color="auto" w:fill="auto"/>
                  <w:hideMark/>
                </w:tcPr>
                <w:p w14:paraId="1F938796" w14:textId="77777777" w:rsidR="006F5136" w:rsidRPr="006F5136" w:rsidRDefault="006F5136" w:rsidP="006F5136">
                  <w:pPr>
                    <w:pStyle w:val="tbl-norm"/>
                    <w:spacing w:before="0" w:after="0"/>
                    <w:rPr>
                      <w:color w:val="000000" w:themeColor="text1"/>
                      <w:sz w:val="18"/>
                      <w:szCs w:val="18"/>
                    </w:rPr>
                  </w:pPr>
                  <w:r w:rsidRPr="006F5136">
                    <w:rPr>
                      <w:color w:val="000000" w:themeColor="text1"/>
                      <w:sz w:val="18"/>
                      <w:szCs w:val="18"/>
                    </w:rPr>
                    <w:t>5.</w:t>
                  </w:r>
                </w:p>
              </w:tc>
              <w:tc>
                <w:tcPr>
                  <w:tcW w:w="4438" w:type="dxa"/>
                  <w:tcBorders>
                    <w:top w:val="outset" w:sz="6" w:space="0" w:color="auto"/>
                    <w:left w:val="outset" w:sz="6" w:space="0" w:color="auto"/>
                    <w:bottom w:val="outset" w:sz="6" w:space="0" w:color="auto"/>
                    <w:right w:val="outset" w:sz="6" w:space="0" w:color="auto"/>
                  </w:tcBorders>
                  <w:shd w:val="clear" w:color="auto" w:fill="auto"/>
                  <w:hideMark/>
                </w:tcPr>
                <w:p w14:paraId="79C556B6"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 xml:space="preserve">(a)  Cuantumul neutilizat din angajamentele revocabile </w:t>
                  </w:r>
                  <w:proofErr w:type="gramStart"/>
                  <w:r w:rsidRPr="006F5136">
                    <w:rPr>
                      <w:color w:val="000000" w:themeColor="text1"/>
                      <w:sz w:val="18"/>
                      <w:szCs w:val="18"/>
                    </w:rPr>
                    <w:t>necondiționat;</w:t>
                  </w:r>
                  <w:proofErr w:type="gramEnd"/>
                </w:p>
                <w:p w14:paraId="229C806D"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 xml:space="preserve">(b)  Cuantumul neutilizat al liniilor de credit de retail ale căror condiții permit instituției să le anuleze în măsura maximă permisă în temeiul legislației privind protecția consumatorilor și al actelor juridice </w:t>
                  </w:r>
                  <w:proofErr w:type="gramStart"/>
                  <w:r w:rsidRPr="006F5136">
                    <w:rPr>
                      <w:color w:val="000000" w:themeColor="text1"/>
                      <w:sz w:val="18"/>
                      <w:szCs w:val="18"/>
                    </w:rPr>
                    <w:t>conexe;</w:t>
                  </w:r>
                  <w:proofErr w:type="gramEnd"/>
                </w:p>
                <w:p w14:paraId="68F79642"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 xml:space="preserve">(c)  Facilități de credit neutilizate pentru garanțiile de participare la licitații și cele de bună execuție care pot fi anulate necondiționat în orice moment fără notificare prealabilă sau care prevăd efectiv anularea automată ca urmare a deteriorării bonității </w:t>
                  </w:r>
                  <w:proofErr w:type="gramStart"/>
                  <w:r w:rsidRPr="006F5136">
                    <w:rPr>
                      <w:color w:val="000000" w:themeColor="text1"/>
                      <w:sz w:val="18"/>
                      <w:szCs w:val="18"/>
                    </w:rPr>
                    <w:t>debitorului;</w:t>
                  </w:r>
                  <w:proofErr w:type="gramEnd"/>
                </w:p>
                <w:p w14:paraId="7D4C58CF" w14:textId="77777777" w:rsidR="006F5136" w:rsidRPr="006F5136" w:rsidRDefault="006F5136" w:rsidP="006F5136">
                  <w:pPr>
                    <w:pStyle w:val="norm"/>
                    <w:spacing w:before="0" w:beforeAutospacing="0" w:after="0" w:afterAutospacing="0"/>
                    <w:jc w:val="both"/>
                    <w:rPr>
                      <w:color w:val="000000" w:themeColor="text1"/>
                      <w:sz w:val="18"/>
                      <w:szCs w:val="18"/>
                    </w:rPr>
                  </w:pPr>
                  <w:r w:rsidRPr="006F5136">
                    <w:rPr>
                      <w:color w:val="000000" w:themeColor="text1"/>
                      <w:sz w:val="18"/>
                      <w:szCs w:val="18"/>
                    </w:rPr>
                    <w:t>(d)  Alte elemente extrabilanțiere care prezintă un risc similar, astfel cum sunt comunicate ABE.</w:t>
                  </w:r>
                </w:p>
              </w:tc>
            </w:tr>
          </w:tbl>
          <w:p w14:paraId="6939E4BB" w14:textId="77777777" w:rsidR="006F5136" w:rsidRPr="006F5136" w:rsidRDefault="006F5136" w:rsidP="006F5136">
            <w:pPr>
              <w:pStyle w:val="modref"/>
              <w:shd w:val="clear" w:color="auto" w:fill="FFFFFF"/>
              <w:spacing w:before="0" w:beforeAutospacing="0" w:after="0" w:afterAutospacing="0"/>
              <w:rPr>
                <w:rFonts w:eastAsia="Arial Unicode MS"/>
                <w:b/>
                <w:bCs/>
                <w:color w:val="000000" w:themeColor="text1"/>
                <w:sz w:val="18"/>
                <w:szCs w:val="18"/>
              </w:rPr>
            </w:pPr>
            <w:hyperlink r:id="rId55" w:tooltip="32013R0575R(02): REPLACED" w:history="1">
              <w:r w:rsidRPr="006F5136">
                <w:rPr>
                  <w:rStyle w:val="Hyperlink"/>
                  <w:rFonts w:eastAsia="Arial Unicode MS"/>
                  <w:b/>
                  <w:bCs/>
                  <w:color w:val="000000" w:themeColor="text1"/>
                  <w:sz w:val="18"/>
                  <w:szCs w:val="18"/>
                </w:rPr>
                <w:t>▼C2</w:t>
              </w:r>
            </w:hyperlink>
          </w:p>
          <w:p w14:paraId="2D7EDD98" w14:textId="77777777" w:rsidR="00983976" w:rsidRPr="006F5136" w:rsidRDefault="00983976" w:rsidP="006F5136">
            <w:pPr>
              <w:pStyle w:val="modref"/>
              <w:shd w:val="clear" w:color="auto" w:fill="FFFFFF"/>
              <w:spacing w:before="0" w:beforeAutospacing="0" w:after="0" w:afterAutospacing="0"/>
              <w:rPr>
                <w:rFonts w:eastAsia="Arial Unicode MS"/>
                <w:b/>
                <w:bCs/>
                <w:color w:val="000000" w:themeColor="text1"/>
                <w:sz w:val="18"/>
                <w:szCs w:val="18"/>
              </w:rPr>
            </w:pPr>
          </w:p>
        </w:tc>
        <w:tc>
          <w:tcPr>
            <w:tcW w:w="1661" w:type="pct"/>
          </w:tcPr>
          <w:p w14:paraId="66EA1E50" w14:textId="17308C1E" w:rsidR="00983976" w:rsidRPr="006F5136" w:rsidRDefault="00983976" w:rsidP="00983976">
            <w:pPr>
              <w:spacing w:after="0" w:line="240" w:lineRule="auto"/>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Anexa nr.1 la Regulamentul cu privire la tratamentul riscului de credit pentru bănci potrivit abordării standardizate</w:t>
            </w:r>
          </w:p>
          <w:p w14:paraId="22A4E607" w14:textId="77777777" w:rsidR="00983976" w:rsidRPr="006F5136" w:rsidRDefault="00983976" w:rsidP="00983976">
            <w:pPr>
              <w:spacing w:after="0" w:line="240" w:lineRule="auto"/>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Clasificarea elementelor extrabilanțiere conform benzilor de risc</w:t>
            </w:r>
          </w:p>
          <w:p w14:paraId="55EABAF9" w14:textId="77777777" w:rsidR="00983976" w:rsidRPr="006F5136" w:rsidRDefault="00983976" w:rsidP="005E4694">
            <w:pPr>
              <w:spacing w:after="0" w:line="240" w:lineRule="auto"/>
              <w:contextualSpacing/>
              <w:rPr>
                <w:rFonts w:ascii="Times New Roman" w:eastAsia="Times New Roman" w:hAnsi="Times New Roman" w:cs="Times New Roman"/>
                <w:sz w:val="18"/>
                <w:szCs w:val="18"/>
                <w:lang w:val="ro-RO" w:eastAsia="ro-MD"/>
              </w:rPr>
            </w:pPr>
          </w:p>
          <w:tbl>
            <w:tblPr>
              <w:tblW w:w="4212"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40"/>
              <w:gridCol w:w="3672"/>
            </w:tblGrid>
            <w:tr w:rsidR="00983976" w:rsidRPr="006F5136" w14:paraId="4719E413" w14:textId="77777777" w:rsidTr="00983976">
              <w:trPr>
                <w:trHeight w:val="222"/>
                <w:jc w:val="center"/>
              </w:trPr>
              <w:tc>
                <w:tcPr>
                  <w:tcW w:w="540" w:type="dxa"/>
                  <w:tcBorders>
                    <w:top w:val="outset" w:sz="6" w:space="0" w:color="auto"/>
                    <w:left w:val="outset" w:sz="6" w:space="0" w:color="auto"/>
                    <w:bottom w:val="outset" w:sz="6" w:space="0" w:color="auto"/>
                    <w:right w:val="outset" w:sz="6" w:space="0" w:color="auto"/>
                  </w:tcBorders>
                  <w:shd w:val="clear" w:color="auto" w:fill="auto"/>
                  <w:hideMark/>
                </w:tcPr>
                <w:p w14:paraId="3FD718E4" w14:textId="0E15D8F4" w:rsidR="00983976" w:rsidRPr="006F5136" w:rsidRDefault="00983976" w:rsidP="00983976">
                  <w:pPr>
                    <w:spacing w:after="0" w:line="240" w:lineRule="auto"/>
                    <w:ind w:firstLine="567"/>
                    <w:jc w:val="both"/>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Banda</w:t>
                  </w:r>
                </w:p>
              </w:tc>
              <w:tc>
                <w:tcPr>
                  <w:tcW w:w="3672" w:type="dxa"/>
                  <w:tcBorders>
                    <w:top w:val="outset" w:sz="6" w:space="0" w:color="auto"/>
                    <w:left w:val="outset" w:sz="6" w:space="0" w:color="auto"/>
                    <w:bottom w:val="outset" w:sz="6" w:space="0" w:color="auto"/>
                    <w:right w:val="outset" w:sz="6" w:space="0" w:color="auto"/>
                  </w:tcBorders>
                  <w:shd w:val="clear" w:color="auto" w:fill="auto"/>
                  <w:hideMark/>
                </w:tcPr>
                <w:p w14:paraId="39E2A67D" w14:textId="77777777" w:rsidR="00983976" w:rsidRPr="006F5136" w:rsidRDefault="00983976" w:rsidP="00983976">
                  <w:pPr>
                    <w:spacing w:after="0" w:line="240" w:lineRule="auto"/>
                    <w:ind w:firstLine="567"/>
                    <w:jc w:val="both"/>
                    <w:rPr>
                      <w:rFonts w:ascii="Times New Roman" w:eastAsia="Times New Roman" w:hAnsi="Times New Roman" w:cs="Times New Roman"/>
                      <w:b/>
                      <w:bCs/>
                      <w:sz w:val="18"/>
                      <w:szCs w:val="18"/>
                      <w:lang w:val="ro-RO" w:eastAsia="ro-MD"/>
                    </w:rPr>
                  </w:pPr>
                  <w:r w:rsidRPr="006F5136">
                    <w:rPr>
                      <w:rFonts w:ascii="Times New Roman" w:eastAsia="Times New Roman" w:hAnsi="Times New Roman" w:cs="Times New Roman"/>
                      <w:b/>
                      <w:bCs/>
                      <w:sz w:val="18"/>
                      <w:szCs w:val="18"/>
                      <w:lang w:val="ro-RO" w:eastAsia="ro-MD"/>
                    </w:rPr>
                    <w:t>Elemente</w:t>
                  </w:r>
                </w:p>
              </w:tc>
            </w:tr>
            <w:tr w:rsidR="00983976" w:rsidRPr="006F5136" w14:paraId="4A4E8F74" w14:textId="77777777" w:rsidTr="00983976">
              <w:trPr>
                <w:trHeight w:val="2521"/>
                <w:jc w:val="center"/>
              </w:trPr>
              <w:tc>
                <w:tcPr>
                  <w:tcW w:w="540" w:type="dxa"/>
                  <w:tcBorders>
                    <w:top w:val="outset" w:sz="6" w:space="0" w:color="auto"/>
                    <w:left w:val="outset" w:sz="6" w:space="0" w:color="auto"/>
                    <w:bottom w:val="outset" w:sz="6" w:space="0" w:color="auto"/>
                    <w:right w:val="outset" w:sz="6" w:space="0" w:color="auto"/>
                  </w:tcBorders>
                  <w:shd w:val="clear" w:color="auto" w:fill="auto"/>
                  <w:hideMark/>
                </w:tcPr>
                <w:p w14:paraId="474F7E80" w14:textId="7C856E61" w:rsidR="00983976" w:rsidRPr="006F5136" w:rsidRDefault="00983976" w:rsidP="00983976">
                  <w:pPr>
                    <w:spacing w:after="0" w:line="240" w:lineRule="auto"/>
                    <w:ind w:firstLine="567"/>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11.</w:t>
                  </w:r>
                </w:p>
              </w:tc>
              <w:tc>
                <w:tcPr>
                  <w:tcW w:w="3672" w:type="dxa"/>
                  <w:tcBorders>
                    <w:top w:val="outset" w:sz="6" w:space="0" w:color="auto"/>
                    <w:left w:val="outset" w:sz="6" w:space="0" w:color="auto"/>
                    <w:bottom w:val="outset" w:sz="6" w:space="0" w:color="auto"/>
                    <w:right w:val="outset" w:sz="6" w:space="0" w:color="auto"/>
                  </w:tcBorders>
                  <w:shd w:val="clear" w:color="auto" w:fill="auto"/>
                  <w:hideMark/>
                </w:tcPr>
                <w:p w14:paraId="4FB4C6EC"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Instrumente financiare derivate de credit și garanții generale de îndatorare, inclusiv acreditive stand-by care servesc drept garanții financiare pentru împrumuturi și titluri de valoare, și acceptări, inclusiv andosări cu caracter de acceptări, precum și orice alt substituent direct de credit;</w:t>
                  </w:r>
                </w:p>
                <w:p w14:paraId="65401E14"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Acorduri repo și vânzări de active cu recurs, în cazul în care riscul de credit rămâne la bancă;</w:t>
                  </w:r>
                </w:p>
                <w:p w14:paraId="67CED701"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Titluri de valoare date cu împrumut de către bancă sau titluri de valoare furnizate de bancă drept garanții reale, inclusiv cazurile în care acestea rezultă din tranzacții de tip repo;</w:t>
                  </w:r>
                </w:p>
                <w:p w14:paraId="051B373B"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4)  Achiziții de active la termen, depozite la termen și acțiuni și titluri de valoare plătite parțial, care reprezintă angajamente cu anumite trageri;</w:t>
                  </w:r>
                </w:p>
                <w:p w14:paraId="00227B33"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5)  Elemente extrabilanțiere care constituie un substituent de credit, în cazul în care nu sunt incluse în mod explicit în nicio altă categorie;</w:t>
                  </w:r>
                </w:p>
                <w:p w14:paraId="45DCFFCF"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6)  Alte elemente extrabilanțiere care prezintă un risc similar.</w:t>
                  </w:r>
                </w:p>
              </w:tc>
            </w:tr>
            <w:tr w:rsidR="00983976" w:rsidRPr="006F5136" w14:paraId="547ADF3B" w14:textId="77777777" w:rsidTr="00983976">
              <w:trPr>
                <w:trHeight w:val="908"/>
                <w:jc w:val="center"/>
              </w:trPr>
              <w:tc>
                <w:tcPr>
                  <w:tcW w:w="540" w:type="dxa"/>
                  <w:tcBorders>
                    <w:top w:val="outset" w:sz="6" w:space="0" w:color="auto"/>
                    <w:left w:val="outset" w:sz="6" w:space="0" w:color="auto"/>
                    <w:bottom w:val="outset" w:sz="6" w:space="0" w:color="auto"/>
                    <w:right w:val="outset" w:sz="6" w:space="0" w:color="auto"/>
                  </w:tcBorders>
                  <w:shd w:val="clear" w:color="auto" w:fill="auto"/>
                  <w:hideMark/>
                </w:tcPr>
                <w:p w14:paraId="42E2228B" w14:textId="4CC8D7FE" w:rsidR="00983976" w:rsidRPr="006F5136" w:rsidRDefault="00983976" w:rsidP="00983976">
                  <w:pPr>
                    <w:spacing w:after="0" w:line="240" w:lineRule="auto"/>
                    <w:ind w:firstLine="567"/>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12.</w:t>
                  </w:r>
                </w:p>
              </w:tc>
              <w:tc>
                <w:tcPr>
                  <w:tcW w:w="3672" w:type="dxa"/>
                  <w:tcBorders>
                    <w:top w:val="outset" w:sz="6" w:space="0" w:color="auto"/>
                    <w:left w:val="outset" w:sz="6" w:space="0" w:color="auto"/>
                    <w:bottom w:val="outset" w:sz="6" w:space="0" w:color="auto"/>
                    <w:right w:val="outset" w:sz="6" w:space="0" w:color="auto"/>
                  </w:tcBorders>
                  <w:shd w:val="clear" w:color="auto" w:fill="auto"/>
                  <w:hideMark/>
                </w:tcPr>
                <w:p w14:paraId="7853FA52"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Facilități de emisiune de efecte (NIF) și facilități reînnoibile de subscriere fermă (RUF), indiferent de scadența facilității-suport;</w:t>
                  </w:r>
                </w:p>
                <w:p w14:paraId="48B71519"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Garanții de bună execuție, garanții de participare la licitații, garanții și acreditive stand-by legate de anumite tranzacții și elemente contingente similare legate de tranzacții, cu excepția elementelor extrabilanțiere aferente finanțării comerțului menționate în banda 4;</w:t>
                  </w:r>
                </w:p>
                <w:p w14:paraId="32B13CEB"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Alte elemente extrabilanțiere care prezintă un risc similar.</w:t>
                  </w:r>
                </w:p>
              </w:tc>
            </w:tr>
            <w:tr w:rsidR="00983976" w:rsidRPr="006F5136" w14:paraId="0C5A58C0" w14:textId="77777777" w:rsidTr="00983976">
              <w:trPr>
                <w:trHeight w:val="684"/>
                <w:jc w:val="center"/>
              </w:trPr>
              <w:tc>
                <w:tcPr>
                  <w:tcW w:w="540" w:type="dxa"/>
                  <w:tcBorders>
                    <w:top w:val="outset" w:sz="6" w:space="0" w:color="auto"/>
                    <w:left w:val="outset" w:sz="6" w:space="0" w:color="auto"/>
                    <w:bottom w:val="outset" w:sz="6" w:space="0" w:color="auto"/>
                    <w:right w:val="outset" w:sz="6" w:space="0" w:color="auto"/>
                  </w:tcBorders>
                  <w:shd w:val="clear" w:color="auto" w:fill="auto"/>
                  <w:hideMark/>
                </w:tcPr>
                <w:p w14:paraId="08D2CECD" w14:textId="7DC674D5" w:rsidR="00983976" w:rsidRPr="006F5136" w:rsidRDefault="00983976" w:rsidP="00983976">
                  <w:pPr>
                    <w:spacing w:after="0" w:line="240" w:lineRule="auto"/>
                    <w:ind w:firstLine="567"/>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13.</w:t>
                  </w:r>
                </w:p>
              </w:tc>
              <w:tc>
                <w:tcPr>
                  <w:tcW w:w="3672" w:type="dxa"/>
                  <w:tcBorders>
                    <w:top w:val="outset" w:sz="6" w:space="0" w:color="auto"/>
                    <w:left w:val="outset" w:sz="6" w:space="0" w:color="auto"/>
                    <w:bottom w:val="outset" w:sz="6" w:space="0" w:color="auto"/>
                    <w:right w:val="outset" w:sz="6" w:space="0" w:color="auto"/>
                  </w:tcBorders>
                  <w:shd w:val="clear" w:color="auto" w:fill="auto"/>
                  <w:hideMark/>
                </w:tcPr>
                <w:p w14:paraId="1A544553"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Cuantumul neutilizat din angajamente, indiferent de scadența facilității-suport, cu excepția cazului în care se încadrează într-o altă categorie;</w:t>
                  </w:r>
                </w:p>
                <w:p w14:paraId="2DF43322"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Alte elemente extrabilanțiere care prezintă un risc similar.</w:t>
                  </w:r>
                </w:p>
              </w:tc>
            </w:tr>
            <w:tr w:rsidR="00983976" w:rsidRPr="006F5136" w14:paraId="47DDA3E7" w14:textId="77777777" w:rsidTr="00983976">
              <w:trPr>
                <w:trHeight w:val="2057"/>
                <w:jc w:val="center"/>
              </w:trPr>
              <w:tc>
                <w:tcPr>
                  <w:tcW w:w="540" w:type="dxa"/>
                  <w:tcBorders>
                    <w:top w:val="outset" w:sz="6" w:space="0" w:color="auto"/>
                    <w:left w:val="outset" w:sz="6" w:space="0" w:color="auto"/>
                    <w:bottom w:val="outset" w:sz="6" w:space="0" w:color="auto"/>
                    <w:right w:val="outset" w:sz="6" w:space="0" w:color="auto"/>
                  </w:tcBorders>
                  <w:shd w:val="clear" w:color="auto" w:fill="auto"/>
                  <w:hideMark/>
                </w:tcPr>
                <w:p w14:paraId="010B767A" w14:textId="76611226" w:rsidR="00983976" w:rsidRPr="006F5136" w:rsidRDefault="00983976" w:rsidP="00983976">
                  <w:pPr>
                    <w:spacing w:after="0" w:line="240" w:lineRule="auto"/>
                    <w:ind w:firstLine="567"/>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14.</w:t>
                  </w:r>
                </w:p>
              </w:tc>
              <w:tc>
                <w:tcPr>
                  <w:tcW w:w="3672" w:type="dxa"/>
                  <w:tcBorders>
                    <w:top w:val="outset" w:sz="6" w:space="0" w:color="auto"/>
                    <w:left w:val="outset" w:sz="6" w:space="0" w:color="auto"/>
                    <w:bottom w:val="outset" w:sz="6" w:space="0" w:color="auto"/>
                    <w:right w:val="outset" w:sz="6" w:space="0" w:color="auto"/>
                  </w:tcBorders>
                  <w:shd w:val="clear" w:color="auto" w:fill="auto"/>
                  <w:hideMark/>
                </w:tcPr>
                <w:p w14:paraId="2FCCC6B1"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Elemente extrabilanțiere aferente finanțării comerțului:</w:t>
                  </w:r>
                </w:p>
                <w:p w14:paraId="5DEF39C2"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a)  garanții, inclusiv garanții de participare la licitații, garanții de bună execuție, plăți în avans asociate și garanții sub formă de sume reținute, precum și garanții care nu au caracter de substituent de credit;</w:t>
                  </w:r>
                </w:p>
                <w:p w14:paraId="3D87BB6E"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b)  acreditive stand-by irevocabile care nu au caracter de substituent de credit;</w:t>
                  </w:r>
                </w:p>
                <w:p w14:paraId="1B2E34FE"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c)  acreditive comerciale pe termen scurt care se lichidează de la sine rezultate din circulația mărfurilor, în special credite documentare garantate cu bunurile supuse livrării, în cazul unei bănci emitente sau al unei bănci confirmatoare;</w:t>
                  </w:r>
                </w:p>
                <w:p w14:paraId="56B3B96E"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Alte elemente extrabilanțiere care prezintă un risc similar.</w:t>
                  </w:r>
                </w:p>
              </w:tc>
            </w:tr>
            <w:tr w:rsidR="00983976" w:rsidRPr="006F5136" w14:paraId="39E49A02" w14:textId="77777777" w:rsidTr="00983976">
              <w:trPr>
                <w:trHeight w:val="1819"/>
                <w:jc w:val="center"/>
              </w:trPr>
              <w:tc>
                <w:tcPr>
                  <w:tcW w:w="540" w:type="dxa"/>
                  <w:tcBorders>
                    <w:top w:val="outset" w:sz="6" w:space="0" w:color="auto"/>
                    <w:left w:val="outset" w:sz="6" w:space="0" w:color="auto"/>
                    <w:bottom w:val="outset" w:sz="6" w:space="0" w:color="auto"/>
                    <w:right w:val="outset" w:sz="6" w:space="0" w:color="auto"/>
                  </w:tcBorders>
                  <w:shd w:val="clear" w:color="auto" w:fill="auto"/>
                  <w:hideMark/>
                </w:tcPr>
                <w:p w14:paraId="1CE5A0D3" w14:textId="3F60A618" w:rsidR="00983976" w:rsidRPr="006F5136" w:rsidRDefault="00983976" w:rsidP="00983976">
                  <w:pPr>
                    <w:spacing w:after="0" w:line="240" w:lineRule="auto"/>
                    <w:ind w:firstLine="567"/>
                    <w:jc w:val="center"/>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15.</w:t>
                  </w:r>
                </w:p>
              </w:tc>
              <w:tc>
                <w:tcPr>
                  <w:tcW w:w="3672" w:type="dxa"/>
                  <w:tcBorders>
                    <w:top w:val="outset" w:sz="6" w:space="0" w:color="auto"/>
                    <w:left w:val="outset" w:sz="6" w:space="0" w:color="auto"/>
                    <w:bottom w:val="outset" w:sz="6" w:space="0" w:color="auto"/>
                    <w:right w:val="outset" w:sz="6" w:space="0" w:color="auto"/>
                  </w:tcBorders>
                  <w:shd w:val="clear" w:color="auto" w:fill="auto"/>
                  <w:hideMark/>
                </w:tcPr>
                <w:p w14:paraId="30577234"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1)  Cuantumul neutilizat din angajamentele revocabile necondiționat;</w:t>
                  </w:r>
                </w:p>
                <w:p w14:paraId="25C50D88"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2)  Cuantumul neutilizat al liniilor de credit de retail ale căror condiții permit băncii să le anuleze în măsura maximă permisă în temeiul legislației privind protecția consumatorilor și al actelor juridice conexe;</w:t>
                  </w:r>
                </w:p>
                <w:p w14:paraId="13A4EFAD"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3)  Facilități de credit neutilizate pentru garanțiile de participare la licitații și cele de bună execuție care pot fi anulate necondiționat în orice moment fără notificare prealabilă sau care prevăd efectiv anularea automată ca urmare a deteriorării bonității debitorului;</w:t>
                  </w:r>
                </w:p>
                <w:p w14:paraId="398B8E73" w14:textId="77777777" w:rsidR="00983976" w:rsidRPr="006F5136" w:rsidRDefault="00983976" w:rsidP="00983976">
                  <w:pPr>
                    <w:spacing w:after="0" w:line="240" w:lineRule="auto"/>
                    <w:jc w:val="both"/>
                    <w:rPr>
                      <w:rFonts w:ascii="Times New Roman" w:eastAsia="Times New Roman" w:hAnsi="Times New Roman" w:cs="Times New Roman"/>
                      <w:sz w:val="18"/>
                      <w:szCs w:val="18"/>
                      <w:lang w:val="ro-RO" w:eastAsia="ro-MD"/>
                    </w:rPr>
                  </w:pPr>
                  <w:r w:rsidRPr="006F5136">
                    <w:rPr>
                      <w:rFonts w:ascii="Times New Roman" w:eastAsia="Times New Roman" w:hAnsi="Times New Roman" w:cs="Times New Roman"/>
                      <w:sz w:val="18"/>
                      <w:szCs w:val="18"/>
                      <w:lang w:val="ro-RO" w:eastAsia="ro-MD"/>
                    </w:rPr>
                    <w:t>4)  Alte elemente extrabilanțiere care prezintă un risc similar.</w:t>
                  </w:r>
                </w:p>
              </w:tc>
            </w:tr>
          </w:tbl>
          <w:p w14:paraId="7972B001" w14:textId="67B8E3B5" w:rsidR="00983976" w:rsidRPr="006F5136" w:rsidRDefault="00504009" w:rsidP="005E4694">
            <w:pPr>
              <w:spacing w:after="0" w:line="240" w:lineRule="auto"/>
              <w:contextualSpacing/>
              <w:rPr>
                <w:rFonts w:ascii="Times New Roman" w:eastAsia="Times New Roman" w:hAnsi="Times New Roman" w:cs="Times New Roman"/>
                <w:i/>
                <w:iCs/>
                <w:sz w:val="18"/>
                <w:szCs w:val="18"/>
                <w:lang w:eastAsia="ro-MD"/>
              </w:rPr>
            </w:pPr>
            <w:r w:rsidRPr="006F5136">
              <w:rPr>
                <w:rFonts w:ascii="Times New Roman" w:eastAsia="Times New Roman" w:hAnsi="Times New Roman" w:cs="Times New Roman"/>
                <w:i/>
                <w:iCs/>
                <w:sz w:val="18"/>
                <w:szCs w:val="18"/>
                <w:lang w:eastAsia="ro-MD"/>
              </w:rPr>
              <w:t>Modificat prin Proiectul HCE al BNM privind modificarea Regulamentului nr.111/2018.</w:t>
            </w:r>
          </w:p>
          <w:p w14:paraId="7707D453" w14:textId="77777777" w:rsidR="00983976" w:rsidRPr="006F5136" w:rsidRDefault="00983976" w:rsidP="005E4694">
            <w:pPr>
              <w:spacing w:after="0" w:line="240" w:lineRule="auto"/>
              <w:contextualSpacing/>
              <w:rPr>
                <w:rFonts w:ascii="Times New Roman" w:eastAsia="Times New Roman" w:hAnsi="Times New Roman" w:cs="Times New Roman"/>
                <w:sz w:val="18"/>
                <w:szCs w:val="18"/>
                <w:lang w:val="ro-RO" w:eastAsia="ro-MD"/>
              </w:rPr>
            </w:pPr>
          </w:p>
        </w:tc>
        <w:tc>
          <w:tcPr>
            <w:tcW w:w="503" w:type="pct"/>
          </w:tcPr>
          <w:p w14:paraId="026978A1" w14:textId="14FC01A1" w:rsidR="00983976" w:rsidRPr="006F5136" w:rsidRDefault="00F57517" w:rsidP="005E4694">
            <w:pPr>
              <w:spacing w:after="0" w:line="240" w:lineRule="auto"/>
              <w:rPr>
                <w:rFonts w:ascii="Times New Roman" w:hAnsi="Times New Roman" w:cs="Times New Roman"/>
                <w:sz w:val="18"/>
                <w:szCs w:val="18"/>
                <w:lang w:val="ro-RO"/>
              </w:rPr>
            </w:pPr>
            <w:r>
              <w:rPr>
                <w:rFonts w:ascii="Times New Roman" w:hAnsi="Times New Roman" w:cs="Times New Roman"/>
                <w:sz w:val="18"/>
                <w:szCs w:val="18"/>
                <w:lang w:val="ro-RO"/>
              </w:rPr>
              <w:t>Compatibil</w:t>
            </w:r>
          </w:p>
        </w:tc>
        <w:tc>
          <w:tcPr>
            <w:tcW w:w="912" w:type="pct"/>
          </w:tcPr>
          <w:p w14:paraId="2345715C" w14:textId="364750D7" w:rsidR="00983976" w:rsidRPr="006F5136" w:rsidRDefault="00F57517" w:rsidP="005E4694">
            <w:pPr>
              <w:spacing w:after="0" w:line="240" w:lineRule="auto"/>
              <w:rPr>
                <w:rFonts w:ascii="Times New Roman" w:hAnsi="Times New Roman" w:cs="Times New Roman"/>
                <w:sz w:val="18"/>
                <w:szCs w:val="18"/>
                <w:lang w:val="ro-RO"/>
              </w:rPr>
            </w:pPr>
            <w:r w:rsidRPr="00F57517">
              <w:rPr>
                <w:rFonts w:ascii="Times New Roman" w:hAnsi="Times New Roman" w:cs="Times New Roman"/>
                <w:sz w:val="18"/>
                <w:szCs w:val="18"/>
                <w:lang w:val="ro-RO"/>
              </w:rPr>
              <w:t>Regulamentul nr.111/2018</w:t>
            </w:r>
          </w:p>
        </w:tc>
      </w:tr>
    </w:tbl>
    <w:p w14:paraId="0744D9EA" w14:textId="77777777" w:rsidR="00BB47CE" w:rsidRPr="006F5136" w:rsidRDefault="00BB47CE" w:rsidP="005E4694">
      <w:pPr>
        <w:spacing w:after="0" w:line="240" w:lineRule="auto"/>
        <w:rPr>
          <w:rFonts w:ascii="Times New Roman" w:hAnsi="Times New Roman" w:cs="Times New Roman"/>
          <w:sz w:val="18"/>
          <w:szCs w:val="18"/>
          <w:lang w:val="ro-RO"/>
        </w:rPr>
      </w:pPr>
    </w:p>
    <w:sectPr w:rsidR="00BB47CE" w:rsidRPr="006F5136" w:rsidSect="0006443F">
      <w:headerReference w:type="even" r:id="rId56"/>
      <w:headerReference w:type="default" r:id="rId57"/>
      <w:footerReference w:type="even" r:id="rId58"/>
      <w:footerReference w:type="default" r:id="rId59"/>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1E30" w14:textId="77777777" w:rsidR="00F27343" w:rsidRDefault="00F27343" w:rsidP="00B40FAE">
      <w:pPr>
        <w:spacing w:after="0" w:line="240" w:lineRule="auto"/>
      </w:pPr>
      <w:r>
        <w:separator/>
      </w:r>
    </w:p>
  </w:endnote>
  <w:endnote w:type="continuationSeparator" w:id="0">
    <w:p w14:paraId="74A48827" w14:textId="77777777" w:rsidR="00F27343" w:rsidRDefault="00F27343" w:rsidP="00B40FAE">
      <w:pPr>
        <w:spacing w:after="0" w:line="240" w:lineRule="auto"/>
      </w:pPr>
      <w:r>
        <w:continuationSeparator/>
      </w:r>
    </w:p>
  </w:endnote>
  <w:endnote w:type="continuationNotice" w:id="1">
    <w:p w14:paraId="40F6A124" w14:textId="77777777" w:rsidR="00F27343" w:rsidRDefault="00F273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EUAlbertina-Italic-Identity-H">
    <w:panose1 w:val="00000000000000000000"/>
    <w:charset w:val="80"/>
    <w:family w:val="auto"/>
    <w:notTrueType/>
    <w:pitch w:val="default"/>
    <w:sig w:usb0="00000001" w:usb1="08070000" w:usb2="00000010" w:usb3="00000000" w:csb0="00020000" w:csb1="00000000"/>
  </w:font>
  <w:font w:name="Arial Unicode MS">
    <w:altName w:val="Yu Gothic"/>
    <w:panose1 w:val="020B0604020202020204"/>
    <w:charset w:val="80"/>
    <w:family w:val="swiss"/>
    <w:pitch w:val="variable"/>
    <w:sig w:usb0="00000000" w:usb1="E9DFFFFF" w:usb2="0000003F" w:usb3="00000000" w:csb0="003F01FF" w:csb1="00000000"/>
  </w:font>
  <w:font w:name="Malgun Gothic Semilight">
    <w:panose1 w:val="020B0502040204020203"/>
    <w:charset w:val="80"/>
    <w:family w:val="swiss"/>
    <w:pitch w:val="variable"/>
    <w:sig w:usb0="B0000AAF" w:usb1="09DF7CFB" w:usb2="00000012" w:usb3="00000000" w:csb0="003E01BD"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8327" w14:textId="77777777" w:rsidR="006C2BF0" w:rsidRDefault="006C2BF0" w:rsidP="00B40FAE">
    <w:pPr>
      <w:pStyle w:val="Footer"/>
      <w:jc w:val="center"/>
    </w:pPr>
    <w:bookmarkStart w:id="21" w:name="TITUS1FooterEvenPages"/>
    <w:r>
      <w:t xml:space="preserve"> </w:t>
    </w:r>
  </w:p>
  <w:p w14:paraId="5DB012C2" w14:textId="77777777" w:rsidR="006C2BF0" w:rsidRDefault="006C2BF0" w:rsidP="00B40FAE">
    <w:pPr>
      <w:pStyle w:val="Footer"/>
    </w:pPr>
    <w:r>
      <w:t xml:space="preserve"> </w:t>
    </w:r>
  </w:p>
  <w:bookmarkEnd w:id="21"/>
  <w:p w14:paraId="46CC8108" w14:textId="77777777" w:rsidR="006C2BF0" w:rsidRDefault="006C2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540655"/>
      <w:docPartObj>
        <w:docPartGallery w:val="Page Numbers (Bottom of Page)"/>
        <w:docPartUnique/>
      </w:docPartObj>
    </w:sdtPr>
    <w:sdtEndPr>
      <w:rPr>
        <w:noProof/>
      </w:rPr>
    </w:sdtEndPr>
    <w:sdtContent>
      <w:p w14:paraId="4CF26CA3" w14:textId="687224EB" w:rsidR="00925B80" w:rsidRDefault="00925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7F9D7" w14:textId="77777777" w:rsidR="006C2BF0" w:rsidRDefault="006C2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1CFE" w14:textId="77777777" w:rsidR="00F27343" w:rsidRDefault="00F27343" w:rsidP="00B40FAE">
      <w:pPr>
        <w:spacing w:after="0" w:line="240" w:lineRule="auto"/>
      </w:pPr>
      <w:r>
        <w:separator/>
      </w:r>
    </w:p>
  </w:footnote>
  <w:footnote w:type="continuationSeparator" w:id="0">
    <w:p w14:paraId="684BADC8" w14:textId="77777777" w:rsidR="00F27343" w:rsidRDefault="00F27343" w:rsidP="00B40FAE">
      <w:pPr>
        <w:spacing w:after="0" w:line="240" w:lineRule="auto"/>
      </w:pPr>
      <w:r>
        <w:continuationSeparator/>
      </w:r>
    </w:p>
  </w:footnote>
  <w:footnote w:type="continuationNotice" w:id="1">
    <w:p w14:paraId="2E7BC514" w14:textId="77777777" w:rsidR="00F27343" w:rsidRDefault="00F273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6DDA" w14:textId="77777777" w:rsidR="006C2BF0" w:rsidRDefault="006C2BF0" w:rsidP="00B40FAE">
    <w:pPr>
      <w:pStyle w:val="Header"/>
      <w:jc w:val="right"/>
    </w:pPr>
    <w:bookmarkStart w:id="19" w:name="TITUS1HeaderEvenPages"/>
    <w:r>
      <w:t xml:space="preserve"> </w:t>
    </w:r>
  </w:p>
  <w:bookmarkEnd w:id="19"/>
  <w:p w14:paraId="639D048F" w14:textId="77777777" w:rsidR="006C2BF0" w:rsidRDefault="006C2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241E" w14:textId="77777777" w:rsidR="006C2BF0" w:rsidRDefault="006C2BF0" w:rsidP="00B40FAE">
    <w:pPr>
      <w:pStyle w:val="Header"/>
      <w:jc w:val="right"/>
    </w:pPr>
    <w:bookmarkStart w:id="20" w:name="TITUS1HeaderPrimary"/>
    <w:r>
      <w:t xml:space="preserve"> </w:t>
    </w:r>
  </w:p>
  <w:bookmarkEnd w:id="20"/>
  <w:p w14:paraId="53C654D6" w14:textId="77777777" w:rsidR="006C2BF0" w:rsidRDefault="006C2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556"/>
    <w:multiLevelType w:val="hybridMultilevel"/>
    <w:tmpl w:val="C9C0799E"/>
    <w:lvl w:ilvl="0" w:tplc="15D03FE0">
      <w:start w:val="3"/>
      <w:numFmt w:val="decimal"/>
      <w:lvlText w:val="%1."/>
      <w:lvlJc w:val="left"/>
      <w:pPr>
        <w:ind w:left="1353" w:hanging="360"/>
      </w:pPr>
      <w:rPr>
        <w:rFonts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34B74F8"/>
    <w:multiLevelType w:val="hybridMultilevel"/>
    <w:tmpl w:val="61B0101C"/>
    <w:lvl w:ilvl="0" w:tplc="0409000F">
      <w:start w:val="26"/>
      <w:numFmt w:val="decimal"/>
      <w:lvlText w:val="%1."/>
      <w:lvlJc w:val="left"/>
      <w:pPr>
        <w:ind w:left="720" w:hanging="360"/>
      </w:pPr>
      <w:rPr>
        <w:rFonts w:hint="default"/>
        <w:b w:val="0"/>
      </w:rPr>
    </w:lvl>
    <w:lvl w:ilvl="1" w:tplc="83DAB6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4476A"/>
    <w:multiLevelType w:val="hybridMultilevel"/>
    <w:tmpl w:val="24E49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481B57"/>
    <w:multiLevelType w:val="hybridMultilevel"/>
    <w:tmpl w:val="2E56E1F8"/>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5F223C"/>
    <w:multiLevelType w:val="hybridMultilevel"/>
    <w:tmpl w:val="C28E6E1A"/>
    <w:lvl w:ilvl="0" w:tplc="04090017">
      <w:start w:val="1"/>
      <w:numFmt w:val="lowerLetter"/>
      <w:lvlText w:val="%1)"/>
      <w:lvlJc w:val="left"/>
      <w:pPr>
        <w:ind w:left="720" w:hanging="360"/>
      </w:pPr>
    </w:lvl>
    <w:lvl w:ilvl="1" w:tplc="257085C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A0068"/>
    <w:multiLevelType w:val="hybridMultilevel"/>
    <w:tmpl w:val="74E61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6458D"/>
    <w:multiLevelType w:val="hybridMultilevel"/>
    <w:tmpl w:val="FD7E8B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554EF"/>
    <w:multiLevelType w:val="hybridMultilevel"/>
    <w:tmpl w:val="F94A3390"/>
    <w:lvl w:ilvl="0" w:tplc="04090017">
      <w:start w:val="1"/>
      <w:numFmt w:val="lowerLetter"/>
      <w:lvlText w:val="%1)"/>
      <w:lvlJc w:val="left"/>
      <w:pPr>
        <w:ind w:left="1260" w:hanging="360"/>
      </w:pPr>
    </w:lvl>
    <w:lvl w:ilvl="1" w:tplc="04090017">
      <w:start w:val="1"/>
      <w:numFmt w:val="lowerLetter"/>
      <w:lvlText w:val="%2)"/>
      <w:lvlJc w:val="left"/>
      <w:pPr>
        <w:ind w:left="1980" w:hanging="360"/>
      </w:pPr>
    </w:lvl>
    <w:lvl w:ilvl="2" w:tplc="A3487A86">
      <w:start w:val="67"/>
      <w:numFmt w:val="decimal"/>
      <w:lvlText w:val="%3."/>
      <w:lvlJc w:val="left"/>
      <w:pPr>
        <w:ind w:left="2880" w:hanging="360"/>
      </w:pPr>
      <w:rPr>
        <w:rFont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3BA0584"/>
    <w:multiLevelType w:val="hybridMultilevel"/>
    <w:tmpl w:val="DBBA2DB4"/>
    <w:lvl w:ilvl="0" w:tplc="04090011">
      <w:start w:val="1"/>
      <w:numFmt w:val="decimal"/>
      <w:lvlText w:val="%1)"/>
      <w:lvlJc w:val="left"/>
      <w:pPr>
        <w:ind w:left="720" w:hanging="360"/>
      </w:pPr>
    </w:lvl>
    <w:lvl w:ilvl="1" w:tplc="DCC06ED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45CA5"/>
    <w:multiLevelType w:val="hybridMultilevel"/>
    <w:tmpl w:val="F11ED606"/>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606A96"/>
    <w:multiLevelType w:val="hybridMultilevel"/>
    <w:tmpl w:val="E7A898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E26632"/>
    <w:multiLevelType w:val="hybridMultilevel"/>
    <w:tmpl w:val="BBFC3E3A"/>
    <w:lvl w:ilvl="0" w:tplc="04090017">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3" w15:restartNumberingAfterBreak="0">
    <w:nsid w:val="184C556E"/>
    <w:multiLevelType w:val="hybridMultilevel"/>
    <w:tmpl w:val="3D1CAB40"/>
    <w:lvl w:ilvl="0" w:tplc="04090017">
      <w:start w:val="1"/>
      <w:numFmt w:val="lowerLetter"/>
      <w:lvlText w:val="%1)"/>
      <w:lvlJc w:val="left"/>
      <w:pPr>
        <w:ind w:left="879" w:hanging="360"/>
      </w:pPr>
    </w:lvl>
    <w:lvl w:ilvl="1" w:tplc="04090017">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14" w15:restartNumberingAfterBreak="0">
    <w:nsid w:val="186A5F05"/>
    <w:multiLevelType w:val="hybridMultilevel"/>
    <w:tmpl w:val="9FB6B2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AA328B"/>
    <w:multiLevelType w:val="hybridMultilevel"/>
    <w:tmpl w:val="622A6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081EBD"/>
    <w:multiLevelType w:val="hybridMultilevel"/>
    <w:tmpl w:val="F48C6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201F73"/>
    <w:multiLevelType w:val="hybridMultilevel"/>
    <w:tmpl w:val="70803A26"/>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EA71348"/>
    <w:multiLevelType w:val="hybridMultilevel"/>
    <w:tmpl w:val="E4CC26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FEE2F8F"/>
    <w:multiLevelType w:val="hybridMultilevel"/>
    <w:tmpl w:val="849CB80E"/>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1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213B1093"/>
    <w:multiLevelType w:val="hybridMultilevel"/>
    <w:tmpl w:val="71E039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E74F68"/>
    <w:multiLevelType w:val="hybridMultilevel"/>
    <w:tmpl w:val="EB64F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26261E"/>
    <w:multiLevelType w:val="hybridMultilevel"/>
    <w:tmpl w:val="161226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B806E2"/>
    <w:multiLevelType w:val="hybridMultilevel"/>
    <w:tmpl w:val="7286E7A0"/>
    <w:lvl w:ilvl="0" w:tplc="04090017">
      <w:start w:val="1"/>
      <w:numFmt w:val="lowerLetter"/>
      <w:lvlText w:val="%1)"/>
      <w:lvlJc w:val="left"/>
      <w:pPr>
        <w:ind w:left="1170" w:hanging="360"/>
      </w:pPr>
    </w:lvl>
    <w:lvl w:ilvl="1" w:tplc="04090017">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412C0E"/>
    <w:multiLevelType w:val="hybridMultilevel"/>
    <w:tmpl w:val="3474B024"/>
    <w:lvl w:ilvl="0" w:tplc="04090017">
      <w:start w:val="1"/>
      <w:numFmt w:val="lowerLetter"/>
      <w:lvlText w:val="%1)"/>
      <w:lvlJc w:val="left"/>
      <w:pPr>
        <w:ind w:left="720" w:hanging="360"/>
      </w:pPr>
    </w:lvl>
    <w:lvl w:ilvl="1" w:tplc="0C3A639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4D5C32"/>
    <w:multiLevelType w:val="hybridMultilevel"/>
    <w:tmpl w:val="74CC571E"/>
    <w:lvl w:ilvl="0" w:tplc="04090017">
      <w:start w:val="1"/>
      <w:numFmt w:val="lowerLetter"/>
      <w:lvlText w:val="%1)"/>
      <w:lvlJc w:val="left"/>
      <w:pPr>
        <w:ind w:left="1689" w:hanging="360"/>
      </w:pPr>
    </w:lvl>
    <w:lvl w:ilvl="1" w:tplc="04090019">
      <w:start w:val="1"/>
      <w:numFmt w:val="lowerLetter"/>
      <w:lvlText w:val="%2."/>
      <w:lvlJc w:val="left"/>
      <w:pPr>
        <w:ind w:left="2409" w:hanging="360"/>
      </w:pPr>
    </w:lvl>
    <w:lvl w:ilvl="2" w:tplc="0409001B" w:tentative="1">
      <w:start w:val="1"/>
      <w:numFmt w:val="lowerRoman"/>
      <w:lvlText w:val="%3."/>
      <w:lvlJc w:val="right"/>
      <w:pPr>
        <w:ind w:left="3129" w:hanging="180"/>
      </w:pPr>
    </w:lvl>
    <w:lvl w:ilvl="3" w:tplc="0409000F" w:tentative="1">
      <w:start w:val="1"/>
      <w:numFmt w:val="decimal"/>
      <w:lvlText w:val="%4."/>
      <w:lvlJc w:val="left"/>
      <w:pPr>
        <w:ind w:left="3849" w:hanging="360"/>
      </w:pPr>
    </w:lvl>
    <w:lvl w:ilvl="4" w:tplc="04090019" w:tentative="1">
      <w:start w:val="1"/>
      <w:numFmt w:val="lowerLetter"/>
      <w:lvlText w:val="%5."/>
      <w:lvlJc w:val="left"/>
      <w:pPr>
        <w:ind w:left="4569" w:hanging="360"/>
      </w:pPr>
    </w:lvl>
    <w:lvl w:ilvl="5" w:tplc="0409001B" w:tentative="1">
      <w:start w:val="1"/>
      <w:numFmt w:val="lowerRoman"/>
      <w:lvlText w:val="%6."/>
      <w:lvlJc w:val="right"/>
      <w:pPr>
        <w:ind w:left="5289" w:hanging="180"/>
      </w:pPr>
    </w:lvl>
    <w:lvl w:ilvl="6" w:tplc="0409000F" w:tentative="1">
      <w:start w:val="1"/>
      <w:numFmt w:val="decimal"/>
      <w:lvlText w:val="%7."/>
      <w:lvlJc w:val="left"/>
      <w:pPr>
        <w:ind w:left="6009" w:hanging="360"/>
      </w:pPr>
    </w:lvl>
    <w:lvl w:ilvl="7" w:tplc="04090019" w:tentative="1">
      <w:start w:val="1"/>
      <w:numFmt w:val="lowerLetter"/>
      <w:lvlText w:val="%8."/>
      <w:lvlJc w:val="left"/>
      <w:pPr>
        <w:ind w:left="6729" w:hanging="360"/>
      </w:pPr>
    </w:lvl>
    <w:lvl w:ilvl="8" w:tplc="0409001B" w:tentative="1">
      <w:start w:val="1"/>
      <w:numFmt w:val="lowerRoman"/>
      <w:lvlText w:val="%9."/>
      <w:lvlJc w:val="right"/>
      <w:pPr>
        <w:ind w:left="7449" w:hanging="180"/>
      </w:pPr>
    </w:lvl>
  </w:abstractNum>
  <w:abstractNum w:abstractNumId="29" w15:restartNumberingAfterBreak="0">
    <w:nsid w:val="29317AC5"/>
    <w:multiLevelType w:val="hybridMultilevel"/>
    <w:tmpl w:val="692AFA94"/>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2A5A0213"/>
    <w:multiLevelType w:val="hybridMultilevel"/>
    <w:tmpl w:val="720837D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2A9E1A0C"/>
    <w:multiLevelType w:val="hybridMultilevel"/>
    <w:tmpl w:val="CF047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80790B"/>
    <w:multiLevelType w:val="hybridMultilevel"/>
    <w:tmpl w:val="EAE868AA"/>
    <w:lvl w:ilvl="0" w:tplc="04090017">
      <w:start w:val="1"/>
      <w:numFmt w:val="lowerLetter"/>
      <w:lvlText w:val="%1)"/>
      <w:lvlJc w:val="left"/>
      <w:pPr>
        <w:ind w:left="720" w:hanging="360"/>
      </w:pPr>
    </w:lvl>
    <w:lvl w:ilvl="1" w:tplc="9A181AD2">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406568"/>
    <w:multiLevelType w:val="hybridMultilevel"/>
    <w:tmpl w:val="133664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F4384F"/>
    <w:multiLevelType w:val="hybridMultilevel"/>
    <w:tmpl w:val="328A40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743F04"/>
    <w:multiLevelType w:val="hybridMultilevel"/>
    <w:tmpl w:val="17F459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9D5F0B"/>
    <w:multiLevelType w:val="hybridMultilevel"/>
    <w:tmpl w:val="DE9ECF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6D27B8"/>
    <w:multiLevelType w:val="hybridMultilevel"/>
    <w:tmpl w:val="38A09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DF1FD1"/>
    <w:multiLevelType w:val="hybridMultilevel"/>
    <w:tmpl w:val="B970B48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E0789A"/>
    <w:multiLevelType w:val="hybridMultilevel"/>
    <w:tmpl w:val="50D0A8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EB796C"/>
    <w:multiLevelType w:val="hybridMultilevel"/>
    <w:tmpl w:val="DA6ACBE8"/>
    <w:lvl w:ilvl="0" w:tplc="04090011">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41" w15:restartNumberingAfterBreak="0">
    <w:nsid w:val="38430F91"/>
    <w:multiLevelType w:val="hybridMultilevel"/>
    <w:tmpl w:val="D5A6EC32"/>
    <w:lvl w:ilvl="0" w:tplc="04090017">
      <w:start w:val="1"/>
      <w:numFmt w:val="lowerLetter"/>
      <w:lvlText w:val="%1)"/>
      <w:lvlJc w:val="left"/>
      <w:pPr>
        <w:ind w:left="990" w:hanging="360"/>
      </w:pPr>
    </w:lvl>
    <w:lvl w:ilvl="1" w:tplc="04090017">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3B3358C8"/>
    <w:multiLevelType w:val="hybridMultilevel"/>
    <w:tmpl w:val="54A467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1C5FF6"/>
    <w:multiLevelType w:val="hybridMultilevel"/>
    <w:tmpl w:val="1C30D994"/>
    <w:lvl w:ilvl="0" w:tplc="04090011">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15:restartNumberingAfterBreak="0">
    <w:nsid w:val="42FC6E4A"/>
    <w:multiLevelType w:val="hybridMultilevel"/>
    <w:tmpl w:val="9F8EAD1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6540BD"/>
    <w:multiLevelType w:val="hybridMultilevel"/>
    <w:tmpl w:val="AFFCE8B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850675"/>
    <w:multiLevelType w:val="hybridMultilevel"/>
    <w:tmpl w:val="A79ED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4119F7"/>
    <w:multiLevelType w:val="hybridMultilevel"/>
    <w:tmpl w:val="5824E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33025C"/>
    <w:multiLevelType w:val="hybridMultilevel"/>
    <w:tmpl w:val="4A74A15E"/>
    <w:lvl w:ilvl="0" w:tplc="04090017">
      <w:start w:val="1"/>
      <w:numFmt w:val="lowerLetter"/>
      <w:lvlText w:val="%1)"/>
      <w:lvlJc w:val="left"/>
      <w:pPr>
        <w:ind w:left="990" w:hanging="360"/>
      </w:pPr>
    </w:lvl>
    <w:lvl w:ilvl="1" w:tplc="04090017">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48483D42"/>
    <w:multiLevelType w:val="hybridMultilevel"/>
    <w:tmpl w:val="EE7218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591EC2"/>
    <w:multiLevelType w:val="hybridMultilevel"/>
    <w:tmpl w:val="782CB4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246554"/>
    <w:multiLevelType w:val="hybridMultilevel"/>
    <w:tmpl w:val="47365D34"/>
    <w:lvl w:ilvl="0" w:tplc="04090017">
      <w:start w:val="1"/>
      <w:numFmt w:val="lowerLetter"/>
      <w:lvlText w:val="%1)"/>
      <w:lvlJc w:val="left"/>
      <w:pPr>
        <w:ind w:left="990" w:hanging="360"/>
      </w:pPr>
    </w:lvl>
    <w:lvl w:ilvl="1" w:tplc="04090017">
      <w:start w:val="1"/>
      <w:numFmt w:val="lowerLetter"/>
      <w:lvlText w:val="%2)"/>
      <w:lvlJc w:val="left"/>
      <w:pPr>
        <w:ind w:left="1710" w:hanging="360"/>
      </w:pPr>
    </w:lvl>
    <w:lvl w:ilvl="2" w:tplc="4F18DC54">
      <w:start w:val="1"/>
      <w:numFmt w:val="decimal"/>
      <w:lvlText w:val="(%3)"/>
      <w:lvlJc w:val="left"/>
      <w:pPr>
        <w:ind w:left="2610" w:hanging="360"/>
      </w:pPr>
      <w:rPr>
        <w:rFonts w:hint="default"/>
      </w:rPr>
    </w:lvl>
    <w:lvl w:ilvl="3" w:tplc="053624EA">
      <w:start w:val="51"/>
      <w:numFmt w:val="decimal"/>
      <w:lvlText w:val="%4."/>
      <w:lvlJc w:val="left"/>
      <w:pPr>
        <w:ind w:left="3150" w:hanging="360"/>
      </w:pPr>
      <w:rPr>
        <w:rFonts w:hint="default"/>
        <w:b w:val="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15:restartNumberingAfterBreak="0">
    <w:nsid w:val="4F7F79C5"/>
    <w:multiLevelType w:val="hybridMultilevel"/>
    <w:tmpl w:val="EF38CF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0BD2894"/>
    <w:multiLevelType w:val="hybridMultilevel"/>
    <w:tmpl w:val="E6D2B7CE"/>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5"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56" w15:restartNumberingAfterBreak="0">
    <w:nsid w:val="529F6B6F"/>
    <w:multiLevelType w:val="hybridMultilevel"/>
    <w:tmpl w:val="CE9E19C8"/>
    <w:lvl w:ilvl="0" w:tplc="04090017">
      <w:start w:val="1"/>
      <w:numFmt w:val="lowerLetter"/>
      <w:lvlText w:val="%1)"/>
      <w:lvlJc w:val="left"/>
      <w:pPr>
        <w:ind w:left="969" w:hanging="360"/>
      </w:pPr>
    </w:lvl>
    <w:lvl w:ilvl="1" w:tplc="04090017">
      <w:start w:val="1"/>
      <w:numFmt w:val="lowerLetter"/>
      <w:lvlText w:val="%2)"/>
      <w:lvlJc w:val="left"/>
      <w:pPr>
        <w:ind w:left="1689" w:hanging="360"/>
      </w:pPr>
    </w:lvl>
    <w:lvl w:ilvl="2" w:tplc="98D6EFAA">
      <w:start w:val="1"/>
      <w:numFmt w:val="decimal"/>
      <w:lvlText w:val="%3."/>
      <w:lvlJc w:val="left"/>
      <w:pPr>
        <w:ind w:left="2589" w:hanging="360"/>
      </w:pPr>
      <w:rPr>
        <w:rFonts w:hint="default"/>
      </w:rPr>
    </w:lvl>
    <w:lvl w:ilvl="3" w:tplc="95C8C104">
      <w:start w:val="1"/>
      <w:numFmt w:val="lowerLetter"/>
      <w:lvlText w:val="(%4)"/>
      <w:lvlJc w:val="left"/>
      <w:pPr>
        <w:ind w:left="3129" w:hanging="360"/>
      </w:pPr>
      <w:rPr>
        <w:rFonts w:hint="default"/>
        <w:color w:val="FF0000"/>
      </w:r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57" w15:restartNumberingAfterBreak="0">
    <w:nsid w:val="541B5657"/>
    <w:multiLevelType w:val="hybridMultilevel"/>
    <w:tmpl w:val="FD1257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4284987"/>
    <w:multiLevelType w:val="hybridMultilevel"/>
    <w:tmpl w:val="405C776C"/>
    <w:lvl w:ilvl="0" w:tplc="CA941470">
      <w:start w:val="1"/>
      <w:numFmt w:val="lowerLetter"/>
      <w:suff w:val="nothing"/>
      <w:lvlText w:val="%1)"/>
      <w:lvlJc w:val="left"/>
      <w:pPr>
        <w:ind w:left="1724"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9" w15:restartNumberingAfterBreak="0">
    <w:nsid w:val="54C427C7"/>
    <w:multiLevelType w:val="hybridMultilevel"/>
    <w:tmpl w:val="4F0AC6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2C3530"/>
    <w:multiLevelType w:val="hybridMultilevel"/>
    <w:tmpl w:val="708AC9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2" w15:restartNumberingAfterBreak="0">
    <w:nsid w:val="55E031EA"/>
    <w:multiLevelType w:val="hybridMultilevel"/>
    <w:tmpl w:val="8A72AE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86199A"/>
    <w:multiLevelType w:val="hybridMultilevel"/>
    <w:tmpl w:val="0DBEABF8"/>
    <w:lvl w:ilvl="0" w:tplc="04090017">
      <w:start w:val="1"/>
      <w:numFmt w:val="lowerLetter"/>
      <w:lvlText w:val="%1)"/>
      <w:lvlJc w:val="left"/>
      <w:pPr>
        <w:ind w:left="720" w:hanging="360"/>
      </w:pPr>
    </w:lvl>
    <w:lvl w:ilvl="1" w:tplc="35E26772">
      <w:start w:val="67"/>
      <w:numFmt w:val="decimal"/>
      <w:lvlText w:val="%2."/>
      <w:lvlJc w:val="left"/>
      <w:pPr>
        <w:ind w:left="1440" w:hanging="360"/>
      </w:pPr>
      <w:rPr>
        <w:rFonts w:hint="default"/>
      </w:rPr>
    </w:lvl>
    <w:lvl w:ilvl="2" w:tplc="D8B41544">
      <w:start w:val="2"/>
      <w:numFmt w:val="bullet"/>
      <w:lvlText w:val="-"/>
      <w:lvlJc w:val="left"/>
      <w:pPr>
        <w:ind w:left="2340" w:hanging="360"/>
      </w:pPr>
      <w:rPr>
        <w:rFonts w:ascii="Times New Roman" w:eastAsiaTheme="minorHAnsi" w:hAnsi="Times New Roman" w:cs="Times New Roman" w:hint="default"/>
      </w:r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9D1AC5"/>
    <w:multiLevelType w:val="hybridMultilevel"/>
    <w:tmpl w:val="4FD88326"/>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5"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1069"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890647C"/>
    <w:multiLevelType w:val="hybridMultilevel"/>
    <w:tmpl w:val="52FE5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8C2378"/>
    <w:multiLevelType w:val="hybridMultilevel"/>
    <w:tmpl w:val="E3C6CF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CA59F2"/>
    <w:multiLevelType w:val="hybridMultilevel"/>
    <w:tmpl w:val="BDECB2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0" w15:restartNumberingAfterBreak="0">
    <w:nsid w:val="5F3C59E8"/>
    <w:multiLevelType w:val="hybridMultilevel"/>
    <w:tmpl w:val="BC4E99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B67907"/>
    <w:multiLevelType w:val="hybridMultilevel"/>
    <w:tmpl w:val="AB742546"/>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2" w15:restartNumberingAfterBreak="0">
    <w:nsid w:val="61F6684F"/>
    <w:multiLevelType w:val="hybridMultilevel"/>
    <w:tmpl w:val="19923A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F812E3"/>
    <w:multiLevelType w:val="hybridMultilevel"/>
    <w:tmpl w:val="DAB270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472318D"/>
    <w:multiLevelType w:val="hybridMultilevel"/>
    <w:tmpl w:val="CFD268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360"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6" w15:restartNumberingAfterBreak="0">
    <w:nsid w:val="66993C19"/>
    <w:multiLevelType w:val="hybridMultilevel"/>
    <w:tmpl w:val="B09CED2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7CE1EE7"/>
    <w:multiLevelType w:val="hybridMultilevel"/>
    <w:tmpl w:val="205A8CF0"/>
    <w:lvl w:ilvl="0" w:tplc="89CAA89A">
      <w:start w:val="1"/>
      <w:numFmt w:val="decimal"/>
      <w:lvlText w:val="%1."/>
      <w:lvlJc w:val="left"/>
      <w:pPr>
        <w:ind w:left="198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7B7E2B7E">
      <w:start w:val="1"/>
      <w:numFmt w:val="lowerLetter"/>
      <w:lvlText w:val="(%4)"/>
      <w:lvlJc w:val="left"/>
      <w:pPr>
        <w:ind w:left="2880" w:hanging="360"/>
      </w:pPr>
      <w:rPr>
        <w:rFonts w:hint="default"/>
        <w:b w:val="0"/>
        <w:color w:val="FF0000"/>
      </w:rPr>
    </w:lvl>
    <w:lvl w:ilvl="4" w:tplc="0409000F">
      <w:start w:val="1"/>
      <w:numFmt w:val="decimal"/>
      <w:lvlText w:val="%5."/>
      <w:lvlJc w:val="left"/>
      <w:pPr>
        <w:ind w:left="3600" w:hanging="360"/>
      </w:pPr>
      <w:rPr>
        <w:rFonts w:hint="default"/>
      </w:rPr>
    </w:lvl>
    <w:lvl w:ilvl="5" w:tplc="0409000F">
      <w:start w:val="1"/>
      <w:numFmt w:val="decimal"/>
      <w:lvlText w:val="%6."/>
      <w:lvlJc w:val="left"/>
      <w:pPr>
        <w:ind w:left="4545" w:hanging="405"/>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92E527D"/>
    <w:multiLevelType w:val="hybridMultilevel"/>
    <w:tmpl w:val="7E029A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A16BA2E">
      <w:start w:val="1"/>
      <w:numFmt w:val="decimal"/>
      <w:suff w:val="space"/>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942288"/>
    <w:multiLevelType w:val="hybridMultilevel"/>
    <w:tmpl w:val="4FA6F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2407F0"/>
    <w:multiLevelType w:val="hybridMultilevel"/>
    <w:tmpl w:val="880A7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CBE13EB"/>
    <w:multiLevelType w:val="hybridMultilevel"/>
    <w:tmpl w:val="C6427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2F6E96"/>
    <w:multiLevelType w:val="hybridMultilevel"/>
    <w:tmpl w:val="5A3035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371ECB"/>
    <w:multiLevelType w:val="hybridMultilevel"/>
    <w:tmpl w:val="05749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E9E0419"/>
    <w:multiLevelType w:val="hybridMultilevel"/>
    <w:tmpl w:val="CC800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F8E609C"/>
    <w:multiLevelType w:val="hybridMultilevel"/>
    <w:tmpl w:val="DA546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6F34FD"/>
    <w:multiLevelType w:val="hybridMultilevel"/>
    <w:tmpl w:val="1D2A53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146572"/>
    <w:multiLevelType w:val="hybridMultilevel"/>
    <w:tmpl w:val="45E6E2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8"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74F1056E"/>
    <w:multiLevelType w:val="hybridMultilevel"/>
    <w:tmpl w:val="FEBE5B72"/>
    <w:lvl w:ilvl="0" w:tplc="04090017">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90" w15:restartNumberingAfterBreak="0">
    <w:nsid w:val="76975D39"/>
    <w:multiLevelType w:val="hybridMultilevel"/>
    <w:tmpl w:val="A5565C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8EC40DC"/>
    <w:multiLevelType w:val="hybridMultilevel"/>
    <w:tmpl w:val="E2708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96915DA"/>
    <w:multiLevelType w:val="hybridMultilevel"/>
    <w:tmpl w:val="0E7ADBDE"/>
    <w:lvl w:ilvl="0" w:tplc="04090017">
      <w:start w:val="1"/>
      <w:numFmt w:val="lowerLetter"/>
      <w:lvlText w:val="%1)"/>
      <w:lvlJc w:val="left"/>
      <w:pPr>
        <w:ind w:left="720" w:hanging="360"/>
      </w:pPr>
    </w:lvl>
    <w:lvl w:ilvl="1" w:tplc="9A181A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FA814A2"/>
    <w:multiLevelType w:val="hybridMultilevel"/>
    <w:tmpl w:val="7B38AA12"/>
    <w:lvl w:ilvl="0" w:tplc="04090017">
      <w:start w:val="1"/>
      <w:numFmt w:val="lowerLetter"/>
      <w:lvlText w:val="%1)"/>
      <w:lvlJc w:val="left"/>
      <w:pPr>
        <w:ind w:left="879" w:hanging="360"/>
      </w:p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num w:numId="1" w16cid:durableId="38629383">
    <w:abstractNumId w:val="16"/>
  </w:num>
  <w:num w:numId="2" w16cid:durableId="1142886098">
    <w:abstractNumId w:val="26"/>
  </w:num>
  <w:num w:numId="3" w16cid:durableId="1813719243">
    <w:abstractNumId w:val="65"/>
  </w:num>
  <w:num w:numId="4" w16cid:durableId="4967278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1850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169654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8725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017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33857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805927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647343">
    <w:abstractNumId w:val="61"/>
  </w:num>
  <w:num w:numId="12" w16cid:durableId="48506378">
    <w:abstractNumId w:val="66"/>
  </w:num>
  <w:num w:numId="13" w16cid:durableId="1714889974">
    <w:abstractNumId w:val="42"/>
  </w:num>
  <w:num w:numId="14" w16cid:durableId="724110552">
    <w:abstractNumId w:val="27"/>
  </w:num>
  <w:num w:numId="15" w16cid:durableId="840851317">
    <w:abstractNumId w:val="60"/>
  </w:num>
  <w:num w:numId="16" w16cid:durableId="1041326563">
    <w:abstractNumId w:val="85"/>
  </w:num>
  <w:num w:numId="17" w16cid:durableId="637302565">
    <w:abstractNumId w:val="79"/>
  </w:num>
  <w:num w:numId="18" w16cid:durableId="534317202">
    <w:abstractNumId w:val="5"/>
  </w:num>
  <w:num w:numId="19" w16cid:durableId="868302505">
    <w:abstractNumId w:val="32"/>
  </w:num>
  <w:num w:numId="20" w16cid:durableId="339698167">
    <w:abstractNumId w:val="9"/>
  </w:num>
  <w:num w:numId="21" w16cid:durableId="1407531741">
    <w:abstractNumId w:val="12"/>
  </w:num>
  <w:num w:numId="22" w16cid:durableId="1462185890">
    <w:abstractNumId w:val="93"/>
  </w:num>
  <w:num w:numId="23" w16cid:durableId="1309746932">
    <w:abstractNumId w:val="56"/>
  </w:num>
  <w:num w:numId="24" w16cid:durableId="40592280">
    <w:abstractNumId w:val="24"/>
  </w:num>
  <w:num w:numId="25" w16cid:durableId="282545635">
    <w:abstractNumId w:val="36"/>
  </w:num>
  <w:num w:numId="26" w16cid:durableId="538322477">
    <w:abstractNumId w:val="77"/>
  </w:num>
  <w:num w:numId="27" w16cid:durableId="1171944175">
    <w:abstractNumId w:val="78"/>
  </w:num>
  <w:num w:numId="28" w16cid:durableId="1452361671">
    <w:abstractNumId w:val="83"/>
  </w:num>
  <w:num w:numId="29" w16cid:durableId="911617374">
    <w:abstractNumId w:val="1"/>
  </w:num>
  <w:num w:numId="30" w16cid:durableId="1253782636">
    <w:abstractNumId w:val="81"/>
  </w:num>
  <w:num w:numId="31" w16cid:durableId="1513642675">
    <w:abstractNumId w:val="89"/>
  </w:num>
  <w:num w:numId="32" w16cid:durableId="2036540790">
    <w:abstractNumId w:val="91"/>
  </w:num>
  <w:num w:numId="33" w16cid:durableId="865482115">
    <w:abstractNumId w:val="50"/>
  </w:num>
  <w:num w:numId="34" w16cid:durableId="1287270656">
    <w:abstractNumId w:val="59"/>
  </w:num>
  <w:num w:numId="35" w16cid:durableId="336730798">
    <w:abstractNumId w:val="4"/>
  </w:num>
  <w:num w:numId="36" w16cid:durableId="69349013">
    <w:abstractNumId w:val="10"/>
  </w:num>
  <w:num w:numId="37" w16cid:durableId="1790978074">
    <w:abstractNumId w:val="7"/>
  </w:num>
  <w:num w:numId="38" w16cid:durableId="964389154">
    <w:abstractNumId w:val="76"/>
  </w:num>
  <w:num w:numId="39" w16cid:durableId="1713115498">
    <w:abstractNumId w:val="38"/>
  </w:num>
  <w:num w:numId="40" w16cid:durableId="731661270">
    <w:abstractNumId w:val="67"/>
  </w:num>
  <w:num w:numId="41" w16cid:durableId="1334139274">
    <w:abstractNumId w:val="13"/>
  </w:num>
  <w:num w:numId="42" w16cid:durableId="85883824">
    <w:abstractNumId w:val="74"/>
  </w:num>
  <w:num w:numId="43" w16cid:durableId="567568364">
    <w:abstractNumId w:val="37"/>
  </w:num>
  <w:num w:numId="44" w16cid:durableId="882863930">
    <w:abstractNumId w:val="71"/>
  </w:num>
  <w:num w:numId="45" w16cid:durableId="1350372719">
    <w:abstractNumId w:val="30"/>
  </w:num>
  <w:num w:numId="46" w16cid:durableId="295061963">
    <w:abstractNumId w:val="54"/>
  </w:num>
  <w:num w:numId="47" w16cid:durableId="1961062419">
    <w:abstractNumId w:val="6"/>
  </w:num>
  <w:num w:numId="48" w16cid:durableId="1480686648">
    <w:abstractNumId w:val="35"/>
  </w:num>
  <w:num w:numId="49" w16cid:durableId="2130512155">
    <w:abstractNumId w:val="70"/>
  </w:num>
  <w:num w:numId="50" w16cid:durableId="1008408376">
    <w:abstractNumId w:val="2"/>
  </w:num>
  <w:num w:numId="51" w16cid:durableId="1099258737">
    <w:abstractNumId w:val="46"/>
  </w:num>
  <w:num w:numId="52" w16cid:durableId="2091273090">
    <w:abstractNumId w:val="48"/>
  </w:num>
  <w:num w:numId="53" w16cid:durableId="129518648">
    <w:abstractNumId w:val="41"/>
  </w:num>
  <w:num w:numId="54" w16cid:durableId="187525552">
    <w:abstractNumId w:val="14"/>
  </w:num>
  <w:num w:numId="55" w16cid:durableId="971784975">
    <w:abstractNumId w:val="86"/>
  </w:num>
  <w:num w:numId="56" w16cid:durableId="2104374145">
    <w:abstractNumId w:val="25"/>
  </w:num>
  <w:num w:numId="57" w16cid:durableId="595285909">
    <w:abstractNumId w:val="43"/>
  </w:num>
  <w:num w:numId="58" w16cid:durableId="1045105158">
    <w:abstractNumId w:val="44"/>
  </w:num>
  <w:num w:numId="59" w16cid:durableId="1327704529">
    <w:abstractNumId w:val="21"/>
  </w:num>
  <w:num w:numId="60" w16cid:durableId="1684239391">
    <w:abstractNumId w:val="34"/>
  </w:num>
  <w:num w:numId="61" w16cid:durableId="1017583074">
    <w:abstractNumId w:val="17"/>
  </w:num>
  <w:num w:numId="62" w16cid:durableId="1417167017">
    <w:abstractNumId w:val="29"/>
  </w:num>
  <w:num w:numId="63" w16cid:durableId="567804495">
    <w:abstractNumId w:val="18"/>
  </w:num>
  <w:num w:numId="64" w16cid:durableId="1481574037">
    <w:abstractNumId w:val="15"/>
  </w:num>
  <w:num w:numId="65" w16cid:durableId="418984161">
    <w:abstractNumId w:val="82"/>
  </w:num>
  <w:num w:numId="66" w16cid:durableId="1671104012">
    <w:abstractNumId w:val="52"/>
  </w:num>
  <w:num w:numId="67" w16cid:durableId="611206574">
    <w:abstractNumId w:val="63"/>
  </w:num>
  <w:num w:numId="68" w16cid:durableId="697893180">
    <w:abstractNumId w:val="8"/>
  </w:num>
  <w:num w:numId="69" w16cid:durableId="81952073">
    <w:abstractNumId w:val="87"/>
  </w:num>
  <w:num w:numId="70" w16cid:durableId="1015612593">
    <w:abstractNumId w:val="62"/>
  </w:num>
  <w:num w:numId="71" w16cid:durableId="1735733968">
    <w:abstractNumId w:val="45"/>
  </w:num>
  <w:num w:numId="72" w16cid:durableId="1446995212">
    <w:abstractNumId w:val="22"/>
  </w:num>
  <w:num w:numId="73" w16cid:durableId="1226257431">
    <w:abstractNumId w:val="47"/>
  </w:num>
  <w:num w:numId="74" w16cid:durableId="963118526">
    <w:abstractNumId w:val="90"/>
  </w:num>
  <w:num w:numId="75" w16cid:durableId="1789931794">
    <w:abstractNumId w:val="57"/>
  </w:num>
  <w:num w:numId="76" w16cid:durableId="2090926452">
    <w:abstractNumId w:val="68"/>
  </w:num>
  <w:num w:numId="77" w16cid:durableId="1328823925">
    <w:abstractNumId w:val="39"/>
  </w:num>
  <w:num w:numId="78" w16cid:durableId="1184855080">
    <w:abstractNumId w:val="80"/>
  </w:num>
  <w:num w:numId="79" w16cid:durableId="694771298">
    <w:abstractNumId w:val="51"/>
  </w:num>
  <w:num w:numId="80" w16cid:durableId="1824422045">
    <w:abstractNumId w:val="11"/>
  </w:num>
  <w:num w:numId="81" w16cid:durableId="1295795367">
    <w:abstractNumId w:val="31"/>
  </w:num>
  <w:num w:numId="82" w16cid:durableId="1178545445">
    <w:abstractNumId w:val="19"/>
  </w:num>
  <w:num w:numId="83" w16cid:durableId="1810972817">
    <w:abstractNumId w:val="49"/>
  </w:num>
  <w:num w:numId="84" w16cid:durableId="1095631992">
    <w:abstractNumId w:val="23"/>
  </w:num>
  <w:num w:numId="85" w16cid:durableId="1176576918">
    <w:abstractNumId w:val="72"/>
  </w:num>
  <w:num w:numId="86" w16cid:durableId="1871609035">
    <w:abstractNumId w:val="28"/>
  </w:num>
  <w:num w:numId="87" w16cid:durableId="1625649327">
    <w:abstractNumId w:val="84"/>
  </w:num>
  <w:num w:numId="88" w16cid:durableId="555898218">
    <w:abstractNumId w:val="33"/>
  </w:num>
  <w:num w:numId="89" w16cid:durableId="572350624">
    <w:abstractNumId w:val="92"/>
  </w:num>
  <w:num w:numId="90" w16cid:durableId="554705025">
    <w:abstractNumId w:val="64"/>
  </w:num>
  <w:num w:numId="91" w16cid:durableId="1046683653">
    <w:abstractNumId w:val="0"/>
  </w:num>
  <w:num w:numId="92" w16cid:durableId="75828082">
    <w:abstractNumId w:val="73"/>
  </w:num>
  <w:num w:numId="93" w16cid:durableId="1077897815">
    <w:abstractNumId w:val="40"/>
  </w:num>
  <w:num w:numId="94" w16cid:durableId="1886529577">
    <w:abstractNumId w:val="5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BD"/>
    <w:rsid w:val="0000087D"/>
    <w:rsid w:val="00001B8C"/>
    <w:rsid w:val="00001C5E"/>
    <w:rsid w:val="000048E4"/>
    <w:rsid w:val="000068EE"/>
    <w:rsid w:val="000069C4"/>
    <w:rsid w:val="000104FB"/>
    <w:rsid w:val="000111A5"/>
    <w:rsid w:val="00011922"/>
    <w:rsid w:val="00011BA4"/>
    <w:rsid w:val="000124A3"/>
    <w:rsid w:val="000208B8"/>
    <w:rsid w:val="00021159"/>
    <w:rsid w:val="0002252B"/>
    <w:rsid w:val="00022D5B"/>
    <w:rsid w:val="000305FE"/>
    <w:rsid w:val="00031BE8"/>
    <w:rsid w:val="00032E6F"/>
    <w:rsid w:val="000345A1"/>
    <w:rsid w:val="00034DA2"/>
    <w:rsid w:val="000353FF"/>
    <w:rsid w:val="00035547"/>
    <w:rsid w:val="00035FEE"/>
    <w:rsid w:val="0004052D"/>
    <w:rsid w:val="00044D62"/>
    <w:rsid w:val="0004617A"/>
    <w:rsid w:val="00047756"/>
    <w:rsid w:val="00047929"/>
    <w:rsid w:val="00050039"/>
    <w:rsid w:val="000501F7"/>
    <w:rsid w:val="00050E39"/>
    <w:rsid w:val="00051CDF"/>
    <w:rsid w:val="000527C4"/>
    <w:rsid w:val="00053367"/>
    <w:rsid w:val="00053B5E"/>
    <w:rsid w:val="000567C7"/>
    <w:rsid w:val="00056BCD"/>
    <w:rsid w:val="000572C8"/>
    <w:rsid w:val="0005781F"/>
    <w:rsid w:val="00057953"/>
    <w:rsid w:val="00057CCE"/>
    <w:rsid w:val="00060D68"/>
    <w:rsid w:val="00061310"/>
    <w:rsid w:val="000613B4"/>
    <w:rsid w:val="000617D3"/>
    <w:rsid w:val="00063EC7"/>
    <w:rsid w:val="0006443F"/>
    <w:rsid w:val="00064F7C"/>
    <w:rsid w:val="0006693D"/>
    <w:rsid w:val="00066E71"/>
    <w:rsid w:val="00067C89"/>
    <w:rsid w:val="000706AB"/>
    <w:rsid w:val="00070A80"/>
    <w:rsid w:val="000710E6"/>
    <w:rsid w:val="00071E90"/>
    <w:rsid w:val="00072A3A"/>
    <w:rsid w:val="00074047"/>
    <w:rsid w:val="00074889"/>
    <w:rsid w:val="000768C2"/>
    <w:rsid w:val="00076C95"/>
    <w:rsid w:val="00077692"/>
    <w:rsid w:val="00083CC3"/>
    <w:rsid w:val="00084319"/>
    <w:rsid w:val="0008568E"/>
    <w:rsid w:val="000857CC"/>
    <w:rsid w:val="0008793A"/>
    <w:rsid w:val="00087A0E"/>
    <w:rsid w:val="00087A6A"/>
    <w:rsid w:val="00090455"/>
    <w:rsid w:val="0009061F"/>
    <w:rsid w:val="00090957"/>
    <w:rsid w:val="00091A98"/>
    <w:rsid w:val="00091C43"/>
    <w:rsid w:val="00092DAA"/>
    <w:rsid w:val="000946EF"/>
    <w:rsid w:val="000947FD"/>
    <w:rsid w:val="000952D2"/>
    <w:rsid w:val="00095D7F"/>
    <w:rsid w:val="00096308"/>
    <w:rsid w:val="00096448"/>
    <w:rsid w:val="000979D7"/>
    <w:rsid w:val="00097A46"/>
    <w:rsid w:val="000A01A2"/>
    <w:rsid w:val="000A122A"/>
    <w:rsid w:val="000A31C9"/>
    <w:rsid w:val="000A3EAF"/>
    <w:rsid w:val="000A4B8D"/>
    <w:rsid w:val="000A5A06"/>
    <w:rsid w:val="000A71FA"/>
    <w:rsid w:val="000A7960"/>
    <w:rsid w:val="000B2904"/>
    <w:rsid w:val="000B42A1"/>
    <w:rsid w:val="000B4AB6"/>
    <w:rsid w:val="000B547E"/>
    <w:rsid w:val="000B5CE3"/>
    <w:rsid w:val="000B5F5F"/>
    <w:rsid w:val="000B78DF"/>
    <w:rsid w:val="000B7E54"/>
    <w:rsid w:val="000C065D"/>
    <w:rsid w:val="000C0B7B"/>
    <w:rsid w:val="000C2360"/>
    <w:rsid w:val="000C243B"/>
    <w:rsid w:val="000C26F6"/>
    <w:rsid w:val="000C5880"/>
    <w:rsid w:val="000C5B70"/>
    <w:rsid w:val="000D0E79"/>
    <w:rsid w:val="000D0F9D"/>
    <w:rsid w:val="000D1546"/>
    <w:rsid w:val="000D2683"/>
    <w:rsid w:val="000D3F5E"/>
    <w:rsid w:val="000D4DA5"/>
    <w:rsid w:val="000D504B"/>
    <w:rsid w:val="000D7340"/>
    <w:rsid w:val="000E03BD"/>
    <w:rsid w:val="000E1739"/>
    <w:rsid w:val="000E1F57"/>
    <w:rsid w:val="000E25CB"/>
    <w:rsid w:val="000E2C83"/>
    <w:rsid w:val="000E2F9D"/>
    <w:rsid w:val="000E351E"/>
    <w:rsid w:val="000E361A"/>
    <w:rsid w:val="000E550B"/>
    <w:rsid w:val="000E60D3"/>
    <w:rsid w:val="000E7E35"/>
    <w:rsid w:val="000F1B03"/>
    <w:rsid w:val="000F1DEE"/>
    <w:rsid w:val="000F3140"/>
    <w:rsid w:val="000F3A00"/>
    <w:rsid w:val="000F44C1"/>
    <w:rsid w:val="000F4BA2"/>
    <w:rsid w:val="000F5059"/>
    <w:rsid w:val="000F57A2"/>
    <w:rsid w:val="000F6049"/>
    <w:rsid w:val="000F680F"/>
    <w:rsid w:val="000F72F7"/>
    <w:rsid w:val="000F77E8"/>
    <w:rsid w:val="000F7DEE"/>
    <w:rsid w:val="001000C9"/>
    <w:rsid w:val="0010025D"/>
    <w:rsid w:val="00101DCD"/>
    <w:rsid w:val="00102E70"/>
    <w:rsid w:val="00102EE5"/>
    <w:rsid w:val="001031A2"/>
    <w:rsid w:val="00104514"/>
    <w:rsid w:val="00104ACB"/>
    <w:rsid w:val="00105BAC"/>
    <w:rsid w:val="00106A96"/>
    <w:rsid w:val="0010793C"/>
    <w:rsid w:val="00107A87"/>
    <w:rsid w:val="00110513"/>
    <w:rsid w:val="0011084D"/>
    <w:rsid w:val="001108AB"/>
    <w:rsid w:val="0011190B"/>
    <w:rsid w:val="0011225B"/>
    <w:rsid w:val="0011236B"/>
    <w:rsid w:val="00112D65"/>
    <w:rsid w:val="00113622"/>
    <w:rsid w:val="0011374E"/>
    <w:rsid w:val="001154E2"/>
    <w:rsid w:val="00116289"/>
    <w:rsid w:val="00117E23"/>
    <w:rsid w:val="00120A22"/>
    <w:rsid w:val="00120F88"/>
    <w:rsid w:val="00122BCE"/>
    <w:rsid w:val="00123046"/>
    <w:rsid w:val="001249A1"/>
    <w:rsid w:val="00124F6E"/>
    <w:rsid w:val="00125E75"/>
    <w:rsid w:val="00125EE7"/>
    <w:rsid w:val="00125F18"/>
    <w:rsid w:val="001277A5"/>
    <w:rsid w:val="001312E7"/>
    <w:rsid w:val="001323E6"/>
    <w:rsid w:val="00132A2C"/>
    <w:rsid w:val="00133162"/>
    <w:rsid w:val="00133210"/>
    <w:rsid w:val="00133B54"/>
    <w:rsid w:val="00135333"/>
    <w:rsid w:val="001357FE"/>
    <w:rsid w:val="001358E2"/>
    <w:rsid w:val="00135C40"/>
    <w:rsid w:val="00135CC8"/>
    <w:rsid w:val="0013784F"/>
    <w:rsid w:val="001404D7"/>
    <w:rsid w:val="001414D9"/>
    <w:rsid w:val="00142449"/>
    <w:rsid w:val="001426DC"/>
    <w:rsid w:val="001428B1"/>
    <w:rsid w:val="0014290F"/>
    <w:rsid w:val="001442B1"/>
    <w:rsid w:val="001443C5"/>
    <w:rsid w:val="001450A0"/>
    <w:rsid w:val="001476B1"/>
    <w:rsid w:val="00147D1F"/>
    <w:rsid w:val="001507C8"/>
    <w:rsid w:val="0015256E"/>
    <w:rsid w:val="0015265F"/>
    <w:rsid w:val="001547BD"/>
    <w:rsid w:val="00155504"/>
    <w:rsid w:val="00155F18"/>
    <w:rsid w:val="001567D7"/>
    <w:rsid w:val="00156CB8"/>
    <w:rsid w:val="001570C4"/>
    <w:rsid w:val="001571EB"/>
    <w:rsid w:val="00157206"/>
    <w:rsid w:val="00160E53"/>
    <w:rsid w:val="00163950"/>
    <w:rsid w:val="00163DA5"/>
    <w:rsid w:val="00164CEA"/>
    <w:rsid w:val="00165A58"/>
    <w:rsid w:val="0016751E"/>
    <w:rsid w:val="00170003"/>
    <w:rsid w:val="0017164A"/>
    <w:rsid w:val="00171CE5"/>
    <w:rsid w:val="00171EEB"/>
    <w:rsid w:val="00172A25"/>
    <w:rsid w:val="00175725"/>
    <w:rsid w:val="00175F7D"/>
    <w:rsid w:val="00176959"/>
    <w:rsid w:val="00176C77"/>
    <w:rsid w:val="00180341"/>
    <w:rsid w:val="00182702"/>
    <w:rsid w:val="0018360F"/>
    <w:rsid w:val="00185DED"/>
    <w:rsid w:val="00186F9A"/>
    <w:rsid w:val="00187F15"/>
    <w:rsid w:val="00190205"/>
    <w:rsid w:val="001906DE"/>
    <w:rsid w:val="0019110C"/>
    <w:rsid w:val="0019156D"/>
    <w:rsid w:val="0019611B"/>
    <w:rsid w:val="00196466"/>
    <w:rsid w:val="001972EA"/>
    <w:rsid w:val="0019760A"/>
    <w:rsid w:val="00197772"/>
    <w:rsid w:val="001979F8"/>
    <w:rsid w:val="001A213A"/>
    <w:rsid w:val="001A214A"/>
    <w:rsid w:val="001A24B0"/>
    <w:rsid w:val="001A2F04"/>
    <w:rsid w:val="001A46BF"/>
    <w:rsid w:val="001A753D"/>
    <w:rsid w:val="001B00E7"/>
    <w:rsid w:val="001B0857"/>
    <w:rsid w:val="001B271D"/>
    <w:rsid w:val="001B309F"/>
    <w:rsid w:val="001B3357"/>
    <w:rsid w:val="001B6056"/>
    <w:rsid w:val="001B6B9D"/>
    <w:rsid w:val="001B75DC"/>
    <w:rsid w:val="001B7B99"/>
    <w:rsid w:val="001B7F28"/>
    <w:rsid w:val="001C028D"/>
    <w:rsid w:val="001C162C"/>
    <w:rsid w:val="001C2083"/>
    <w:rsid w:val="001C4115"/>
    <w:rsid w:val="001C570B"/>
    <w:rsid w:val="001C5B61"/>
    <w:rsid w:val="001C5B9E"/>
    <w:rsid w:val="001C6548"/>
    <w:rsid w:val="001C7166"/>
    <w:rsid w:val="001D1F16"/>
    <w:rsid w:val="001D23E4"/>
    <w:rsid w:val="001D391A"/>
    <w:rsid w:val="001D3EB5"/>
    <w:rsid w:val="001D4428"/>
    <w:rsid w:val="001D489F"/>
    <w:rsid w:val="001D5156"/>
    <w:rsid w:val="001D696D"/>
    <w:rsid w:val="001D6DBB"/>
    <w:rsid w:val="001D71B9"/>
    <w:rsid w:val="001D74AA"/>
    <w:rsid w:val="001E01F8"/>
    <w:rsid w:val="001E032B"/>
    <w:rsid w:val="001E0705"/>
    <w:rsid w:val="001E2261"/>
    <w:rsid w:val="001E26CA"/>
    <w:rsid w:val="001E5049"/>
    <w:rsid w:val="001F0536"/>
    <w:rsid w:val="001F0EF9"/>
    <w:rsid w:val="001F176A"/>
    <w:rsid w:val="001F1912"/>
    <w:rsid w:val="001F1EE3"/>
    <w:rsid w:val="001F20FD"/>
    <w:rsid w:val="001F226E"/>
    <w:rsid w:val="001F41AB"/>
    <w:rsid w:val="001F41B3"/>
    <w:rsid w:val="001F4CD2"/>
    <w:rsid w:val="001F5050"/>
    <w:rsid w:val="001F623E"/>
    <w:rsid w:val="001F678D"/>
    <w:rsid w:val="001F7201"/>
    <w:rsid w:val="00201A41"/>
    <w:rsid w:val="00201F34"/>
    <w:rsid w:val="00201F79"/>
    <w:rsid w:val="00203118"/>
    <w:rsid w:val="0020358C"/>
    <w:rsid w:val="00203742"/>
    <w:rsid w:val="002046E5"/>
    <w:rsid w:val="00204A5C"/>
    <w:rsid w:val="0020514A"/>
    <w:rsid w:val="00206116"/>
    <w:rsid w:val="00206C64"/>
    <w:rsid w:val="002071C8"/>
    <w:rsid w:val="002071F4"/>
    <w:rsid w:val="0020750D"/>
    <w:rsid w:val="002078E4"/>
    <w:rsid w:val="00207AF4"/>
    <w:rsid w:val="002105AC"/>
    <w:rsid w:val="00211A70"/>
    <w:rsid w:val="00211B43"/>
    <w:rsid w:val="00212ACC"/>
    <w:rsid w:val="0021318A"/>
    <w:rsid w:val="00213257"/>
    <w:rsid w:val="00214A08"/>
    <w:rsid w:val="00217CCC"/>
    <w:rsid w:val="0022015D"/>
    <w:rsid w:val="0022055B"/>
    <w:rsid w:val="002227DA"/>
    <w:rsid w:val="0022295A"/>
    <w:rsid w:val="00223148"/>
    <w:rsid w:val="0022343E"/>
    <w:rsid w:val="00223662"/>
    <w:rsid w:val="002245EF"/>
    <w:rsid w:val="002268AA"/>
    <w:rsid w:val="00230062"/>
    <w:rsid w:val="00230FFD"/>
    <w:rsid w:val="00231465"/>
    <w:rsid w:val="00231F19"/>
    <w:rsid w:val="002327B0"/>
    <w:rsid w:val="00232A13"/>
    <w:rsid w:val="002338E7"/>
    <w:rsid w:val="00233CDE"/>
    <w:rsid w:val="00235233"/>
    <w:rsid w:val="002357AA"/>
    <w:rsid w:val="002400E2"/>
    <w:rsid w:val="00242899"/>
    <w:rsid w:val="0024491B"/>
    <w:rsid w:val="00245956"/>
    <w:rsid w:val="00245F04"/>
    <w:rsid w:val="002460A6"/>
    <w:rsid w:val="002470DE"/>
    <w:rsid w:val="00247B43"/>
    <w:rsid w:val="00247CB3"/>
    <w:rsid w:val="0025028B"/>
    <w:rsid w:val="002528BA"/>
    <w:rsid w:val="00253786"/>
    <w:rsid w:val="00253C3C"/>
    <w:rsid w:val="00254B0A"/>
    <w:rsid w:val="00255F75"/>
    <w:rsid w:val="00257150"/>
    <w:rsid w:val="00257162"/>
    <w:rsid w:val="00257C2B"/>
    <w:rsid w:val="00257CFD"/>
    <w:rsid w:val="002609ED"/>
    <w:rsid w:val="00260C7E"/>
    <w:rsid w:val="00261D37"/>
    <w:rsid w:val="0026262B"/>
    <w:rsid w:val="002630FA"/>
    <w:rsid w:val="00263774"/>
    <w:rsid w:val="00263889"/>
    <w:rsid w:val="00264805"/>
    <w:rsid w:val="002649D6"/>
    <w:rsid w:val="00264FF9"/>
    <w:rsid w:val="002659AA"/>
    <w:rsid w:val="00265D09"/>
    <w:rsid w:val="00266049"/>
    <w:rsid w:val="00266678"/>
    <w:rsid w:val="00267E6A"/>
    <w:rsid w:val="00270403"/>
    <w:rsid w:val="00270B86"/>
    <w:rsid w:val="002730F0"/>
    <w:rsid w:val="002731EC"/>
    <w:rsid w:val="0027357A"/>
    <w:rsid w:val="00274537"/>
    <w:rsid w:val="0027576A"/>
    <w:rsid w:val="002762DF"/>
    <w:rsid w:val="002807F3"/>
    <w:rsid w:val="00283088"/>
    <w:rsid w:val="002849B4"/>
    <w:rsid w:val="00285D6F"/>
    <w:rsid w:val="00286D22"/>
    <w:rsid w:val="00290700"/>
    <w:rsid w:val="00290B75"/>
    <w:rsid w:val="00291DAA"/>
    <w:rsid w:val="002927FF"/>
    <w:rsid w:val="002931C4"/>
    <w:rsid w:val="00293334"/>
    <w:rsid w:val="00293752"/>
    <w:rsid w:val="002946D4"/>
    <w:rsid w:val="00295830"/>
    <w:rsid w:val="002963FA"/>
    <w:rsid w:val="00297CE6"/>
    <w:rsid w:val="002A3D8B"/>
    <w:rsid w:val="002A4618"/>
    <w:rsid w:val="002A466B"/>
    <w:rsid w:val="002A5F69"/>
    <w:rsid w:val="002A617A"/>
    <w:rsid w:val="002A6E97"/>
    <w:rsid w:val="002A7FBB"/>
    <w:rsid w:val="002B007E"/>
    <w:rsid w:val="002B1E43"/>
    <w:rsid w:val="002B24A5"/>
    <w:rsid w:val="002B2C6A"/>
    <w:rsid w:val="002B39EA"/>
    <w:rsid w:val="002B3B82"/>
    <w:rsid w:val="002B4DC6"/>
    <w:rsid w:val="002B4F9E"/>
    <w:rsid w:val="002B62E7"/>
    <w:rsid w:val="002B6B7B"/>
    <w:rsid w:val="002C15C4"/>
    <w:rsid w:val="002C1B43"/>
    <w:rsid w:val="002C31A8"/>
    <w:rsid w:val="002C32BA"/>
    <w:rsid w:val="002C3E65"/>
    <w:rsid w:val="002C4C09"/>
    <w:rsid w:val="002C4E48"/>
    <w:rsid w:val="002C53E1"/>
    <w:rsid w:val="002C5D1C"/>
    <w:rsid w:val="002C7E0B"/>
    <w:rsid w:val="002D2CF8"/>
    <w:rsid w:val="002D472B"/>
    <w:rsid w:val="002D534D"/>
    <w:rsid w:val="002D5763"/>
    <w:rsid w:val="002D5FBE"/>
    <w:rsid w:val="002D64C5"/>
    <w:rsid w:val="002D6EBD"/>
    <w:rsid w:val="002D762B"/>
    <w:rsid w:val="002E317D"/>
    <w:rsid w:val="002E4220"/>
    <w:rsid w:val="002E4D22"/>
    <w:rsid w:val="002E53F5"/>
    <w:rsid w:val="002E5B91"/>
    <w:rsid w:val="002F0120"/>
    <w:rsid w:val="002F1898"/>
    <w:rsid w:val="002F2AA1"/>
    <w:rsid w:val="002F2C49"/>
    <w:rsid w:val="002F4247"/>
    <w:rsid w:val="002F5719"/>
    <w:rsid w:val="002F5941"/>
    <w:rsid w:val="002F604E"/>
    <w:rsid w:val="002F6248"/>
    <w:rsid w:val="002F6F2D"/>
    <w:rsid w:val="002F77DA"/>
    <w:rsid w:val="002F79A6"/>
    <w:rsid w:val="00301840"/>
    <w:rsid w:val="00302AC6"/>
    <w:rsid w:val="00302FF0"/>
    <w:rsid w:val="00304686"/>
    <w:rsid w:val="00306497"/>
    <w:rsid w:val="00307025"/>
    <w:rsid w:val="003077E6"/>
    <w:rsid w:val="00307CF2"/>
    <w:rsid w:val="003100AA"/>
    <w:rsid w:val="003104C8"/>
    <w:rsid w:val="00311132"/>
    <w:rsid w:val="0031148E"/>
    <w:rsid w:val="00311815"/>
    <w:rsid w:val="00311A8C"/>
    <w:rsid w:val="003123C7"/>
    <w:rsid w:val="00312462"/>
    <w:rsid w:val="00313609"/>
    <w:rsid w:val="00314836"/>
    <w:rsid w:val="003154B9"/>
    <w:rsid w:val="00320151"/>
    <w:rsid w:val="00320C2F"/>
    <w:rsid w:val="0032164E"/>
    <w:rsid w:val="00321CAD"/>
    <w:rsid w:val="00322AAA"/>
    <w:rsid w:val="00322C22"/>
    <w:rsid w:val="00323CF2"/>
    <w:rsid w:val="003262EF"/>
    <w:rsid w:val="00326838"/>
    <w:rsid w:val="003268FD"/>
    <w:rsid w:val="00326BF0"/>
    <w:rsid w:val="003271B2"/>
    <w:rsid w:val="00327655"/>
    <w:rsid w:val="00327CED"/>
    <w:rsid w:val="00331095"/>
    <w:rsid w:val="00331D31"/>
    <w:rsid w:val="0033300E"/>
    <w:rsid w:val="00334157"/>
    <w:rsid w:val="00334AFA"/>
    <w:rsid w:val="00334EDD"/>
    <w:rsid w:val="00336F9A"/>
    <w:rsid w:val="00336FC7"/>
    <w:rsid w:val="003374E0"/>
    <w:rsid w:val="00337895"/>
    <w:rsid w:val="003379DF"/>
    <w:rsid w:val="00340140"/>
    <w:rsid w:val="00341670"/>
    <w:rsid w:val="0034412D"/>
    <w:rsid w:val="00347404"/>
    <w:rsid w:val="00347E29"/>
    <w:rsid w:val="0035158C"/>
    <w:rsid w:val="00353DEA"/>
    <w:rsid w:val="003540EB"/>
    <w:rsid w:val="00354632"/>
    <w:rsid w:val="0035661A"/>
    <w:rsid w:val="00356F9A"/>
    <w:rsid w:val="0035762B"/>
    <w:rsid w:val="00357A9A"/>
    <w:rsid w:val="003611B4"/>
    <w:rsid w:val="0036178A"/>
    <w:rsid w:val="0036178E"/>
    <w:rsid w:val="00361A6A"/>
    <w:rsid w:val="00363234"/>
    <w:rsid w:val="00363954"/>
    <w:rsid w:val="00365097"/>
    <w:rsid w:val="00367557"/>
    <w:rsid w:val="00371CF5"/>
    <w:rsid w:val="003767C1"/>
    <w:rsid w:val="0037697E"/>
    <w:rsid w:val="00377257"/>
    <w:rsid w:val="003801A0"/>
    <w:rsid w:val="00380A30"/>
    <w:rsid w:val="00380D27"/>
    <w:rsid w:val="003816DE"/>
    <w:rsid w:val="003819EA"/>
    <w:rsid w:val="00381C78"/>
    <w:rsid w:val="00383198"/>
    <w:rsid w:val="00383596"/>
    <w:rsid w:val="00383CBA"/>
    <w:rsid w:val="00383DEA"/>
    <w:rsid w:val="00385C99"/>
    <w:rsid w:val="003871F5"/>
    <w:rsid w:val="0038770D"/>
    <w:rsid w:val="00387782"/>
    <w:rsid w:val="00391F5A"/>
    <w:rsid w:val="0039222B"/>
    <w:rsid w:val="0039354F"/>
    <w:rsid w:val="0039418E"/>
    <w:rsid w:val="00394E34"/>
    <w:rsid w:val="00395381"/>
    <w:rsid w:val="00395438"/>
    <w:rsid w:val="00395B24"/>
    <w:rsid w:val="00396066"/>
    <w:rsid w:val="0039677B"/>
    <w:rsid w:val="003A2012"/>
    <w:rsid w:val="003A3984"/>
    <w:rsid w:val="003A6608"/>
    <w:rsid w:val="003A68AE"/>
    <w:rsid w:val="003B13B6"/>
    <w:rsid w:val="003B247C"/>
    <w:rsid w:val="003B2D1D"/>
    <w:rsid w:val="003B2E57"/>
    <w:rsid w:val="003B4268"/>
    <w:rsid w:val="003B431D"/>
    <w:rsid w:val="003B5202"/>
    <w:rsid w:val="003B5AE5"/>
    <w:rsid w:val="003B671D"/>
    <w:rsid w:val="003B71DA"/>
    <w:rsid w:val="003B76D3"/>
    <w:rsid w:val="003C0493"/>
    <w:rsid w:val="003C0A02"/>
    <w:rsid w:val="003C1C9A"/>
    <w:rsid w:val="003C21C6"/>
    <w:rsid w:val="003C2623"/>
    <w:rsid w:val="003C26FB"/>
    <w:rsid w:val="003C2760"/>
    <w:rsid w:val="003C4ED7"/>
    <w:rsid w:val="003C6B82"/>
    <w:rsid w:val="003C7F8B"/>
    <w:rsid w:val="003D0F77"/>
    <w:rsid w:val="003D0F84"/>
    <w:rsid w:val="003D17A8"/>
    <w:rsid w:val="003D5188"/>
    <w:rsid w:val="003D543E"/>
    <w:rsid w:val="003D5A0C"/>
    <w:rsid w:val="003D5EE0"/>
    <w:rsid w:val="003D725E"/>
    <w:rsid w:val="003D752B"/>
    <w:rsid w:val="003D754A"/>
    <w:rsid w:val="003D787B"/>
    <w:rsid w:val="003D7BE3"/>
    <w:rsid w:val="003E05CA"/>
    <w:rsid w:val="003E1CFC"/>
    <w:rsid w:val="003E2A40"/>
    <w:rsid w:val="003E30F3"/>
    <w:rsid w:val="003E3A4F"/>
    <w:rsid w:val="003E5B65"/>
    <w:rsid w:val="003E6650"/>
    <w:rsid w:val="003E6D31"/>
    <w:rsid w:val="003F0892"/>
    <w:rsid w:val="003F10CF"/>
    <w:rsid w:val="003F16F4"/>
    <w:rsid w:val="003F379B"/>
    <w:rsid w:val="003F3EA3"/>
    <w:rsid w:val="003F445D"/>
    <w:rsid w:val="003F6E93"/>
    <w:rsid w:val="003F7B25"/>
    <w:rsid w:val="0040020C"/>
    <w:rsid w:val="0040025C"/>
    <w:rsid w:val="004014DD"/>
    <w:rsid w:val="00401B30"/>
    <w:rsid w:val="00403E58"/>
    <w:rsid w:val="00403FA5"/>
    <w:rsid w:val="0040504B"/>
    <w:rsid w:val="00405546"/>
    <w:rsid w:val="00405604"/>
    <w:rsid w:val="004064A1"/>
    <w:rsid w:val="004068E1"/>
    <w:rsid w:val="004079BC"/>
    <w:rsid w:val="00410063"/>
    <w:rsid w:val="0041018B"/>
    <w:rsid w:val="00410549"/>
    <w:rsid w:val="00410626"/>
    <w:rsid w:val="004109FA"/>
    <w:rsid w:val="00411584"/>
    <w:rsid w:val="00411E99"/>
    <w:rsid w:val="00411ED5"/>
    <w:rsid w:val="004132E9"/>
    <w:rsid w:val="0041345E"/>
    <w:rsid w:val="00414E1F"/>
    <w:rsid w:val="004150AE"/>
    <w:rsid w:val="004166A7"/>
    <w:rsid w:val="00421A7A"/>
    <w:rsid w:val="00423706"/>
    <w:rsid w:val="00423C02"/>
    <w:rsid w:val="00424299"/>
    <w:rsid w:val="00425036"/>
    <w:rsid w:val="0042560A"/>
    <w:rsid w:val="00426E4F"/>
    <w:rsid w:val="00427FDC"/>
    <w:rsid w:val="0043056B"/>
    <w:rsid w:val="00431872"/>
    <w:rsid w:val="0043299C"/>
    <w:rsid w:val="004340A4"/>
    <w:rsid w:val="00435FD1"/>
    <w:rsid w:val="00440806"/>
    <w:rsid w:val="00440DE4"/>
    <w:rsid w:val="00441669"/>
    <w:rsid w:val="00441F24"/>
    <w:rsid w:val="00441FF5"/>
    <w:rsid w:val="004424E5"/>
    <w:rsid w:val="00444215"/>
    <w:rsid w:val="0044705B"/>
    <w:rsid w:val="004521EF"/>
    <w:rsid w:val="00452BFE"/>
    <w:rsid w:val="00452FBA"/>
    <w:rsid w:val="004546DA"/>
    <w:rsid w:val="00455C1D"/>
    <w:rsid w:val="004567C1"/>
    <w:rsid w:val="00456D42"/>
    <w:rsid w:val="004579F1"/>
    <w:rsid w:val="004608B8"/>
    <w:rsid w:val="00461483"/>
    <w:rsid w:val="00461EC9"/>
    <w:rsid w:val="00462F92"/>
    <w:rsid w:val="00464FFE"/>
    <w:rsid w:val="004651F6"/>
    <w:rsid w:val="00466E34"/>
    <w:rsid w:val="00467295"/>
    <w:rsid w:val="00467371"/>
    <w:rsid w:val="00470239"/>
    <w:rsid w:val="004703AC"/>
    <w:rsid w:val="00470F65"/>
    <w:rsid w:val="00472096"/>
    <w:rsid w:val="00472170"/>
    <w:rsid w:val="004728CB"/>
    <w:rsid w:val="00473879"/>
    <w:rsid w:val="00474433"/>
    <w:rsid w:val="00475439"/>
    <w:rsid w:val="004754BD"/>
    <w:rsid w:val="00475794"/>
    <w:rsid w:val="0047588F"/>
    <w:rsid w:val="00476ED9"/>
    <w:rsid w:val="00482B62"/>
    <w:rsid w:val="00482BCD"/>
    <w:rsid w:val="00483917"/>
    <w:rsid w:val="004841AE"/>
    <w:rsid w:val="004849F5"/>
    <w:rsid w:val="00485048"/>
    <w:rsid w:val="00486F40"/>
    <w:rsid w:val="00487100"/>
    <w:rsid w:val="00487DC4"/>
    <w:rsid w:val="00487E22"/>
    <w:rsid w:val="00487EC5"/>
    <w:rsid w:val="0049084E"/>
    <w:rsid w:val="00495887"/>
    <w:rsid w:val="00495AF6"/>
    <w:rsid w:val="00495D5B"/>
    <w:rsid w:val="00495E72"/>
    <w:rsid w:val="0049639C"/>
    <w:rsid w:val="00496780"/>
    <w:rsid w:val="00496AC6"/>
    <w:rsid w:val="00496B72"/>
    <w:rsid w:val="00497671"/>
    <w:rsid w:val="0049781D"/>
    <w:rsid w:val="00497DFC"/>
    <w:rsid w:val="004A0E14"/>
    <w:rsid w:val="004A1B23"/>
    <w:rsid w:val="004A2219"/>
    <w:rsid w:val="004A2B09"/>
    <w:rsid w:val="004A414F"/>
    <w:rsid w:val="004A5861"/>
    <w:rsid w:val="004A7C98"/>
    <w:rsid w:val="004B29CA"/>
    <w:rsid w:val="004B2DA8"/>
    <w:rsid w:val="004B3606"/>
    <w:rsid w:val="004B36D6"/>
    <w:rsid w:val="004B398B"/>
    <w:rsid w:val="004B4293"/>
    <w:rsid w:val="004B43D8"/>
    <w:rsid w:val="004B46B0"/>
    <w:rsid w:val="004B6DBB"/>
    <w:rsid w:val="004B6F2B"/>
    <w:rsid w:val="004B76E7"/>
    <w:rsid w:val="004B78C6"/>
    <w:rsid w:val="004B7BB2"/>
    <w:rsid w:val="004C018D"/>
    <w:rsid w:val="004C0767"/>
    <w:rsid w:val="004C1560"/>
    <w:rsid w:val="004C1B11"/>
    <w:rsid w:val="004C220B"/>
    <w:rsid w:val="004C330C"/>
    <w:rsid w:val="004C4503"/>
    <w:rsid w:val="004C5B46"/>
    <w:rsid w:val="004C6C1A"/>
    <w:rsid w:val="004C773E"/>
    <w:rsid w:val="004C7EF8"/>
    <w:rsid w:val="004D0843"/>
    <w:rsid w:val="004D0C35"/>
    <w:rsid w:val="004D0C70"/>
    <w:rsid w:val="004D10B5"/>
    <w:rsid w:val="004D25A8"/>
    <w:rsid w:val="004D3618"/>
    <w:rsid w:val="004D7DFB"/>
    <w:rsid w:val="004E1F9D"/>
    <w:rsid w:val="004E46DA"/>
    <w:rsid w:val="004E5DF9"/>
    <w:rsid w:val="004E70DC"/>
    <w:rsid w:val="004E7DFB"/>
    <w:rsid w:val="004F531C"/>
    <w:rsid w:val="004F6E05"/>
    <w:rsid w:val="004F6E6F"/>
    <w:rsid w:val="004F78C6"/>
    <w:rsid w:val="00501740"/>
    <w:rsid w:val="00501DD6"/>
    <w:rsid w:val="005023ED"/>
    <w:rsid w:val="00502436"/>
    <w:rsid w:val="00502830"/>
    <w:rsid w:val="005029CC"/>
    <w:rsid w:val="0050346C"/>
    <w:rsid w:val="00504009"/>
    <w:rsid w:val="0050415E"/>
    <w:rsid w:val="00506505"/>
    <w:rsid w:val="005075AA"/>
    <w:rsid w:val="00507C83"/>
    <w:rsid w:val="0051096D"/>
    <w:rsid w:val="00512BED"/>
    <w:rsid w:val="00512E25"/>
    <w:rsid w:val="00513B3B"/>
    <w:rsid w:val="00516299"/>
    <w:rsid w:val="00517342"/>
    <w:rsid w:val="005207C7"/>
    <w:rsid w:val="005207DF"/>
    <w:rsid w:val="00520C18"/>
    <w:rsid w:val="00522803"/>
    <w:rsid w:val="00524028"/>
    <w:rsid w:val="005246E2"/>
    <w:rsid w:val="00524B6E"/>
    <w:rsid w:val="00525788"/>
    <w:rsid w:val="005302C3"/>
    <w:rsid w:val="00531A92"/>
    <w:rsid w:val="00531E6F"/>
    <w:rsid w:val="00533ACB"/>
    <w:rsid w:val="00533F82"/>
    <w:rsid w:val="00535644"/>
    <w:rsid w:val="00535F47"/>
    <w:rsid w:val="00536154"/>
    <w:rsid w:val="00536C4A"/>
    <w:rsid w:val="00537398"/>
    <w:rsid w:val="00537AB6"/>
    <w:rsid w:val="00537ED6"/>
    <w:rsid w:val="00540A8D"/>
    <w:rsid w:val="0054115F"/>
    <w:rsid w:val="0054152B"/>
    <w:rsid w:val="005416CA"/>
    <w:rsid w:val="0054211C"/>
    <w:rsid w:val="00542BF1"/>
    <w:rsid w:val="005439A7"/>
    <w:rsid w:val="00544039"/>
    <w:rsid w:val="005450AB"/>
    <w:rsid w:val="0054698A"/>
    <w:rsid w:val="00546E0B"/>
    <w:rsid w:val="00546F28"/>
    <w:rsid w:val="005477D9"/>
    <w:rsid w:val="00547E7F"/>
    <w:rsid w:val="005513BF"/>
    <w:rsid w:val="00551E54"/>
    <w:rsid w:val="00552E21"/>
    <w:rsid w:val="00557A4E"/>
    <w:rsid w:val="0056066D"/>
    <w:rsid w:val="00560B46"/>
    <w:rsid w:val="00562D9D"/>
    <w:rsid w:val="00562EFA"/>
    <w:rsid w:val="00564D64"/>
    <w:rsid w:val="005656A3"/>
    <w:rsid w:val="0057230B"/>
    <w:rsid w:val="00572D2A"/>
    <w:rsid w:val="00580B0F"/>
    <w:rsid w:val="005814B9"/>
    <w:rsid w:val="00581A49"/>
    <w:rsid w:val="00581F0A"/>
    <w:rsid w:val="00582115"/>
    <w:rsid w:val="00582341"/>
    <w:rsid w:val="005824B5"/>
    <w:rsid w:val="005826AF"/>
    <w:rsid w:val="00583AA4"/>
    <w:rsid w:val="005854D3"/>
    <w:rsid w:val="00585AC6"/>
    <w:rsid w:val="005862AB"/>
    <w:rsid w:val="0058671F"/>
    <w:rsid w:val="00587D90"/>
    <w:rsid w:val="00587F5F"/>
    <w:rsid w:val="0059145A"/>
    <w:rsid w:val="005919D1"/>
    <w:rsid w:val="00592E54"/>
    <w:rsid w:val="005939D2"/>
    <w:rsid w:val="00593DFC"/>
    <w:rsid w:val="0059423B"/>
    <w:rsid w:val="005942C0"/>
    <w:rsid w:val="005959A7"/>
    <w:rsid w:val="00595D56"/>
    <w:rsid w:val="00595DAB"/>
    <w:rsid w:val="00596585"/>
    <w:rsid w:val="00597161"/>
    <w:rsid w:val="00597739"/>
    <w:rsid w:val="005A0785"/>
    <w:rsid w:val="005A07CC"/>
    <w:rsid w:val="005A1AF6"/>
    <w:rsid w:val="005A1CFB"/>
    <w:rsid w:val="005A1F52"/>
    <w:rsid w:val="005A4742"/>
    <w:rsid w:val="005A4C32"/>
    <w:rsid w:val="005A5112"/>
    <w:rsid w:val="005A5D9A"/>
    <w:rsid w:val="005A78C7"/>
    <w:rsid w:val="005B173D"/>
    <w:rsid w:val="005B1A72"/>
    <w:rsid w:val="005B1F9D"/>
    <w:rsid w:val="005B27DC"/>
    <w:rsid w:val="005B40F3"/>
    <w:rsid w:val="005B447F"/>
    <w:rsid w:val="005B4F75"/>
    <w:rsid w:val="005B5D24"/>
    <w:rsid w:val="005B75A6"/>
    <w:rsid w:val="005B7D99"/>
    <w:rsid w:val="005B7DE3"/>
    <w:rsid w:val="005C00D7"/>
    <w:rsid w:val="005C084A"/>
    <w:rsid w:val="005C0C9C"/>
    <w:rsid w:val="005C13E0"/>
    <w:rsid w:val="005C293D"/>
    <w:rsid w:val="005C29BD"/>
    <w:rsid w:val="005C2EF0"/>
    <w:rsid w:val="005C33B5"/>
    <w:rsid w:val="005C55DC"/>
    <w:rsid w:val="005C59BA"/>
    <w:rsid w:val="005C5AF3"/>
    <w:rsid w:val="005C6165"/>
    <w:rsid w:val="005C6383"/>
    <w:rsid w:val="005C6893"/>
    <w:rsid w:val="005C6B07"/>
    <w:rsid w:val="005D050B"/>
    <w:rsid w:val="005D1DBA"/>
    <w:rsid w:val="005D1FBE"/>
    <w:rsid w:val="005D2157"/>
    <w:rsid w:val="005D3A79"/>
    <w:rsid w:val="005D445D"/>
    <w:rsid w:val="005D49D5"/>
    <w:rsid w:val="005D5E45"/>
    <w:rsid w:val="005D65CD"/>
    <w:rsid w:val="005E0BAB"/>
    <w:rsid w:val="005E1044"/>
    <w:rsid w:val="005E10E2"/>
    <w:rsid w:val="005E127E"/>
    <w:rsid w:val="005E14F4"/>
    <w:rsid w:val="005E180E"/>
    <w:rsid w:val="005E1AAE"/>
    <w:rsid w:val="005E4694"/>
    <w:rsid w:val="005E4CCE"/>
    <w:rsid w:val="005E5CF4"/>
    <w:rsid w:val="005E6DA9"/>
    <w:rsid w:val="005F1A34"/>
    <w:rsid w:val="005F21A0"/>
    <w:rsid w:val="005F27A7"/>
    <w:rsid w:val="005F55B1"/>
    <w:rsid w:val="00600403"/>
    <w:rsid w:val="0060215C"/>
    <w:rsid w:val="0060230E"/>
    <w:rsid w:val="00602494"/>
    <w:rsid w:val="00602F8C"/>
    <w:rsid w:val="00603286"/>
    <w:rsid w:val="00603D0B"/>
    <w:rsid w:val="006051D0"/>
    <w:rsid w:val="006057DA"/>
    <w:rsid w:val="006076F5"/>
    <w:rsid w:val="006110BC"/>
    <w:rsid w:val="0061158F"/>
    <w:rsid w:val="0062072B"/>
    <w:rsid w:val="00620D80"/>
    <w:rsid w:val="006218F4"/>
    <w:rsid w:val="00622FC8"/>
    <w:rsid w:val="006234E7"/>
    <w:rsid w:val="006245C9"/>
    <w:rsid w:val="00630644"/>
    <w:rsid w:val="00630924"/>
    <w:rsid w:val="00630D4D"/>
    <w:rsid w:val="00630D8B"/>
    <w:rsid w:val="00631437"/>
    <w:rsid w:val="006317ED"/>
    <w:rsid w:val="00631BE5"/>
    <w:rsid w:val="00632998"/>
    <w:rsid w:val="006330AD"/>
    <w:rsid w:val="0063331F"/>
    <w:rsid w:val="00633DA7"/>
    <w:rsid w:val="00635C6D"/>
    <w:rsid w:val="00635DE2"/>
    <w:rsid w:val="00636C7A"/>
    <w:rsid w:val="00637CFD"/>
    <w:rsid w:val="0064015A"/>
    <w:rsid w:val="00642B0E"/>
    <w:rsid w:val="00643E06"/>
    <w:rsid w:val="00644223"/>
    <w:rsid w:val="006450D3"/>
    <w:rsid w:val="006470E6"/>
    <w:rsid w:val="00647820"/>
    <w:rsid w:val="00650322"/>
    <w:rsid w:val="0065034D"/>
    <w:rsid w:val="00650D33"/>
    <w:rsid w:val="0065184D"/>
    <w:rsid w:val="006554C2"/>
    <w:rsid w:val="006566D0"/>
    <w:rsid w:val="00656F3F"/>
    <w:rsid w:val="006604A4"/>
    <w:rsid w:val="00660F29"/>
    <w:rsid w:val="006631F7"/>
    <w:rsid w:val="00664069"/>
    <w:rsid w:val="00665B8B"/>
    <w:rsid w:val="00665EA5"/>
    <w:rsid w:val="00666632"/>
    <w:rsid w:val="00667F3F"/>
    <w:rsid w:val="006717B7"/>
    <w:rsid w:val="00671D57"/>
    <w:rsid w:val="00672037"/>
    <w:rsid w:val="00672753"/>
    <w:rsid w:val="006735B5"/>
    <w:rsid w:val="00673609"/>
    <w:rsid w:val="00673A28"/>
    <w:rsid w:val="00676878"/>
    <w:rsid w:val="0068016A"/>
    <w:rsid w:val="00681E21"/>
    <w:rsid w:val="006823C8"/>
    <w:rsid w:val="00682D42"/>
    <w:rsid w:val="00683AE1"/>
    <w:rsid w:val="00683E05"/>
    <w:rsid w:val="0068426A"/>
    <w:rsid w:val="0068630C"/>
    <w:rsid w:val="0068713B"/>
    <w:rsid w:val="006875FF"/>
    <w:rsid w:val="00691125"/>
    <w:rsid w:val="006928AA"/>
    <w:rsid w:val="00693B0F"/>
    <w:rsid w:val="006956AB"/>
    <w:rsid w:val="006967B4"/>
    <w:rsid w:val="00696E16"/>
    <w:rsid w:val="006A080C"/>
    <w:rsid w:val="006A1480"/>
    <w:rsid w:val="006A1501"/>
    <w:rsid w:val="006A1A4E"/>
    <w:rsid w:val="006A2351"/>
    <w:rsid w:val="006A276C"/>
    <w:rsid w:val="006A3C34"/>
    <w:rsid w:val="006A58BF"/>
    <w:rsid w:val="006A6291"/>
    <w:rsid w:val="006A6A83"/>
    <w:rsid w:val="006A7701"/>
    <w:rsid w:val="006A7881"/>
    <w:rsid w:val="006A7CBA"/>
    <w:rsid w:val="006B08B0"/>
    <w:rsid w:val="006B211D"/>
    <w:rsid w:val="006B260D"/>
    <w:rsid w:val="006B2CB5"/>
    <w:rsid w:val="006B2DCD"/>
    <w:rsid w:val="006B3BC1"/>
    <w:rsid w:val="006B5081"/>
    <w:rsid w:val="006B5706"/>
    <w:rsid w:val="006B57B9"/>
    <w:rsid w:val="006B7DF8"/>
    <w:rsid w:val="006C0989"/>
    <w:rsid w:val="006C12FE"/>
    <w:rsid w:val="006C136C"/>
    <w:rsid w:val="006C2870"/>
    <w:rsid w:val="006C2BF0"/>
    <w:rsid w:val="006C3630"/>
    <w:rsid w:val="006C5E5F"/>
    <w:rsid w:val="006C6943"/>
    <w:rsid w:val="006C6AC9"/>
    <w:rsid w:val="006C6F2B"/>
    <w:rsid w:val="006D1084"/>
    <w:rsid w:val="006D3767"/>
    <w:rsid w:val="006D6243"/>
    <w:rsid w:val="006D6698"/>
    <w:rsid w:val="006D697D"/>
    <w:rsid w:val="006D7437"/>
    <w:rsid w:val="006D77EE"/>
    <w:rsid w:val="006D7CBB"/>
    <w:rsid w:val="006E000D"/>
    <w:rsid w:val="006E0B98"/>
    <w:rsid w:val="006E14FA"/>
    <w:rsid w:val="006E229A"/>
    <w:rsid w:val="006E28D6"/>
    <w:rsid w:val="006E44FB"/>
    <w:rsid w:val="006F108C"/>
    <w:rsid w:val="006F1259"/>
    <w:rsid w:val="006F234C"/>
    <w:rsid w:val="006F2E4F"/>
    <w:rsid w:val="006F3678"/>
    <w:rsid w:val="006F4CF3"/>
    <w:rsid w:val="006F5136"/>
    <w:rsid w:val="006F5BE4"/>
    <w:rsid w:val="006F6FF6"/>
    <w:rsid w:val="0070080E"/>
    <w:rsid w:val="007009A4"/>
    <w:rsid w:val="00700B85"/>
    <w:rsid w:val="00700DAA"/>
    <w:rsid w:val="00701A53"/>
    <w:rsid w:val="0070405F"/>
    <w:rsid w:val="00710799"/>
    <w:rsid w:val="0071102C"/>
    <w:rsid w:val="007145A1"/>
    <w:rsid w:val="007149C2"/>
    <w:rsid w:val="00715614"/>
    <w:rsid w:val="00715A96"/>
    <w:rsid w:val="00715D18"/>
    <w:rsid w:val="007163CD"/>
    <w:rsid w:val="00720FC1"/>
    <w:rsid w:val="007217AC"/>
    <w:rsid w:val="007221E9"/>
    <w:rsid w:val="00724782"/>
    <w:rsid w:val="007257FD"/>
    <w:rsid w:val="00726115"/>
    <w:rsid w:val="00726C9D"/>
    <w:rsid w:val="00726CD7"/>
    <w:rsid w:val="00726FCD"/>
    <w:rsid w:val="00731BD5"/>
    <w:rsid w:val="00732B18"/>
    <w:rsid w:val="0073353C"/>
    <w:rsid w:val="00733540"/>
    <w:rsid w:val="007337C0"/>
    <w:rsid w:val="007340FA"/>
    <w:rsid w:val="00734ACF"/>
    <w:rsid w:val="00735AB2"/>
    <w:rsid w:val="00736E12"/>
    <w:rsid w:val="00737CCB"/>
    <w:rsid w:val="00742288"/>
    <w:rsid w:val="0074354E"/>
    <w:rsid w:val="00744979"/>
    <w:rsid w:val="00744D93"/>
    <w:rsid w:val="00745405"/>
    <w:rsid w:val="00745D53"/>
    <w:rsid w:val="00745EDF"/>
    <w:rsid w:val="00746324"/>
    <w:rsid w:val="007473B8"/>
    <w:rsid w:val="00747646"/>
    <w:rsid w:val="007509C5"/>
    <w:rsid w:val="00751B37"/>
    <w:rsid w:val="00752134"/>
    <w:rsid w:val="007524BB"/>
    <w:rsid w:val="0075257A"/>
    <w:rsid w:val="007525C2"/>
    <w:rsid w:val="00752A33"/>
    <w:rsid w:val="00752E66"/>
    <w:rsid w:val="007531AC"/>
    <w:rsid w:val="007534DC"/>
    <w:rsid w:val="0075353D"/>
    <w:rsid w:val="00753978"/>
    <w:rsid w:val="00753E65"/>
    <w:rsid w:val="00754FB2"/>
    <w:rsid w:val="00755930"/>
    <w:rsid w:val="0075681B"/>
    <w:rsid w:val="00757B29"/>
    <w:rsid w:val="00760152"/>
    <w:rsid w:val="007614C8"/>
    <w:rsid w:val="00762C4E"/>
    <w:rsid w:val="0076361E"/>
    <w:rsid w:val="007637C7"/>
    <w:rsid w:val="0076387A"/>
    <w:rsid w:val="00763C16"/>
    <w:rsid w:val="00764CE3"/>
    <w:rsid w:val="00766136"/>
    <w:rsid w:val="0076662D"/>
    <w:rsid w:val="00766F66"/>
    <w:rsid w:val="00770548"/>
    <w:rsid w:val="00771776"/>
    <w:rsid w:val="00771A27"/>
    <w:rsid w:val="00772EE5"/>
    <w:rsid w:val="00772FC4"/>
    <w:rsid w:val="00773ACE"/>
    <w:rsid w:val="00773D62"/>
    <w:rsid w:val="0077411F"/>
    <w:rsid w:val="0077492E"/>
    <w:rsid w:val="00775D6D"/>
    <w:rsid w:val="007769C2"/>
    <w:rsid w:val="007770AC"/>
    <w:rsid w:val="007771A9"/>
    <w:rsid w:val="0077731A"/>
    <w:rsid w:val="007777D5"/>
    <w:rsid w:val="00777C22"/>
    <w:rsid w:val="00777C4A"/>
    <w:rsid w:val="0078043D"/>
    <w:rsid w:val="00781C3A"/>
    <w:rsid w:val="00782DB3"/>
    <w:rsid w:val="0078304D"/>
    <w:rsid w:val="00785B2F"/>
    <w:rsid w:val="0079002D"/>
    <w:rsid w:val="007900C4"/>
    <w:rsid w:val="00791231"/>
    <w:rsid w:val="00792275"/>
    <w:rsid w:val="0079260C"/>
    <w:rsid w:val="00793072"/>
    <w:rsid w:val="0079324D"/>
    <w:rsid w:val="0079361D"/>
    <w:rsid w:val="00794064"/>
    <w:rsid w:val="00794334"/>
    <w:rsid w:val="00794B2B"/>
    <w:rsid w:val="00794B35"/>
    <w:rsid w:val="00797237"/>
    <w:rsid w:val="007A0BFA"/>
    <w:rsid w:val="007A1182"/>
    <w:rsid w:val="007A1473"/>
    <w:rsid w:val="007A1A2A"/>
    <w:rsid w:val="007A1C18"/>
    <w:rsid w:val="007A3258"/>
    <w:rsid w:val="007A38BB"/>
    <w:rsid w:val="007A63AD"/>
    <w:rsid w:val="007A71E9"/>
    <w:rsid w:val="007A7298"/>
    <w:rsid w:val="007B01E2"/>
    <w:rsid w:val="007B1114"/>
    <w:rsid w:val="007B1487"/>
    <w:rsid w:val="007B4AA2"/>
    <w:rsid w:val="007B73C5"/>
    <w:rsid w:val="007B776A"/>
    <w:rsid w:val="007C09F5"/>
    <w:rsid w:val="007C2B43"/>
    <w:rsid w:val="007C2B49"/>
    <w:rsid w:val="007C6C34"/>
    <w:rsid w:val="007C7E24"/>
    <w:rsid w:val="007D0214"/>
    <w:rsid w:val="007D1A0E"/>
    <w:rsid w:val="007D679A"/>
    <w:rsid w:val="007D694C"/>
    <w:rsid w:val="007D7D4D"/>
    <w:rsid w:val="007E0E63"/>
    <w:rsid w:val="007E4C16"/>
    <w:rsid w:val="007E4D8A"/>
    <w:rsid w:val="007E5062"/>
    <w:rsid w:val="007E5FEC"/>
    <w:rsid w:val="007E76DE"/>
    <w:rsid w:val="007F00B3"/>
    <w:rsid w:val="007F2532"/>
    <w:rsid w:val="007F2C40"/>
    <w:rsid w:val="007F64AB"/>
    <w:rsid w:val="007F7048"/>
    <w:rsid w:val="008006BA"/>
    <w:rsid w:val="008011AD"/>
    <w:rsid w:val="0080431D"/>
    <w:rsid w:val="008052CE"/>
    <w:rsid w:val="00806499"/>
    <w:rsid w:val="00807608"/>
    <w:rsid w:val="008113FC"/>
    <w:rsid w:val="0081254F"/>
    <w:rsid w:val="0081306C"/>
    <w:rsid w:val="00813242"/>
    <w:rsid w:val="00817CA8"/>
    <w:rsid w:val="008201D4"/>
    <w:rsid w:val="0082108A"/>
    <w:rsid w:val="00822162"/>
    <w:rsid w:val="008248AD"/>
    <w:rsid w:val="00825CA1"/>
    <w:rsid w:val="00825E2A"/>
    <w:rsid w:val="0082785E"/>
    <w:rsid w:val="00827A00"/>
    <w:rsid w:val="00830F76"/>
    <w:rsid w:val="00830F91"/>
    <w:rsid w:val="008311B6"/>
    <w:rsid w:val="00831BFC"/>
    <w:rsid w:val="00831FBD"/>
    <w:rsid w:val="00832AC5"/>
    <w:rsid w:val="0083408B"/>
    <w:rsid w:val="008348C6"/>
    <w:rsid w:val="00834AD6"/>
    <w:rsid w:val="00834B92"/>
    <w:rsid w:val="00836C30"/>
    <w:rsid w:val="00836FEE"/>
    <w:rsid w:val="008372B9"/>
    <w:rsid w:val="00840564"/>
    <w:rsid w:val="00840F29"/>
    <w:rsid w:val="008425DB"/>
    <w:rsid w:val="008437BB"/>
    <w:rsid w:val="0084571E"/>
    <w:rsid w:val="00845BCD"/>
    <w:rsid w:val="00846149"/>
    <w:rsid w:val="0084617F"/>
    <w:rsid w:val="0084633F"/>
    <w:rsid w:val="00850A89"/>
    <w:rsid w:val="0085151C"/>
    <w:rsid w:val="00852060"/>
    <w:rsid w:val="0085252E"/>
    <w:rsid w:val="00853619"/>
    <w:rsid w:val="00854485"/>
    <w:rsid w:val="0085595E"/>
    <w:rsid w:val="008559ED"/>
    <w:rsid w:val="00857EFD"/>
    <w:rsid w:val="008606E4"/>
    <w:rsid w:val="00861869"/>
    <w:rsid w:val="00861915"/>
    <w:rsid w:val="00861B04"/>
    <w:rsid w:val="00862728"/>
    <w:rsid w:val="00862EDB"/>
    <w:rsid w:val="00865AF6"/>
    <w:rsid w:val="00865BC0"/>
    <w:rsid w:val="0086625C"/>
    <w:rsid w:val="00866696"/>
    <w:rsid w:val="00867273"/>
    <w:rsid w:val="0086787A"/>
    <w:rsid w:val="00867BC6"/>
    <w:rsid w:val="00870E71"/>
    <w:rsid w:val="00870ECD"/>
    <w:rsid w:val="008735E5"/>
    <w:rsid w:val="00873CC2"/>
    <w:rsid w:val="00876514"/>
    <w:rsid w:val="008803BA"/>
    <w:rsid w:val="00881183"/>
    <w:rsid w:val="00881212"/>
    <w:rsid w:val="00881865"/>
    <w:rsid w:val="008822C6"/>
    <w:rsid w:val="008826B6"/>
    <w:rsid w:val="00882D20"/>
    <w:rsid w:val="0088452E"/>
    <w:rsid w:val="00885AE0"/>
    <w:rsid w:val="00885C83"/>
    <w:rsid w:val="0088768A"/>
    <w:rsid w:val="0088769C"/>
    <w:rsid w:val="008879E2"/>
    <w:rsid w:val="00890870"/>
    <w:rsid w:val="00891501"/>
    <w:rsid w:val="00892B3A"/>
    <w:rsid w:val="008943DB"/>
    <w:rsid w:val="008944A0"/>
    <w:rsid w:val="00894882"/>
    <w:rsid w:val="0089646C"/>
    <w:rsid w:val="00896570"/>
    <w:rsid w:val="00896690"/>
    <w:rsid w:val="00896D5F"/>
    <w:rsid w:val="00896D90"/>
    <w:rsid w:val="00896EC9"/>
    <w:rsid w:val="0089765E"/>
    <w:rsid w:val="008978ED"/>
    <w:rsid w:val="008A1C2D"/>
    <w:rsid w:val="008A1FF1"/>
    <w:rsid w:val="008A28C4"/>
    <w:rsid w:val="008A2F12"/>
    <w:rsid w:val="008A4340"/>
    <w:rsid w:val="008A5213"/>
    <w:rsid w:val="008A6C2A"/>
    <w:rsid w:val="008A724D"/>
    <w:rsid w:val="008B09E3"/>
    <w:rsid w:val="008B0E86"/>
    <w:rsid w:val="008B1C1C"/>
    <w:rsid w:val="008B2102"/>
    <w:rsid w:val="008B2CA4"/>
    <w:rsid w:val="008B2DA4"/>
    <w:rsid w:val="008B2E79"/>
    <w:rsid w:val="008B3599"/>
    <w:rsid w:val="008B3E95"/>
    <w:rsid w:val="008B4994"/>
    <w:rsid w:val="008B5697"/>
    <w:rsid w:val="008B6B3F"/>
    <w:rsid w:val="008C10C3"/>
    <w:rsid w:val="008C265E"/>
    <w:rsid w:val="008C3298"/>
    <w:rsid w:val="008C35C5"/>
    <w:rsid w:val="008C3E3E"/>
    <w:rsid w:val="008C4B3A"/>
    <w:rsid w:val="008C53AA"/>
    <w:rsid w:val="008C5A75"/>
    <w:rsid w:val="008C6984"/>
    <w:rsid w:val="008C796B"/>
    <w:rsid w:val="008D01C6"/>
    <w:rsid w:val="008D2FB0"/>
    <w:rsid w:val="008D38D5"/>
    <w:rsid w:val="008D44EC"/>
    <w:rsid w:val="008D6285"/>
    <w:rsid w:val="008D6F47"/>
    <w:rsid w:val="008D7C07"/>
    <w:rsid w:val="008D7E8C"/>
    <w:rsid w:val="008E2F59"/>
    <w:rsid w:val="008E3A83"/>
    <w:rsid w:val="008E3C54"/>
    <w:rsid w:val="008E3E7A"/>
    <w:rsid w:val="008E4BDC"/>
    <w:rsid w:val="008E573E"/>
    <w:rsid w:val="008E5850"/>
    <w:rsid w:val="008E67CB"/>
    <w:rsid w:val="008E6945"/>
    <w:rsid w:val="008E69E0"/>
    <w:rsid w:val="008E7315"/>
    <w:rsid w:val="008E76CD"/>
    <w:rsid w:val="008F3A3A"/>
    <w:rsid w:val="008F3A95"/>
    <w:rsid w:val="008F4369"/>
    <w:rsid w:val="008F5050"/>
    <w:rsid w:val="008F505F"/>
    <w:rsid w:val="008F55FB"/>
    <w:rsid w:val="008F5925"/>
    <w:rsid w:val="008F60BA"/>
    <w:rsid w:val="008F73B5"/>
    <w:rsid w:val="009000C0"/>
    <w:rsid w:val="00900153"/>
    <w:rsid w:val="00902708"/>
    <w:rsid w:val="00903392"/>
    <w:rsid w:val="00903E7F"/>
    <w:rsid w:val="009043A0"/>
    <w:rsid w:val="00906068"/>
    <w:rsid w:val="009069B5"/>
    <w:rsid w:val="00906DD0"/>
    <w:rsid w:val="009070CB"/>
    <w:rsid w:val="00907EBA"/>
    <w:rsid w:val="00911590"/>
    <w:rsid w:val="0091162E"/>
    <w:rsid w:val="009122D6"/>
    <w:rsid w:val="00912D22"/>
    <w:rsid w:val="009142FD"/>
    <w:rsid w:val="00914DC9"/>
    <w:rsid w:val="009151C9"/>
    <w:rsid w:val="00915EF0"/>
    <w:rsid w:val="0092054F"/>
    <w:rsid w:val="0092062F"/>
    <w:rsid w:val="009215C1"/>
    <w:rsid w:val="00922564"/>
    <w:rsid w:val="00922856"/>
    <w:rsid w:val="009229F7"/>
    <w:rsid w:val="0092318A"/>
    <w:rsid w:val="009233E8"/>
    <w:rsid w:val="00925B80"/>
    <w:rsid w:val="0092637E"/>
    <w:rsid w:val="00927699"/>
    <w:rsid w:val="00927868"/>
    <w:rsid w:val="009312AB"/>
    <w:rsid w:val="009312FB"/>
    <w:rsid w:val="009318E7"/>
    <w:rsid w:val="00931D08"/>
    <w:rsid w:val="009324E0"/>
    <w:rsid w:val="00933595"/>
    <w:rsid w:val="00934917"/>
    <w:rsid w:val="00934F31"/>
    <w:rsid w:val="009350A4"/>
    <w:rsid w:val="00935478"/>
    <w:rsid w:val="009369EF"/>
    <w:rsid w:val="00940700"/>
    <w:rsid w:val="00941B8F"/>
    <w:rsid w:val="00945108"/>
    <w:rsid w:val="0094739E"/>
    <w:rsid w:val="00951A05"/>
    <w:rsid w:val="00953DE5"/>
    <w:rsid w:val="0095465D"/>
    <w:rsid w:val="00955D04"/>
    <w:rsid w:val="00956516"/>
    <w:rsid w:val="0095660E"/>
    <w:rsid w:val="0095662C"/>
    <w:rsid w:val="00957177"/>
    <w:rsid w:val="00957B8A"/>
    <w:rsid w:val="00957E7C"/>
    <w:rsid w:val="00957F01"/>
    <w:rsid w:val="00960137"/>
    <w:rsid w:val="009613B1"/>
    <w:rsid w:val="00962A7B"/>
    <w:rsid w:val="0096504C"/>
    <w:rsid w:val="009650D2"/>
    <w:rsid w:val="00965786"/>
    <w:rsid w:val="00966CBA"/>
    <w:rsid w:val="0096723A"/>
    <w:rsid w:val="00967ABE"/>
    <w:rsid w:val="00970FBA"/>
    <w:rsid w:val="00972C9C"/>
    <w:rsid w:val="00973F04"/>
    <w:rsid w:val="00977D2F"/>
    <w:rsid w:val="00977E5E"/>
    <w:rsid w:val="00980400"/>
    <w:rsid w:val="00980D7A"/>
    <w:rsid w:val="0098163F"/>
    <w:rsid w:val="00981D76"/>
    <w:rsid w:val="00982362"/>
    <w:rsid w:val="00982839"/>
    <w:rsid w:val="00982B5F"/>
    <w:rsid w:val="009837D2"/>
    <w:rsid w:val="0098394C"/>
    <w:rsid w:val="00983976"/>
    <w:rsid w:val="009848C6"/>
    <w:rsid w:val="00985122"/>
    <w:rsid w:val="00985950"/>
    <w:rsid w:val="009906CE"/>
    <w:rsid w:val="00990DC9"/>
    <w:rsid w:val="00991951"/>
    <w:rsid w:val="009920FA"/>
    <w:rsid w:val="00992E9B"/>
    <w:rsid w:val="00993936"/>
    <w:rsid w:val="009946DB"/>
    <w:rsid w:val="00994BCF"/>
    <w:rsid w:val="00997366"/>
    <w:rsid w:val="00997AD2"/>
    <w:rsid w:val="009A0A69"/>
    <w:rsid w:val="009A11D3"/>
    <w:rsid w:val="009A14F3"/>
    <w:rsid w:val="009A577B"/>
    <w:rsid w:val="009A664F"/>
    <w:rsid w:val="009A6C2D"/>
    <w:rsid w:val="009A7293"/>
    <w:rsid w:val="009A7514"/>
    <w:rsid w:val="009B03CC"/>
    <w:rsid w:val="009B11F1"/>
    <w:rsid w:val="009B127D"/>
    <w:rsid w:val="009B158F"/>
    <w:rsid w:val="009B1948"/>
    <w:rsid w:val="009B1C8C"/>
    <w:rsid w:val="009B2015"/>
    <w:rsid w:val="009B33F1"/>
    <w:rsid w:val="009B3ADE"/>
    <w:rsid w:val="009B62C0"/>
    <w:rsid w:val="009B62E7"/>
    <w:rsid w:val="009B6A93"/>
    <w:rsid w:val="009B6B99"/>
    <w:rsid w:val="009B7CEB"/>
    <w:rsid w:val="009C06C8"/>
    <w:rsid w:val="009C4FC8"/>
    <w:rsid w:val="009C664C"/>
    <w:rsid w:val="009C779E"/>
    <w:rsid w:val="009C7ACC"/>
    <w:rsid w:val="009C7F37"/>
    <w:rsid w:val="009D00C4"/>
    <w:rsid w:val="009D0442"/>
    <w:rsid w:val="009D1473"/>
    <w:rsid w:val="009D177F"/>
    <w:rsid w:val="009D2E1E"/>
    <w:rsid w:val="009D380C"/>
    <w:rsid w:val="009D3CC0"/>
    <w:rsid w:val="009D3E3A"/>
    <w:rsid w:val="009D42C3"/>
    <w:rsid w:val="009D4601"/>
    <w:rsid w:val="009D4895"/>
    <w:rsid w:val="009D49F5"/>
    <w:rsid w:val="009D63D6"/>
    <w:rsid w:val="009D6C24"/>
    <w:rsid w:val="009D72C6"/>
    <w:rsid w:val="009D7DAF"/>
    <w:rsid w:val="009E0E54"/>
    <w:rsid w:val="009E25D5"/>
    <w:rsid w:val="009E311C"/>
    <w:rsid w:val="009E3BA8"/>
    <w:rsid w:val="009E45BE"/>
    <w:rsid w:val="009E4E53"/>
    <w:rsid w:val="009E5E3B"/>
    <w:rsid w:val="009E71FB"/>
    <w:rsid w:val="009F015B"/>
    <w:rsid w:val="009F0A82"/>
    <w:rsid w:val="009F0F4F"/>
    <w:rsid w:val="009F21C4"/>
    <w:rsid w:val="009F2E7A"/>
    <w:rsid w:val="009F3CED"/>
    <w:rsid w:val="009F400A"/>
    <w:rsid w:val="009F5C0D"/>
    <w:rsid w:val="009F6AC0"/>
    <w:rsid w:val="009F7978"/>
    <w:rsid w:val="00A00804"/>
    <w:rsid w:val="00A020D7"/>
    <w:rsid w:val="00A03445"/>
    <w:rsid w:val="00A03ED7"/>
    <w:rsid w:val="00A0437B"/>
    <w:rsid w:val="00A04B9C"/>
    <w:rsid w:val="00A062ED"/>
    <w:rsid w:val="00A1077D"/>
    <w:rsid w:val="00A125D0"/>
    <w:rsid w:val="00A1264A"/>
    <w:rsid w:val="00A139BE"/>
    <w:rsid w:val="00A140C4"/>
    <w:rsid w:val="00A14851"/>
    <w:rsid w:val="00A149C9"/>
    <w:rsid w:val="00A156BE"/>
    <w:rsid w:val="00A1617D"/>
    <w:rsid w:val="00A16D37"/>
    <w:rsid w:val="00A17500"/>
    <w:rsid w:val="00A217EB"/>
    <w:rsid w:val="00A219FE"/>
    <w:rsid w:val="00A21BE1"/>
    <w:rsid w:val="00A226AC"/>
    <w:rsid w:val="00A25211"/>
    <w:rsid w:val="00A253A5"/>
    <w:rsid w:val="00A25E10"/>
    <w:rsid w:val="00A263BF"/>
    <w:rsid w:val="00A26853"/>
    <w:rsid w:val="00A2713C"/>
    <w:rsid w:val="00A27B12"/>
    <w:rsid w:val="00A3069B"/>
    <w:rsid w:val="00A3179C"/>
    <w:rsid w:val="00A3179F"/>
    <w:rsid w:val="00A32E03"/>
    <w:rsid w:val="00A3325F"/>
    <w:rsid w:val="00A33E8D"/>
    <w:rsid w:val="00A33F06"/>
    <w:rsid w:val="00A34033"/>
    <w:rsid w:val="00A35D21"/>
    <w:rsid w:val="00A3686A"/>
    <w:rsid w:val="00A375F5"/>
    <w:rsid w:val="00A37E6C"/>
    <w:rsid w:val="00A37EA9"/>
    <w:rsid w:val="00A40E59"/>
    <w:rsid w:val="00A41C8F"/>
    <w:rsid w:val="00A42BBE"/>
    <w:rsid w:val="00A42F21"/>
    <w:rsid w:val="00A43180"/>
    <w:rsid w:val="00A431FE"/>
    <w:rsid w:val="00A4353D"/>
    <w:rsid w:val="00A452DF"/>
    <w:rsid w:val="00A459B7"/>
    <w:rsid w:val="00A46540"/>
    <w:rsid w:val="00A468F3"/>
    <w:rsid w:val="00A47A68"/>
    <w:rsid w:val="00A47C94"/>
    <w:rsid w:val="00A47CA7"/>
    <w:rsid w:val="00A50F5D"/>
    <w:rsid w:val="00A51156"/>
    <w:rsid w:val="00A52B5F"/>
    <w:rsid w:val="00A53416"/>
    <w:rsid w:val="00A54443"/>
    <w:rsid w:val="00A545A8"/>
    <w:rsid w:val="00A550F8"/>
    <w:rsid w:val="00A56B1F"/>
    <w:rsid w:val="00A5758C"/>
    <w:rsid w:val="00A575F3"/>
    <w:rsid w:val="00A57E12"/>
    <w:rsid w:val="00A61114"/>
    <w:rsid w:val="00A62F4A"/>
    <w:rsid w:val="00A639CB"/>
    <w:rsid w:val="00A64028"/>
    <w:rsid w:val="00A64092"/>
    <w:rsid w:val="00A6552D"/>
    <w:rsid w:val="00A65A73"/>
    <w:rsid w:val="00A67AB9"/>
    <w:rsid w:val="00A703CE"/>
    <w:rsid w:val="00A704AE"/>
    <w:rsid w:val="00A704EC"/>
    <w:rsid w:val="00A70B86"/>
    <w:rsid w:val="00A72B2F"/>
    <w:rsid w:val="00A73278"/>
    <w:rsid w:val="00A73BCE"/>
    <w:rsid w:val="00A74596"/>
    <w:rsid w:val="00A7526B"/>
    <w:rsid w:val="00A779F3"/>
    <w:rsid w:val="00A80268"/>
    <w:rsid w:val="00A81FE5"/>
    <w:rsid w:val="00A82105"/>
    <w:rsid w:val="00A82344"/>
    <w:rsid w:val="00A83751"/>
    <w:rsid w:val="00A83D73"/>
    <w:rsid w:val="00A83FDA"/>
    <w:rsid w:val="00A841E1"/>
    <w:rsid w:val="00A8445A"/>
    <w:rsid w:val="00A84C80"/>
    <w:rsid w:val="00A85AE7"/>
    <w:rsid w:val="00A85F68"/>
    <w:rsid w:val="00A8625A"/>
    <w:rsid w:val="00A862CA"/>
    <w:rsid w:val="00A86B3F"/>
    <w:rsid w:val="00A87AFD"/>
    <w:rsid w:val="00A87F8C"/>
    <w:rsid w:val="00A91D5A"/>
    <w:rsid w:val="00A933CA"/>
    <w:rsid w:val="00A9546E"/>
    <w:rsid w:val="00A96E2F"/>
    <w:rsid w:val="00A97218"/>
    <w:rsid w:val="00A97EC0"/>
    <w:rsid w:val="00AA0043"/>
    <w:rsid w:val="00AA1F61"/>
    <w:rsid w:val="00AA2425"/>
    <w:rsid w:val="00AA26D6"/>
    <w:rsid w:val="00AA42AC"/>
    <w:rsid w:val="00AA5D94"/>
    <w:rsid w:val="00AA6635"/>
    <w:rsid w:val="00AB1622"/>
    <w:rsid w:val="00AB1AF1"/>
    <w:rsid w:val="00AB242E"/>
    <w:rsid w:val="00AB5F51"/>
    <w:rsid w:val="00AB6472"/>
    <w:rsid w:val="00AB6C17"/>
    <w:rsid w:val="00AC02CE"/>
    <w:rsid w:val="00AC2B1A"/>
    <w:rsid w:val="00AC30CA"/>
    <w:rsid w:val="00AC3F9C"/>
    <w:rsid w:val="00AC5CF3"/>
    <w:rsid w:val="00AC6827"/>
    <w:rsid w:val="00AC7320"/>
    <w:rsid w:val="00AC7B64"/>
    <w:rsid w:val="00AD1143"/>
    <w:rsid w:val="00AD11F8"/>
    <w:rsid w:val="00AD193E"/>
    <w:rsid w:val="00AD25BC"/>
    <w:rsid w:val="00AD3224"/>
    <w:rsid w:val="00AD3736"/>
    <w:rsid w:val="00AD432C"/>
    <w:rsid w:val="00AD7C2E"/>
    <w:rsid w:val="00AD7DAE"/>
    <w:rsid w:val="00AE09E5"/>
    <w:rsid w:val="00AE0AB2"/>
    <w:rsid w:val="00AE1758"/>
    <w:rsid w:val="00AE3771"/>
    <w:rsid w:val="00AE6E53"/>
    <w:rsid w:val="00AF46DB"/>
    <w:rsid w:val="00AF5524"/>
    <w:rsid w:val="00AF5939"/>
    <w:rsid w:val="00AF5E7F"/>
    <w:rsid w:val="00AF67CC"/>
    <w:rsid w:val="00B00735"/>
    <w:rsid w:val="00B012D8"/>
    <w:rsid w:val="00B013AC"/>
    <w:rsid w:val="00B04013"/>
    <w:rsid w:val="00B06647"/>
    <w:rsid w:val="00B06B14"/>
    <w:rsid w:val="00B06C42"/>
    <w:rsid w:val="00B07228"/>
    <w:rsid w:val="00B07610"/>
    <w:rsid w:val="00B1030F"/>
    <w:rsid w:val="00B10A8F"/>
    <w:rsid w:val="00B13923"/>
    <w:rsid w:val="00B141A7"/>
    <w:rsid w:val="00B14E03"/>
    <w:rsid w:val="00B15930"/>
    <w:rsid w:val="00B16B7B"/>
    <w:rsid w:val="00B2198C"/>
    <w:rsid w:val="00B22499"/>
    <w:rsid w:val="00B25150"/>
    <w:rsid w:val="00B25ADE"/>
    <w:rsid w:val="00B26935"/>
    <w:rsid w:val="00B26998"/>
    <w:rsid w:val="00B2784A"/>
    <w:rsid w:val="00B3082F"/>
    <w:rsid w:val="00B31355"/>
    <w:rsid w:val="00B32DFD"/>
    <w:rsid w:val="00B32F0F"/>
    <w:rsid w:val="00B332E5"/>
    <w:rsid w:val="00B33336"/>
    <w:rsid w:val="00B334CA"/>
    <w:rsid w:val="00B336D5"/>
    <w:rsid w:val="00B349DA"/>
    <w:rsid w:val="00B34A05"/>
    <w:rsid w:val="00B35FCD"/>
    <w:rsid w:val="00B3675A"/>
    <w:rsid w:val="00B371ED"/>
    <w:rsid w:val="00B40F85"/>
    <w:rsid w:val="00B40FAE"/>
    <w:rsid w:val="00B41CE3"/>
    <w:rsid w:val="00B424B5"/>
    <w:rsid w:val="00B4326D"/>
    <w:rsid w:val="00B4465B"/>
    <w:rsid w:val="00B44A0C"/>
    <w:rsid w:val="00B4531D"/>
    <w:rsid w:val="00B4720E"/>
    <w:rsid w:val="00B47AB3"/>
    <w:rsid w:val="00B47EB6"/>
    <w:rsid w:val="00B51634"/>
    <w:rsid w:val="00B52F79"/>
    <w:rsid w:val="00B540D2"/>
    <w:rsid w:val="00B54694"/>
    <w:rsid w:val="00B54BCE"/>
    <w:rsid w:val="00B560A5"/>
    <w:rsid w:val="00B571EB"/>
    <w:rsid w:val="00B6010A"/>
    <w:rsid w:val="00B60126"/>
    <w:rsid w:val="00B60FF4"/>
    <w:rsid w:val="00B6105E"/>
    <w:rsid w:val="00B62A9A"/>
    <w:rsid w:val="00B63022"/>
    <w:rsid w:val="00B63A59"/>
    <w:rsid w:val="00B64E27"/>
    <w:rsid w:val="00B70AA4"/>
    <w:rsid w:val="00B71020"/>
    <w:rsid w:val="00B71485"/>
    <w:rsid w:val="00B724A6"/>
    <w:rsid w:val="00B73DFC"/>
    <w:rsid w:val="00B73EBA"/>
    <w:rsid w:val="00B74BAA"/>
    <w:rsid w:val="00B750DA"/>
    <w:rsid w:val="00B75430"/>
    <w:rsid w:val="00B75BD0"/>
    <w:rsid w:val="00B75FE5"/>
    <w:rsid w:val="00B774B4"/>
    <w:rsid w:val="00B77521"/>
    <w:rsid w:val="00B776CE"/>
    <w:rsid w:val="00B779EB"/>
    <w:rsid w:val="00B8022D"/>
    <w:rsid w:val="00B82861"/>
    <w:rsid w:val="00B829A9"/>
    <w:rsid w:val="00B84014"/>
    <w:rsid w:val="00B84257"/>
    <w:rsid w:val="00B847C5"/>
    <w:rsid w:val="00B84C84"/>
    <w:rsid w:val="00B8507E"/>
    <w:rsid w:val="00B86F16"/>
    <w:rsid w:val="00B870A4"/>
    <w:rsid w:val="00B92432"/>
    <w:rsid w:val="00B92538"/>
    <w:rsid w:val="00B9275D"/>
    <w:rsid w:val="00B94D66"/>
    <w:rsid w:val="00BA066F"/>
    <w:rsid w:val="00BA159F"/>
    <w:rsid w:val="00BA1DFA"/>
    <w:rsid w:val="00BA2BAD"/>
    <w:rsid w:val="00BA3B4C"/>
    <w:rsid w:val="00BA6F99"/>
    <w:rsid w:val="00BA7146"/>
    <w:rsid w:val="00BB036A"/>
    <w:rsid w:val="00BB2157"/>
    <w:rsid w:val="00BB24A2"/>
    <w:rsid w:val="00BB262C"/>
    <w:rsid w:val="00BB2B9D"/>
    <w:rsid w:val="00BB2F88"/>
    <w:rsid w:val="00BB44CA"/>
    <w:rsid w:val="00BB47CE"/>
    <w:rsid w:val="00BB7233"/>
    <w:rsid w:val="00BB73A1"/>
    <w:rsid w:val="00BC1E13"/>
    <w:rsid w:val="00BC36DA"/>
    <w:rsid w:val="00BC3CB6"/>
    <w:rsid w:val="00BC491F"/>
    <w:rsid w:val="00BC4C6A"/>
    <w:rsid w:val="00BC5E6B"/>
    <w:rsid w:val="00BC6DE2"/>
    <w:rsid w:val="00BD28A3"/>
    <w:rsid w:val="00BD2B54"/>
    <w:rsid w:val="00BD2B81"/>
    <w:rsid w:val="00BD33B9"/>
    <w:rsid w:val="00BD34DE"/>
    <w:rsid w:val="00BD476D"/>
    <w:rsid w:val="00BD5CB9"/>
    <w:rsid w:val="00BE1887"/>
    <w:rsid w:val="00BE23E0"/>
    <w:rsid w:val="00BE35A1"/>
    <w:rsid w:val="00BE5C4F"/>
    <w:rsid w:val="00BE6524"/>
    <w:rsid w:val="00BE7BA3"/>
    <w:rsid w:val="00BF0478"/>
    <w:rsid w:val="00BF0D02"/>
    <w:rsid w:val="00BF1690"/>
    <w:rsid w:val="00BF1E47"/>
    <w:rsid w:val="00BF4373"/>
    <w:rsid w:val="00BF4559"/>
    <w:rsid w:val="00BF4F60"/>
    <w:rsid w:val="00BF5647"/>
    <w:rsid w:val="00BF5B08"/>
    <w:rsid w:val="00BF66D7"/>
    <w:rsid w:val="00BF6EBC"/>
    <w:rsid w:val="00BF7CFF"/>
    <w:rsid w:val="00BF7E35"/>
    <w:rsid w:val="00C009C4"/>
    <w:rsid w:val="00C01B9F"/>
    <w:rsid w:val="00C0489E"/>
    <w:rsid w:val="00C04EEF"/>
    <w:rsid w:val="00C055AB"/>
    <w:rsid w:val="00C06141"/>
    <w:rsid w:val="00C06770"/>
    <w:rsid w:val="00C06AD1"/>
    <w:rsid w:val="00C11851"/>
    <w:rsid w:val="00C1381B"/>
    <w:rsid w:val="00C139DF"/>
    <w:rsid w:val="00C177AB"/>
    <w:rsid w:val="00C2032C"/>
    <w:rsid w:val="00C2125E"/>
    <w:rsid w:val="00C25576"/>
    <w:rsid w:val="00C27C00"/>
    <w:rsid w:val="00C31765"/>
    <w:rsid w:val="00C33033"/>
    <w:rsid w:val="00C33106"/>
    <w:rsid w:val="00C338BB"/>
    <w:rsid w:val="00C33B1D"/>
    <w:rsid w:val="00C34E57"/>
    <w:rsid w:val="00C35BC2"/>
    <w:rsid w:val="00C35CC8"/>
    <w:rsid w:val="00C36356"/>
    <w:rsid w:val="00C36F41"/>
    <w:rsid w:val="00C413C1"/>
    <w:rsid w:val="00C41779"/>
    <w:rsid w:val="00C418BB"/>
    <w:rsid w:val="00C42A29"/>
    <w:rsid w:val="00C4550F"/>
    <w:rsid w:val="00C460D9"/>
    <w:rsid w:val="00C467D1"/>
    <w:rsid w:val="00C4785E"/>
    <w:rsid w:val="00C5190C"/>
    <w:rsid w:val="00C52382"/>
    <w:rsid w:val="00C5628F"/>
    <w:rsid w:val="00C56A7D"/>
    <w:rsid w:val="00C6030E"/>
    <w:rsid w:val="00C605A6"/>
    <w:rsid w:val="00C609A4"/>
    <w:rsid w:val="00C62B34"/>
    <w:rsid w:val="00C62DCA"/>
    <w:rsid w:val="00C648C3"/>
    <w:rsid w:val="00C649C1"/>
    <w:rsid w:val="00C6564B"/>
    <w:rsid w:val="00C65862"/>
    <w:rsid w:val="00C66569"/>
    <w:rsid w:val="00C679E1"/>
    <w:rsid w:val="00C7067E"/>
    <w:rsid w:val="00C710F7"/>
    <w:rsid w:val="00C71607"/>
    <w:rsid w:val="00C72DDE"/>
    <w:rsid w:val="00C73639"/>
    <w:rsid w:val="00C75DF7"/>
    <w:rsid w:val="00C75F56"/>
    <w:rsid w:val="00C77965"/>
    <w:rsid w:val="00C80B81"/>
    <w:rsid w:val="00C825E8"/>
    <w:rsid w:val="00C82B4B"/>
    <w:rsid w:val="00C83267"/>
    <w:rsid w:val="00C83495"/>
    <w:rsid w:val="00C838DF"/>
    <w:rsid w:val="00C8498C"/>
    <w:rsid w:val="00C84A55"/>
    <w:rsid w:val="00C855B9"/>
    <w:rsid w:val="00C87444"/>
    <w:rsid w:val="00C87635"/>
    <w:rsid w:val="00C8782D"/>
    <w:rsid w:val="00C9018F"/>
    <w:rsid w:val="00C91941"/>
    <w:rsid w:val="00C91E91"/>
    <w:rsid w:val="00C94977"/>
    <w:rsid w:val="00C95C61"/>
    <w:rsid w:val="00C96803"/>
    <w:rsid w:val="00C977DF"/>
    <w:rsid w:val="00CA161A"/>
    <w:rsid w:val="00CA1D70"/>
    <w:rsid w:val="00CA2669"/>
    <w:rsid w:val="00CA2F35"/>
    <w:rsid w:val="00CA42CB"/>
    <w:rsid w:val="00CA5068"/>
    <w:rsid w:val="00CA520D"/>
    <w:rsid w:val="00CA523B"/>
    <w:rsid w:val="00CA5554"/>
    <w:rsid w:val="00CA58BB"/>
    <w:rsid w:val="00CA7B1A"/>
    <w:rsid w:val="00CB23DC"/>
    <w:rsid w:val="00CB343A"/>
    <w:rsid w:val="00CB39DC"/>
    <w:rsid w:val="00CB3F3F"/>
    <w:rsid w:val="00CB45CF"/>
    <w:rsid w:val="00CB5DED"/>
    <w:rsid w:val="00CB6951"/>
    <w:rsid w:val="00CB7EF1"/>
    <w:rsid w:val="00CC03F2"/>
    <w:rsid w:val="00CC1E3E"/>
    <w:rsid w:val="00CC396F"/>
    <w:rsid w:val="00CC4667"/>
    <w:rsid w:val="00CC578E"/>
    <w:rsid w:val="00CC599E"/>
    <w:rsid w:val="00CC65A9"/>
    <w:rsid w:val="00CC700E"/>
    <w:rsid w:val="00CC75C1"/>
    <w:rsid w:val="00CD0073"/>
    <w:rsid w:val="00CD0395"/>
    <w:rsid w:val="00CD0D13"/>
    <w:rsid w:val="00CD24AF"/>
    <w:rsid w:val="00CD4C7F"/>
    <w:rsid w:val="00CD541D"/>
    <w:rsid w:val="00CD5E39"/>
    <w:rsid w:val="00CD64DE"/>
    <w:rsid w:val="00CD665F"/>
    <w:rsid w:val="00CD6871"/>
    <w:rsid w:val="00CD7521"/>
    <w:rsid w:val="00CD7B75"/>
    <w:rsid w:val="00CE01FF"/>
    <w:rsid w:val="00CE028D"/>
    <w:rsid w:val="00CE2470"/>
    <w:rsid w:val="00CE24E7"/>
    <w:rsid w:val="00CE325E"/>
    <w:rsid w:val="00CE472B"/>
    <w:rsid w:val="00CE5078"/>
    <w:rsid w:val="00CE593A"/>
    <w:rsid w:val="00CE6628"/>
    <w:rsid w:val="00CE67F5"/>
    <w:rsid w:val="00CE6E02"/>
    <w:rsid w:val="00CE7F79"/>
    <w:rsid w:val="00CF14C7"/>
    <w:rsid w:val="00CF1C10"/>
    <w:rsid w:val="00CF20CA"/>
    <w:rsid w:val="00CF33C7"/>
    <w:rsid w:val="00CF4774"/>
    <w:rsid w:val="00CF56FC"/>
    <w:rsid w:val="00CF6D45"/>
    <w:rsid w:val="00CF7522"/>
    <w:rsid w:val="00CF769C"/>
    <w:rsid w:val="00D0026F"/>
    <w:rsid w:val="00D00F94"/>
    <w:rsid w:val="00D01C85"/>
    <w:rsid w:val="00D029FD"/>
    <w:rsid w:val="00D0387E"/>
    <w:rsid w:val="00D03A95"/>
    <w:rsid w:val="00D03B3D"/>
    <w:rsid w:val="00D10A0D"/>
    <w:rsid w:val="00D11488"/>
    <w:rsid w:val="00D129A6"/>
    <w:rsid w:val="00D1479B"/>
    <w:rsid w:val="00D15530"/>
    <w:rsid w:val="00D158F0"/>
    <w:rsid w:val="00D16E5D"/>
    <w:rsid w:val="00D208D7"/>
    <w:rsid w:val="00D22AF3"/>
    <w:rsid w:val="00D23BC2"/>
    <w:rsid w:val="00D23D8F"/>
    <w:rsid w:val="00D30453"/>
    <w:rsid w:val="00D31018"/>
    <w:rsid w:val="00D3213C"/>
    <w:rsid w:val="00D338E8"/>
    <w:rsid w:val="00D34AEE"/>
    <w:rsid w:val="00D34B2F"/>
    <w:rsid w:val="00D34E39"/>
    <w:rsid w:val="00D35E21"/>
    <w:rsid w:val="00D35E2E"/>
    <w:rsid w:val="00D35FAE"/>
    <w:rsid w:val="00D37970"/>
    <w:rsid w:val="00D413FC"/>
    <w:rsid w:val="00D42E1B"/>
    <w:rsid w:val="00D43722"/>
    <w:rsid w:val="00D43A26"/>
    <w:rsid w:val="00D44A6D"/>
    <w:rsid w:val="00D45670"/>
    <w:rsid w:val="00D46A64"/>
    <w:rsid w:val="00D46BF0"/>
    <w:rsid w:val="00D46CCA"/>
    <w:rsid w:val="00D520F4"/>
    <w:rsid w:val="00D52388"/>
    <w:rsid w:val="00D53907"/>
    <w:rsid w:val="00D574FE"/>
    <w:rsid w:val="00D575E9"/>
    <w:rsid w:val="00D6000F"/>
    <w:rsid w:val="00D601F0"/>
    <w:rsid w:val="00D607D4"/>
    <w:rsid w:val="00D60858"/>
    <w:rsid w:val="00D60A71"/>
    <w:rsid w:val="00D60D0C"/>
    <w:rsid w:val="00D610B9"/>
    <w:rsid w:val="00D62005"/>
    <w:rsid w:val="00D622BE"/>
    <w:rsid w:val="00D630E9"/>
    <w:rsid w:val="00D636E8"/>
    <w:rsid w:val="00D63923"/>
    <w:rsid w:val="00D65804"/>
    <w:rsid w:val="00D65840"/>
    <w:rsid w:val="00D65B13"/>
    <w:rsid w:val="00D65E76"/>
    <w:rsid w:val="00D70E2F"/>
    <w:rsid w:val="00D736A1"/>
    <w:rsid w:val="00D740B4"/>
    <w:rsid w:val="00D74D64"/>
    <w:rsid w:val="00D75993"/>
    <w:rsid w:val="00D76331"/>
    <w:rsid w:val="00D766A3"/>
    <w:rsid w:val="00D7722E"/>
    <w:rsid w:val="00D77B8D"/>
    <w:rsid w:val="00D812F0"/>
    <w:rsid w:val="00D817B3"/>
    <w:rsid w:val="00D81BFF"/>
    <w:rsid w:val="00D8313F"/>
    <w:rsid w:val="00D83DA8"/>
    <w:rsid w:val="00D85E4C"/>
    <w:rsid w:val="00D8703E"/>
    <w:rsid w:val="00D8705E"/>
    <w:rsid w:val="00D87560"/>
    <w:rsid w:val="00D87E2E"/>
    <w:rsid w:val="00D9042E"/>
    <w:rsid w:val="00D90A48"/>
    <w:rsid w:val="00D950BB"/>
    <w:rsid w:val="00D9560F"/>
    <w:rsid w:val="00D962F2"/>
    <w:rsid w:val="00DA0A41"/>
    <w:rsid w:val="00DA0F54"/>
    <w:rsid w:val="00DA1217"/>
    <w:rsid w:val="00DA1793"/>
    <w:rsid w:val="00DA1908"/>
    <w:rsid w:val="00DA1E34"/>
    <w:rsid w:val="00DA28B3"/>
    <w:rsid w:val="00DA32B6"/>
    <w:rsid w:val="00DA3BE6"/>
    <w:rsid w:val="00DA4A22"/>
    <w:rsid w:val="00DB0224"/>
    <w:rsid w:val="00DB06C6"/>
    <w:rsid w:val="00DB1745"/>
    <w:rsid w:val="00DB19C7"/>
    <w:rsid w:val="00DB1E73"/>
    <w:rsid w:val="00DB20F4"/>
    <w:rsid w:val="00DB467B"/>
    <w:rsid w:val="00DB619D"/>
    <w:rsid w:val="00DB7340"/>
    <w:rsid w:val="00DB7DAE"/>
    <w:rsid w:val="00DC001C"/>
    <w:rsid w:val="00DC122E"/>
    <w:rsid w:val="00DC132F"/>
    <w:rsid w:val="00DC2C9A"/>
    <w:rsid w:val="00DC3CCA"/>
    <w:rsid w:val="00DC47DC"/>
    <w:rsid w:val="00DC5249"/>
    <w:rsid w:val="00DC52AE"/>
    <w:rsid w:val="00DC5685"/>
    <w:rsid w:val="00DC6E07"/>
    <w:rsid w:val="00DC78F0"/>
    <w:rsid w:val="00DD001F"/>
    <w:rsid w:val="00DD08D2"/>
    <w:rsid w:val="00DD2811"/>
    <w:rsid w:val="00DD343B"/>
    <w:rsid w:val="00DD3C4C"/>
    <w:rsid w:val="00DD42FB"/>
    <w:rsid w:val="00DD53E1"/>
    <w:rsid w:val="00DD5DA7"/>
    <w:rsid w:val="00DD7F89"/>
    <w:rsid w:val="00DE08B8"/>
    <w:rsid w:val="00DE120F"/>
    <w:rsid w:val="00DE16AC"/>
    <w:rsid w:val="00DE2BBD"/>
    <w:rsid w:val="00DE2C13"/>
    <w:rsid w:val="00DE3686"/>
    <w:rsid w:val="00DE37FF"/>
    <w:rsid w:val="00DE4380"/>
    <w:rsid w:val="00DE451A"/>
    <w:rsid w:val="00DE47A4"/>
    <w:rsid w:val="00DE661A"/>
    <w:rsid w:val="00DE761A"/>
    <w:rsid w:val="00DE7A0B"/>
    <w:rsid w:val="00DF039A"/>
    <w:rsid w:val="00DF0D93"/>
    <w:rsid w:val="00DF11D1"/>
    <w:rsid w:val="00DF20CC"/>
    <w:rsid w:val="00DF23AE"/>
    <w:rsid w:val="00DF51CF"/>
    <w:rsid w:val="00DF5B0C"/>
    <w:rsid w:val="00DF7FB8"/>
    <w:rsid w:val="00E00300"/>
    <w:rsid w:val="00E01A41"/>
    <w:rsid w:val="00E01F53"/>
    <w:rsid w:val="00E02CAE"/>
    <w:rsid w:val="00E037C7"/>
    <w:rsid w:val="00E042F4"/>
    <w:rsid w:val="00E048A3"/>
    <w:rsid w:val="00E05F68"/>
    <w:rsid w:val="00E10A5B"/>
    <w:rsid w:val="00E1144C"/>
    <w:rsid w:val="00E11675"/>
    <w:rsid w:val="00E11FBF"/>
    <w:rsid w:val="00E12218"/>
    <w:rsid w:val="00E134FC"/>
    <w:rsid w:val="00E14323"/>
    <w:rsid w:val="00E174A0"/>
    <w:rsid w:val="00E22DB9"/>
    <w:rsid w:val="00E2348D"/>
    <w:rsid w:val="00E248ED"/>
    <w:rsid w:val="00E24E11"/>
    <w:rsid w:val="00E2560F"/>
    <w:rsid w:val="00E315B8"/>
    <w:rsid w:val="00E320CA"/>
    <w:rsid w:val="00E33487"/>
    <w:rsid w:val="00E33725"/>
    <w:rsid w:val="00E33AC6"/>
    <w:rsid w:val="00E33B2F"/>
    <w:rsid w:val="00E3636A"/>
    <w:rsid w:val="00E37302"/>
    <w:rsid w:val="00E37DC4"/>
    <w:rsid w:val="00E40B5F"/>
    <w:rsid w:val="00E4290A"/>
    <w:rsid w:val="00E42FB5"/>
    <w:rsid w:val="00E43272"/>
    <w:rsid w:val="00E436AA"/>
    <w:rsid w:val="00E444C5"/>
    <w:rsid w:val="00E44F46"/>
    <w:rsid w:val="00E45E02"/>
    <w:rsid w:val="00E470A1"/>
    <w:rsid w:val="00E47A2A"/>
    <w:rsid w:val="00E516C6"/>
    <w:rsid w:val="00E520CA"/>
    <w:rsid w:val="00E53AE6"/>
    <w:rsid w:val="00E54202"/>
    <w:rsid w:val="00E54217"/>
    <w:rsid w:val="00E54F1A"/>
    <w:rsid w:val="00E56859"/>
    <w:rsid w:val="00E57BFC"/>
    <w:rsid w:val="00E62E26"/>
    <w:rsid w:val="00E6316B"/>
    <w:rsid w:val="00E64871"/>
    <w:rsid w:val="00E652FF"/>
    <w:rsid w:val="00E65ECB"/>
    <w:rsid w:val="00E661A9"/>
    <w:rsid w:val="00E6676D"/>
    <w:rsid w:val="00E67004"/>
    <w:rsid w:val="00E6719F"/>
    <w:rsid w:val="00E72C30"/>
    <w:rsid w:val="00E73A1A"/>
    <w:rsid w:val="00E74170"/>
    <w:rsid w:val="00E74487"/>
    <w:rsid w:val="00E76490"/>
    <w:rsid w:val="00E815EA"/>
    <w:rsid w:val="00E81D3D"/>
    <w:rsid w:val="00E82CA2"/>
    <w:rsid w:val="00E832CC"/>
    <w:rsid w:val="00E836ED"/>
    <w:rsid w:val="00E838BD"/>
    <w:rsid w:val="00E83C4C"/>
    <w:rsid w:val="00E83CDA"/>
    <w:rsid w:val="00E83D30"/>
    <w:rsid w:val="00E8434C"/>
    <w:rsid w:val="00E84CAD"/>
    <w:rsid w:val="00E85BAC"/>
    <w:rsid w:val="00E879D8"/>
    <w:rsid w:val="00E87CC9"/>
    <w:rsid w:val="00E87F29"/>
    <w:rsid w:val="00E90362"/>
    <w:rsid w:val="00E917AA"/>
    <w:rsid w:val="00E927E6"/>
    <w:rsid w:val="00E94101"/>
    <w:rsid w:val="00E9654B"/>
    <w:rsid w:val="00E97DD7"/>
    <w:rsid w:val="00EA09A7"/>
    <w:rsid w:val="00EA1F05"/>
    <w:rsid w:val="00EA4CF3"/>
    <w:rsid w:val="00EA7010"/>
    <w:rsid w:val="00EA7828"/>
    <w:rsid w:val="00EB210E"/>
    <w:rsid w:val="00EB36ED"/>
    <w:rsid w:val="00EB3AC6"/>
    <w:rsid w:val="00EC05AB"/>
    <w:rsid w:val="00EC0A6B"/>
    <w:rsid w:val="00EC0F76"/>
    <w:rsid w:val="00EC1CBD"/>
    <w:rsid w:val="00EC2671"/>
    <w:rsid w:val="00EC48CE"/>
    <w:rsid w:val="00EC602F"/>
    <w:rsid w:val="00EC6052"/>
    <w:rsid w:val="00EC652B"/>
    <w:rsid w:val="00EC67A8"/>
    <w:rsid w:val="00EC6BA6"/>
    <w:rsid w:val="00EC73E1"/>
    <w:rsid w:val="00ED1ACB"/>
    <w:rsid w:val="00ED1EFC"/>
    <w:rsid w:val="00ED4A2E"/>
    <w:rsid w:val="00ED605C"/>
    <w:rsid w:val="00ED6896"/>
    <w:rsid w:val="00ED6A8C"/>
    <w:rsid w:val="00EE154B"/>
    <w:rsid w:val="00EE1D01"/>
    <w:rsid w:val="00EE3156"/>
    <w:rsid w:val="00EE3159"/>
    <w:rsid w:val="00EE49FF"/>
    <w:rsid w:val="00EE5740"/>
    <w:rsid w:val="00EE6DDF"/>
    <w:rsid w:val="00EE7242"/>
    <w:rsid w:val="00EE759A"/>
    <w:rsid w:val="00EE7E77"/>
    <w:rsid w:val="00EF0006"/>
    <w:rsid w:val="00EF007A"/>
    <w:rsid w:val="00EF02FD"/>
    <w:rsid w:val="00EF18EC"/>
    <w:rsid w:val="00EF3D1A"/>
    <w:rsid w:val="00EF3EAD"/>
    <w:rsid w:val="00EF47E3"/>
    <w:rsid w:val="00EF4862"/>
    <w:rsid w:val="00F007A3"/>
    <w:rsid w:val="00F00EF0"/>
    <w:rsid w:val="00F01B27"/>
    <w:rsid w:val="00F02CF4"/>
    <w:rsid w:val="00F07AB7"/>
    <w:rsid w:val="00F1224B"/>
    <w:rsid w:val="00F12F06"/>
    <w:rsid w:val="00F13E4F"/>
    <w:rsid w:val="00F15579"/>
    <w:rsid w:val="00F155A0"/>
    <w:rsid w:val="00F157DE"/>
    <w:rsid w:val="00F16C00"/>
    <w:rsid w:val="00F20887"/>
    <w:rsid w:val="00F20C98"/>
    <w:rsid w:val="00F214A2"/>
    <w:rsid w:val="00F2474C"/>
    <w:rsid w:val="00F249E1"/>
    <w:rsid w:val="00F259E9"/>
    <w:rsid w:val="00F269D9"/>
    <w:rsid w:val="00F26F5F"/>
    <w:rsid w:val="00F27343"/>
    <w:rsid w:val="00F2764F"/>
    <w:rsid w:val="00F27910"/>
    <w:rsid w:val="00F27A43"/>
    <w:rsid w:val="00F314F6"/>
    <w:rsid w:val="00F3201A"/>
    <w:rsid w:val="00F32083"/>
    <w:rsid w:val="00F33414"/>
    <w:rsid w:val="00F33692"/>
    <w:rsid w:val="00F35196"/>
    <w:rsid w:val="00F3604A"/>
    <w:rsid w:val="00F42ACD"/>
    <w:rsid w:val="00F447B5"/>
    <w:rsid w:val="00F449E5"/>
    <w:rsid w:val="00F459E9"/>
    <w:rsid w:val="00F463DC"/>
    <w:rsid w:val="00F46E3B"/>
    <w:rsid w:val="00F475F2"/>
    <w:rsid w:val="00F515AC"/>
    <w:rsid w:val="00F5171F"/>
    <w:rsid w:val="00F51C97"/>
    <w:rsid w:val="00F522B8"/>
    <w:rsid w:val="00F52B3A"/>
    <w:rsid w:val="00F532A0"/>
    <w:rsid w:val="00F53849"/>
    <w:rsid w:val="00F53D21"/>
    <w:rsid w:val="00F546E0"/>
    <w:rsid w:val="00F5682C"/>
    <w:rsid w:val="00F56AA4"/>
    <w:rsid w:val="00F57517"/>
    <w:rsid w:val="00F60466"/>
    <w:rsid w:val="00F607F2"/>
    <w:rsid w:val="00F61128"/>
    <w:rsid w:val="00F630C4"/>
    <w:rsid w:val="00F6344E"/>
    <w:rsid w:val="00F638A3"/>
    <w:rsid w:val="00F65E0A"/>
    <w:rsid w:val="00F667CB"/>
    <w:rsid w:val="00F671E2"/>
    <w:rsid w:val="00F67579"/>
    <w:rsid w:val="00F6762E"/>
    <w:rsid w:val="00F67665"/>
    <w:rsid w:val="00F67A6A"/>
    <w:rsid w:val="00F67C4B"/>
    <w:rsid w:val="00F70666"/>
    <w:rsid w:val="00F738E0"/>
    <w:rsid w:val="00F80C03"/>
    <w:rsid w:val="00F80D84"/>
    <w:rsid w:val="00F81831"/>
    <w:rsid w:val="00F8426E"/>
    <w:rsid w:val="00F843F8"/>
    <w:rsid w:val="00F85045"/>
    <w:rsid w:val="00F86167"/>
    <w:rsid w:val="00F86A64"/>
    <w:rsid w:val="00F86E9A"/>
    <w:rsid w:val="00F87C88"/>
    <w:rsid w:val="00F900C4"/>
    <w:rsid w:val="00F908F1"/>
    <w:rsid w:val="00F917F5"/>
    <w:rsid w:val="00F92F66"/>
    <w:rsid w:val="00F92FE5"/>
    <w:rsid w:val="00F940F6"/>
    <w:rsid w:val="00F94A9B"/>
    <w:rsid w:val="00F94E1E"/>
    <w:rsid w:val="00F95245"/>
    <w:rsid w:val="00F95A8D"/>
    <w:rsid w:val="00F96603"/>
    <w:rsid w:val="00F979DE"/>
    <w:rsid w:val="00FA1E37"/>
    <w:rsid w:val="00FA28D8"/>
    <w:rsid w:val="00FA3754"/>
    <w:rsid w:val="00FA4FF0"/>
    <w:rsid w:val="00FA51CB"/>
    <w:rsid w:val="00FA6A04"/>
    <w:rsid w:val="00FA6E2A"/>
    <w:rsid w:val="00FA78A2"/>
    <w:rsid w:val="00FA7E43"/>
    <w:rsid w:val="00FA7EC6"/>
    <w:rsid w:val="00FB0B3E"/>
    <w:rsid w:val="00FB115C"/>
    <w:rsid w:val="00FB17EE"/>
    <w:rsid w:val="00FB1D77"/>
    <w:rsid w:val="00FB31B9"/>
    <w:rsid w:val="00FB353E"/>
    <w:rsid w:val="00FB3761"/>
    <w:rsid w:val="00FB3BBC"/>
    <w:rsid w:val="00FB4501"/>
    <w:rsid w:val="00FB4681"/>
    <w:rsid w:val="00FB4720"/>
    <w:rsid w:val="00FB5884"/>
    <w:rsid w:val="00FB600C"/>
    <w:rsid w:val="00FB6375"/>
    <w:rsid w:val="00FB6902"/>
    <w:rsid w:val="00FB7D31"/>
    <w:rsid w:val="00FC0E31"/>
    <w:rsid w:val="00FC1CEF"/>
    <w:rsid w:val="00FC24E8"/>
    <w:rsid w:val="00FC2C2C"/>
    <w:rsid w:val="00FC35C8"/>
    <w:rsid w:val="00FC46FC"/>
    <w:rsid w:val="00FC7A34"/>
    <w:rsid w:val="00FD0BE1"/>
    <w:rsid w:val="00FD12DC"/>
    <w:rsid w:val="00FD3AA5"/>
    <w:rsid w:val="00FD5BE2"/>
    <w:rsid w:val="00FD6BC2"/>
    <w:rsid w:val="00FD7B22"/>
    <w:rsid w:val="00FE04D8"/>
    <w:rsid w:val="00FE0ECE"/>
    <w:rsid w:val="00FE0FE3"/>
    <w:rsid w:val="00FE172B"/>
    <w:rsid w:val="00FE3364"/>
    <w:rsid w:val="00FE33F2"/>
    <w:rsid w:val="00FE3E08"/>
    <w:rsid w:val="00FE5861"/>
    <w:rsid w:val="00FE5A66"/>
    <w:rsid w:val="00FE64B2"/>
    <w:rsid w:val="00FE6872"/>
    <w:rsid w:val="00FF1D34"/>
    <w:rsid w:val="00FF3026"/>
    <w:rsid w:val="00FF3121"/>
    <w:rsid w:val="00FF3399"/>
    <w:rsid w:val="00FF3C44"/>
    <w:rsid w:val="00FF5E7B"/>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21F8F"/>
  <w15:docId w15:val="{4D2DECAF-43E6-44ED-8399-BED04A2D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5AA"/>
  </w:style>
  <w:style w:type="paragraph" w:styleId="Heading1">
    <w:name w:val="heading 1"/>
    <w:basedOn w:val="Normal"/>
    <w:next w:val="Normal"/>
    <w:link w:val="Heading1Char"/>
    <w:qFormat/>
    <w:rsid w:val="000208B8"/>
    <w:pPr>
      <w:keepNext/>
      <w:spacing w:before="240" w:after="60" w:line="240"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0208B8"/>
    <w:pPr>
      <w:keepNext/>
      <w:spacing w:before="240" w:after="60" w:line="240"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0208B8"/>
    <w:pPr>
      <w:keepNext/>
      <w:spacing w:before="240" w:after="60" w:line="240"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0208B8"/>
    <w:pPr>
      <w:keepNext/>
      <w:autoSpaceDE w:val="0"/>
      <w:autoSpaceDN w:val="0"/>
      <w:spacing w:after="0" w:line="240" w:lineRule="auto"/>
      <w:jc w:val="center"/>
      <w:outlineLvl w:val="3"/>
    </w:pPr>
    <w:rPr>
      <w:rFonts w:ascii="Times New Roman" w:eastAsia="Times New Roman" w:hAnsi="Times New Roman" w:cs="Times New Roman"/>
      <w:b/>
      <w:bCs/>
      <w:sz w:val="72"/>
      <w:szCs w:val="72"/>
    </w:rPr>
  </w:style>
  <w:style w:type="paragraph" w:styleId="Heading5">
    <w:name w:val="heading 5"/>
    <w:basedOn w:val="Normal"/>
    <w:next w:val="Normal"/>
    <w:link w:val="Heading5Char"/>
    <w:qFormat/>
    <w:rsid w:val="000208B8"/>
    <w:pPr>
      <w:keepNext/>
      <w:numPr>
        <w:numId w:val="11"/>
      </w:numPr>
      <w:spacing w:before="240" w:after="0" w:line="240" w:lineRule="auto"/>
      <w:jc w:val="both"/>
      <w:outlineLvl w:val="4"/>
    </w:pPr>
    <w:rPr>
      <w:rFonts w:ascii="Times New Roman" w:eastAsia="Times New Roman" w:hAnsi="Times New Roman" w:cs="Times New Roman"/>
      <w:color w:val="000080"/>
      <w:sz w:val="28"/>
      <w:szCs w:val="20"/>
      <w:lang w:val="ro-MD"/>
    </w:rPr>
  </w:style>
  <w:style w:type="paragraph" w:styleId="Heading8">
    <w:name w:val="heading 8"/>
    <w:basedOn w:val="Normal"/>
    <w:next w:val="Normal"/>
    <w:link w:val="Heading8Char"/>
    <w:qFormat/>
    <w:rsid w:val="000208B8"/>
    <w:pPr>
      <w:spacing w:before="240" w:after="60" w:line="240" w:lineRule="auto"/>
      <w:outlineLvl w:val="7"/>
    </w:pPr>
    <w:rPr>
      <w:rFonts w:ascii="Times New Roman" w:eastAsia="Times New Roman" w:hAnsi="Times New Roman" w:cs="Times New Roman"/>
      <w:i/>
      <w:iCs/>
      <w:sz w:val="24"/>
      <w:szCs w:val="24"/>
      <w:lang w:val="ru-RU" w:eastAsia="ru-RU"/>
    </w:rPr>
  </w:style>
  <w:style w:type="paragraph" w:styleId="Heading9">
    <w:name w:val="heading 9"/>
    <w:basedOn w:val="Normal"/>
    <w:next w:val="Normal"/>
    <w:link w:val="Heading9Char"/>
    <w:qFormat/>
    <w:rsid w:val="000208B8"/>
    <w:pPr>
      <w:spacing w:before="240" w:after="60" w:line="240" w:lineRule="auto"/>
      <w:outlineLvl w:val="8"/>
    </w:pPr>
    <w:rPr>
      <w:rFonts w:ascii="Arial" w:eastAsia="Times New Roman" w:hAnsi="Arial"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08B8"/>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0208B8"/>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0208B8"/>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0208B8"/>
    <w:rPr>
      <w:rFonts w:ascii="Times New Roman" w:eastAsia="Times New Roman" w:hAnsi="Times New Roman" w:cs="Times New Roman"/>
      <w:b/>
      <w:bCs/>
      <w:sz w:val="72"/>
      <w:szCs w:val="72"/>
    </w:rPr>
  </w:style>
  <w:style w:type="character" w:customStyle="1" w:styleId="Heading5Char">
    <w:name w:val="Heading 5 Char"/>
    <w:basedOn w:val="DefaultParagraphFont"/>
    <w:link w:val="Heading5"/>
    <w:rsid w:val="000208B8"/>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0208B8"/>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0208B8"/>
    <w:rPr>
      <w:rFonts w:ascii="Arial" w:eastAsia="Times New Roman" w:hAnsi="Arial" w:cs="Times New Roman"/>
      <w:lang w:val="ru-RU" w:eastAsia="ru-RU"/>
    </w:rPr>
  </w:style>
  <w:style w:type="paragraph" w:styleId="Header">
    <w:name w:val="header"/>
    <w:basedOn w:val="Normal"/>
    <w:link w:val="HeaderChar"/>
    <w:uiPriority w:val="99"/>
    <w:unhideWhenUsed/>
    <w:rsid w:val="00B40FAE"/>
    <w:pPr>
      <w:tabs>
        <w:tab w:val="center" w:pos="4844"/>
        <w:tab w:val="right" w:pos="9689"/>
      </w:tabs>
      <w:spacing w:after="0" w:line="240" w:lineRule="auto"/>
    </w:pPr>
  </w:style>
  <w:style w:type="character" w:customStyle="1" w:styleId="HeaderChar">
    <w:name w:val="Header Char"/>
    <w:basedOn w:val="DefaultParagraphFont"/>
    <w:link w:val="Header"/>
    <w:uiPriority w:val="99"/>
    <w:rsid w:val="00B40FAE"/>
  </w:style>
  <w:style w:type="paragraph" w:styleId="Footer">
    <w:name w:val="footer"/>
    <w:basedOn w:val="Normal"/>
    <w:link w:val="FooterChar"/>
    <w:uiPriority w:val="99"/>
    <w:unhideWhenUsed/>
    <w:rsid w:val="00B40FAE"/>
    <w:pPr>
      <w:tabs>
        <w:tab w:val="center" w:pos="4844"/>
        <w:tab w:val="right" w:pos="9689"/>
      </w:tabs>
      <w:spacing w:after="0" w:line="240" w:lineRule="auto"/>
    </w:pPr>
  </w:style>
  <w:style w:type="character" w:customStyle="1" w:styleId="FooterChar">
    <w:name w:val="Footer Char"/>
    <w:basedOn w:val="DefaultParagraphFont"/>
    <w:link w:val="Footer"/>
    <w:uiPriority w:val="99"/>
    <w:rsid w:val="00B40FAE"/>
  </w:style>
  <w:style w:type="paragraph" w:styleId="ListParagraph">
    <w:name w:val="List Paragraph"/>
    <w:basedOn w:val="Normal"/>
    <w:uiPriority w:val="34"/>
    <w:qFormat/>
    <w:rsid w:val="003E6D31"/>
    <w:pPr>
      <w:ind w:left="720"/>
      <w:contextualSpacing/>
    </w:pPr>
  </w:style>
  <w:style w:type="paragraph" w:customStyle="1" w:styleId="CM4">
    <w:name w:val="CM4"/>
    <w:basedOn w:val="Normal"/>
    <w:next w:val="Normal"/>
    <w:uiPriority w:val="99"/>
    <w:rsid w:val="00867BC6"/>
    <w:pPr>
      <w:autoSpaceDE w:val="0"/>
      <w:autoSpaceDN w:val="0"/>
      <w:adjustRightInd w:val="0"/>
      <w:spacing w:after="0" w:line="240" w:lineRule="auto"/>
    </w:pPr>
    <w:rPr>
      <w:rFonts w:ascii="EUAlbertina" w:eastAsia="Times New Roman" w:hAnsi="EUAlbertina" w:cs="Times New Roman"/>
      <w:sz w:val="24"/>
      <w:szCs w:val="24"/>
    </w:rPr>
  </w:style>
  <w:style w:type="paragraph" w:styleId="BalloonText">
    <w:name w:val="Balloon Text"/>
    <w:basedOn w:val="Normal"/>
    <w:link w:val="BalloonTextChar"/>
    <w:uiPriority w:val="99"/>
    <w:semiHidden/>
    <w:unhideWhenUsed/>
    <w:rsid w:val="008F3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A3A"/>
    <w:rPr>
      <w:rFonts w:ascii="Segoe UI" w:hAnsi="Segoe UI" w:cs="Segoe UI"/>
      <w:sz w:val="18"/>
      <w:szCs w:val="18"/>
    </w:rPr>
  </w:style>
  <w:style w:type="paragraph" w:styleId="NormalWeb">
    <w:name w:val="Normal (Web)"/>
    <w:basedOn w:val="Normal"/>
    <w:link w:val="NormalWebChar"/>
    <w:uiPriority w:val="99"/>
    <w:rsid w:val="0017164A"/>
    <w:pPr>
      <w:spacing w:after="0" w:line="240" w:lineRule="auto"/>
      <w:ind w:firstLine="567"/>
      <w:jc w:val="both"/>
    </w:pPr>
    <w:rPr>
      <w:rFonts w:ascii="Times New Roman" w:eastAsia="Times New Roman" w:hAnsi="Times New Roman" w:cs="Times New Roman"/>
      <w:sz w:val="24"/>
      <w:szCs w:val="24"/>
      <w:lang w:val="ru-RU" w:eastAsia="ru-RU" w:bidi="or-IN"/>
    </w:rPr>
  </w:style>
  <w:style w:type="character" w:customStyle="1" w:styleId="NormalWebChar">
    <w:name w:val="Normal (Web) Char"/>
    <w:link w:val="NormalWeb"/>
    <w:uiPriority w:val="99"/>
    <w:rsid w:val="0017164A"/>
    <w:rPr>
      <w:rFonts w:ascii="Times New Roman" w:eastAsia="Times New Roman" w:hAnsi="Times New Roman" w:cs="Times New Roman"/>
      <w:sz w:val="24"/>
      <w:szCs w:val="24"/>
      <w:lang w:val="ru-RU" w:eastAsia="ru-RU" w:bidi="or-IN"/>
    </w:rPr>
  </w:style>
  <w:style w:type="character" w:styleId="Hyperlink">
    <w:name w:val="Hyperlink"/>
    <w:uiPriority w:val="99"/>
    <w:rsid w:val="002327B0"/>
    <w:rPr>
      <w:color w:val="0000FF"/>
      <w:u w:val="single"/>
    </w:rPr>
  </w:style>
  <w:style w:type="character" w:customStyle="1" w:styleId="superscript">
    <w:name w:val="superscript"/>
    <w:rsid w:val="002327B0"/>
    <w:rPr>
      <w:sz w:val="17"/>
      <w:szCs w:val="17"/>
      <w:vertAlign w:val="superscript"/>
    </w:rPr>
  </w:style>
  <w:style w:type="paragraph" w:customStyle="1" w:styleId="CM1">
    <w:name w:val="CM1"/>
    <w:basedOn w:val="Normal"/>
    <w:next w:val="Normal"/>
    <w:uiPriority w:val="99"/>
    <w:rsid w:val="00B571EB"/>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title-article-norm">
    <w:name w:val="title-article-norm"/>
    <w:basedOn w:val="Normal"/>
    <w:rsid w:val="00603D0B"/>
    <w:pPr>
      <w:spacing w:before="240" w:after="120" w:line="240" w:lineRule="auto"/>
      <w:jc w:val="center"/>
    </w:pPr>
    <w:rPr>
      <w:rFonts w:ascii="Times New Roman" w:eastAsia="Times New Roman" w:hAnsi="Times New Roman" w:cs="Times New Roman"/>
      <w:i/>
      <w:iCs/>
      <w:sz w:val="24"/>
      <w:szCs w:val="24"/>
    </w:rPr>
  </w:style>
  <w:style w:type="paragraph" w:customStyle="1" w:styleId="ti-art">
    <w:name w:val="ti-art"/>
    <w:basedOn w:val="Normal"/>
    <w:rsid w:val="00603D0B"/>
    <w:pPr>
      <w:spacing w:before="360" w:after="120" w:line="240" w:lineRule="auto"/>
      <w:jc w:val="center"/>
    </w:pPr>
    <w:rPr>
      <w:rFonts w:ascii="Times New Roman" w:eastAsia="Times New Roman" w:hAnsi="Times New Roman" w:cs="Times New Roman"/>
      <w:i/>
      <w:iCs/>
      <w:sz w:val="24"/>
      <w:szCs w:val="24"/>
    </w:rPr>
  </w:style>
  <w:style w:type="paragraph" w:customStyle="1" w:styleId="ti-section-1">
    <w:name w:val="ti-section-1"/>
    <w:basedOn w:val="Normal"/>
    <w:rsid w:val="000A31C9"/>
    <w:pPr>
      <w:spacing w:before="480" w:after="0" w:line="240" w:lineRule="auto"/>
      <w:jc w:val="center"/>
    </w:pPr>
    <w:rPr>
      <w:rFonts w:ascii="Times New Roman" w:eastAsia="Times New Roman" w:hAnsi="Times New Roman" w:cs="Times New Roman"/>
      <w:b/>
      <w:bCs/>
      <w:sz w:val="24"/>
      <w:szCs w:val="24"/>
    </w:rPr>
  </w:style>
  <w:style w:type="character" w:customStyle="1" w:styleId="bold">
    <w:name w:val="bold"/>
    <w:rsid w:val="000A31C9"/>
    <w:rPr>
      <w:b/>
      <w:bCs/>
    </w:rPr>
  </w:style>
  <w:style w:type="paragraph" w:customStyle="1" w:styleId="CM44">
    <w:name w:val="CM4+4"/>
    <w:basedOn w:val="Normal"/>
    <w:next w:val="Normal"/>
    <w:uiPriority w:val="99"/>
    <w:rsid w:val="000A31C9"/>
    <w:pPr>
      <w:autoSpaceDE w:val="0"/>
      <w:autoSpaceDN w:val="0"/>
      <w:adjustRightInd w:val="0"/>
      <w:spacing w:after="0" w:line="240" w:lineRule="auto"/>
    </w:pPr>
    <w:rPr>
      <w:rFonts w:ascii="EUAlbertina" w:eastAsia="Calibri" w:hAnsi="EUAlbertina" w:cs="Times New Roman"/>
      <w:sz w:val="24"/>
      <w:szCs w:val="24"/>
    </w:rPr>
  </w:style>
  <w:style w:type="paragraph" w:customStyle="1" w:styleId="sti-art">
    <w:name w:val="sti-art"/>
    <w:basedOn w:val="Normal"/>
    <w:rsid w:val="002C15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C15C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5151C"/>
    <w:rPr>
      <w:sz w:val="16"/>
      <w:szCs w:val="16"/>
    </w:rPr>
  </w:style>
  <w:style w:type="paragraph" w:styleId="CommentText">
    <w:name w:val="annotation text"/>
    <w:basedOn w:val="Normal"/>
    <w:link w:val="CommentTextChar"/>
    <w:uiPriority w:val="99"/>
    <w:unhideWhenUsed/>
    <w:rsid w:val="0085151C"/>
    <w:pPr>
      <w:spacing w:line="240" w:lineRule="auto"/>
    </w:pPr>
    <w:rPr>
      <w:sz w:val="20"/>
      <w:szCs w:val="20"/>
    </w:rPr>
  </w:style>
  <w:style w:type="character" w:customStyle="1" w:styleId="CommentTextChar">
    <w:name w:val="Comment Text Char"/>
    <w:basedOn w:val="DefaultParagraphFont"/>
    <w:link w:val="CommentText"/>
    <w:uiPriority w:val="99"/>
    <w:rsid w:val="0085151C"/>
    <w:rPr>
      <w:sz w:val="20"/>
      <w:szCs w:val="20"/>
    </w:rPr>
  </w:style>
  <w:style w:type="paragraph" w:styleId="CommentSubject">
    <w:name w:val="annotation subject"/>
    <w:basedOn w:val="CommentText"/>
    <w:next w:val="CommentText"/>
    <w:link w:val="CommentSubjectChar"/>
    <w:uiPriority w:val="99"/>
    <w:semiHidden/>
    <w:unhideWhenUsed/>
    <w:rsid w:val="0085151C"/>
    <w:rPr>
      <w:b/>
      <w:bCs/>
    </w:rPr>
  </w:style>
  <w:style w:type="character" w:customStyle="1" w:styleId="CommentSubjectChar">
    <w:name w:val="Comment Subject Char"/>
    <w:basedOn w:val="CommentTextChar"/>
    <w:link w:val="CommentSubject"/>
    <w:uiPriority w:val="99"/>
    <w:semiHidden/>
    <w:rsid w:val="0085151C"/>
    <w:rPr>
      <w:b/>
      <w:bCs/>
      <w:sz w:val="20"/>
      <w:szCs w:val="20"/>
    </w:rPr>
  </w:style>
  <w:style w:type="paragraph" w:customStyle="1" w:styleId="Normal2">
    <w:name w:val="Normal2"/>
    <w:basedOn w:val="Normal"/>
    <w:rsid w:val="00DE36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5939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D310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585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1F72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CA55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CA5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DefaultParagraphFont"/>
    <w:rsid w:val="008011AD"/>
  </w:style>
  <w:style w:type="paragraph" w:styleId="Revision">
    <w:name w:val="Revision"/>
    <w:hidden/>
    <w:uiPriority w:val="99"/>
    <w:semiHidden/>
    <w:rsid w:val="008011AD"/>
    <w:pPr>
      <w:spacing w:after="0" w:line="240" w:lineRule="auto"/>
    </w:pPr>
  </w:style>
  <w:style w:type="paragraph" w:customStyle="1" w:styleId="List1">
    <w:name w:val="List1"/>
    <w:basedOn w:val="Normal"/>
    <w:rsid w:val="00972C9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0208B8"/>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208B8"/>
    <w:pPr>
      <w:autoSpaceDE w:val="0"/>
      <w:autoSpaceDN w:val="0"/>
      <w:spacing w:before="240" w:after="0" w:line="240" w:lineRule="auto"/>
      <w:ind w:firstLine="720"/>
      <w:jc w:val="both"/>
    </w:pPr>
    <w:rPr>
      <w:rFonts w:ascii="Times New Roman" w:eastAsia="Times New Roman" w:hAnsi="Times New Roman" w:cs="Times New Roman"/>
      <w:sz w:val="28"/>
      <w:szCs w:val="28"/>
      <w:lang w:val="ru-RU"/>
    </w:rPr>
  </w:style>
  <w:style w:type="character" w:customStyle="1" w:styleId="BodyTextIndentChar">
    <w:name w:val="Body Text Indent Char"/>
    <w:basedOn w:val="DefaultParagraphFont"/>
    <w:link w:val="BodyTextIndent"/>
    <w:rsid w:val="000208B8"/>
    <w:rPr>
      <w:rFonts w:ascii="Times New Roman" w:eastAsia="Times New Roman" w:hAnsi="Times New Roman" w:cs="Times New Roman"/>
      <w:sz w:val="28"/>
      <w:szCs w:val="28"/>
      <w:lang w:val="ru-RU"/>
    </w:rPr>
  </w:style>
  <w:style w:type="paragraph" w:styleId="BodyTextIndent2">
    <w:name w:val="Body Text Indent 2"/>
    <w:basedOn w:val="Normal"/>
    <w:link w:val="BodyTextIndent2Char"/>
    <w:rsid w:val="000208B8"/>
    <w:pPr>
      <w:spacing w:after="120" w:line="480" w:lineRule="auto"/>
      <w:ind w:left="283"/>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0208B8"/>
    <w:rPr>
      <w:rFonts w:ascii="Times New Roman" w:eastAsia="Times New Roman" w:hAnsi="Times New Roman" w:cs="Times New Roman"/>
      <w:sz w:val="24"/>
      <w:szCs w:val="24"/>
      <w:lang w:val="ru-RU" w:eastAsia="ru-RU"/>
    </w:rPr>
  </w:style>
  <w:style w:type="character" w:customStyle="1" w:styleId="FootnoteTextChar">
    <w:name w:val="Footnote Text Char"/>
    <w:basedOn w:val="DefaultParagraphFont"/>
    <w:link w:val="FootnoteText"/>
    <w:semiHidden/>
    <w:rsid w:val="000208B8"/>
    <w:rPr>
      <w:rFonts w:ascii="Times New Roman" w:eastAsia="Times New Roman" w:hAnsi="Times New Roman" w:cs="Times New Roman"/>
      <w:sz w:val="20"/>
      <w:szCs w:val="20"/>
      <w:lang w:val="ro-RO"/>
    </w:rPr>
  </w:style>
  <w:style w:type="paragraph" w:styleId="FootnoteText">
    <w:name w:val="footnote text"/>
    <w:basedOn w:val="Normal"/>
    <w:link w:val="FootnoteTextChar"/>
    <w:semiHidden/>
    <w:rsid w:val="000208B8"/>
    <w:pPr>
      <w:spacing w:after="0" w:line="240" w:lineRule="auto"/>
      <w:jc w:val="both"/>
    </w:pPr>
    <w:rPr>
      <w:rFonts w:ascii="Times New Roman" w:eastAsia="Times New Roman" w:hAnsi="Times New Roman" w:cs="Times New Roman"/>
      <w:sz w:val="20"/>
      <w:szCs w:val="20"/>
      <w:lang w:val="ro-RO"/>
    </w:rPr>
  </w:style>
  <w:style w:type="paragraph" w:styleId="BodyTextIndent3">
    <w:name w:val="Body Text Indent 3"/>
    <w:basedOn w:val="Normal"/>
    <w:link w:val="BodyTextIndent3Char"/>
    <w:rsid w:val="000208B8"/>
    <w:pPr>
      <w:spacing w:after="120" w:line="240" w:lineRule="auto"/>
      <w:ind w:left="283"/>
    </w:pPr>
    <w:rPr>
      <w:rFonts w:ascii="Times New Roman" w:eastAsia="Times New Roman" w:hAnsi="Times New Roman" w:cs="Times New Roman"/>
      <w:sz w:val="16"/>
      <w:szCs w:val="16"/>
      <w:lang w:val="ru-RU" w:eastAsia="ru-RU"/>
    </w:rPr>
  </w:style>
  <w:style w:type="character" w:customStyle="1" w:styleId="BodyTextIndent3Char">
    <w:name w:val="Body Text Indent 3 Char"/>
    <w:basedOn w:val="DefaultParagraphFont"/>
    <w:link w:val="BodyTextIndent3"/>
    <w:rsid w:val="000208B8"/>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0208B8"/>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0208B8"/>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0208B8"/>
  </w:style>
  <w:style w:type="paragraph" w:customStyle="1" w:styleId="cp">
    <w:name w:val="cp"/>
    <w:basedOn w:val="Normal"/>
    <w:rsid w:val="000208B8"/>
    <w:pPr>
      <w:spacing w:after="0" w:line="240" w:lineRule="auto"/>
      <w:jc w:val="center"/>
    </w:pPr>
    <w:rPr>
      <w:rFonts w:ascii="Times New Roman" w:eastAsia="Times New Roman" w:hAnsi="Times New Roman" w:cs="Times New Roman"/>
      <w:b/>
      <w:bCs/>
      <w:sz w:val="24"/>
      <w:szCs w:val="24"/>
      <w:lang w:val="ru-RU" w:eastAsia="ru-RU" w:bidi="or-IN"/>
    </w:rPr>
  </w:style>
  <w:style w:type="paragraph" w:customStyle="1" w:styleId="md">
    <w:name w:val="md"/>
    <w:basedOn w:val="Normal"/>
    <w:rsid w:val="000208B8"/>
    <w:pPr>
      <w:spacing w:after="0" w:line="240" w:lineRule="auto"/>
      <w:ind w:firstLine="567"/>
      <w:jc w:val="both"/>
    </w:pPr>
    <w:rPr>
      <w:rFonts w:ascii="Times New Roman" w:eastAsia="Times New Roman" w:hAnsi="Times New Roman" w:cs="Times New Roman"/>
      <w:i/>
      <w:iCs/>
      <w:color w:val="663300"/>
      <w:sz w:val="20"/>
      <w:szCs w:val="20"/>
      <w:lang w:val="ru-RU" w:eastAsia="ru-RU" w:bidi="or-IN"/>
    </w:rPr>
  </w:style>
  <w:style w:type="paragraph" w:styleId="BodyText3">
    <w:name w:val="Body Text 3"/>
    <w:basedOn w:val="Normal"/>
    <w:link w:val="BodyText3Char"/>
    <w:rsid w:val="000208B8"/>
    <w:pPr>
      <w:spacing w:after="120" w:line="240" w:lineRule="auto"/>
    </w:pPr>
    <w:rPr>
      <w:rFonts w:ascii="Times New Roman" w:eastAsia="Times New Roman" w:hAnsi="Times New Roman" w:cs="Times New Roman"/>
      <w:sz w:val="16"/>
      <w:szCs w:val="16"/>
      <w:lang w:val="ru-RU" w:eastAsia="ru-RU"/>
    </w:rPr>
  </w:style>
  <w:style w:type="character" w:customStyle="1" w:styleId="BodyText3Char">
    <w:name w:val="Body Text 3 Char"/>
    <w:basedOn w:val="DefaultParagraphFont"/>
    <w:link w:val="BodyText3"/>
    <w:rsid w:val="000208B8"/>
    <w:rPr>
      <w:rFonts w:ascii="Times New Roman" w:eastAsia="Times New Roman" w:hAnsi="Times New Roman" w:cs="Times New Roman"/>
      <w:sz w:val="16"/>
      <w:szCs w:val="16"/>
      <w:lang w:val="ru-RU" w:eastAsia="ru-RU"/>
    </w:rPr>
  </w:style>
  <w:style w:type="character" w:styleId="Strong">
    <w:name w:val="Strong"/>
    <w:qFormat/>
    <w:rsid w:val="000208B8"/>
    <w:rPr>
      <w:b/>
      <w:bCs/>
    </w:rPr>
  </w:style>
  <w:style w:type="character" w:customStyle="1" w:styleId="a">
    <w:name w:val="a"/>
    <w:basedOn w:val="DefaultParagraphFont"/>
    <w:rsid w:val="000208B8"/>
  </w:style>
  <w:style w:type="paragraph" w:customStyle="1" w:styleId="cb">
    <w:name w:val="cb"/>
    <w:basedOn w:val="Normal"/>
    <w:rsid w:val="000208B8"/>
    <w:pPr>
      <w:spacing w:after="0" w:line="240" w:lineRule="auto"/>
      <w:jc w:val="center"/>
    </w:pPr>
    <w:rPr>
      <w:rFonts w:ascii="Times New Roman" w:eastAsia="Times New Roman" w:hAnsi="Times New Roman" w:cs="Times New Roman"/>
      <w:b/>
      <w:bCs/>
      <w:sz w:val="24"/>
      <w:szCs w:val="24"/>
      <w:lang w:val="ru-RU" w:eastAsia="ru-RU" w:bidi="or-IN"/>
    </w:rPr>
  </w:style>
  <w:style w:type="paragraph" w:customStyle="1" w:styleId="cn">
    <w:name w:val="cn"/>
    <w:basedOn w:val="Normal"/>
    <w:rsid w:val="000208B8"/>
    <w:pPr>
      <w:spacing w:after="0" w:line="240" w:lineRule="auto"/>
      <w:jc w:val="center"/>
    </w:pPr>
    <w:rPr>
      <w:rFonts w:ascii="Times New Roman" w:eastAsia="Times New Roman" w:hAnsi="Times New Roman" w:cs="Times New Roman"/>
      <w:sz w:val="24"/>
      <w:szCs w:val="24"/>
      <w:lang w:val="ru-RU" w:eastAsia="ru-RU" w:bidi="or-IN"/>
    </w:rPr>
  </w:style>
  <w:style w:type="paragraph" w:customStyle="1" w:styleId="a0">
    <w:name w:val="Знак"/>
    <w:basedOn w:val="Normal"/>
    <w:rsid w:val="000208B8"/>
    <w:pPr>
      <w:spacing w:line="240" w:lineRule="exact"/>
    </w:pPr>
    <w:rPr>
      <w:rFonts w:ascii="Arial" w:eastAsia="Batang" w:hAnsi="Arial" w:cs="Arial"/>
      <w:sz w:val="20"/>
      <w:szCs w:val="20"/>
    </w:rPr>
  </w:style>
  <w:style w:type="paragraph" w:styleId="BodyText">
    <w:name w:val="Body Text"/>
    <w:basedOn w:val="Normal"/>
    <w:link w:val="BodyTextChar"/>
    <w:rsid w:val="000208B8"/>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0208B8"/>
    <w:rPr>
      <w:rFonts w:ascii="Times New Roman" w:eastAsia="Times New Roman" w:hAnsi="Times New Roman" w:cs="Times New Roman"/>
      <w:sz w:val="24"/>
      <w:szCs w:val="24"/>
      <w:lang w:val="ru-RU" w:eastAsia="ru-RU"/>
    </w:rPr>
  </w:style>
  <w:style w:type="paragraph" w:styleId="HTMLPreformatted">
    <w:name w:val="HTML Preformatted"/>
    <w:basedOn w:val="Normal"/>
    <w:link w:val="HTMLPreformattedChar"/>
    <w:rsid w:val="00020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bidi="or-IN"/>
    </w:rPr>
  </w:style>
  <w:style w:type="character" w:customStyle="1" w:styleId="HTMLPreformattedChar">
    <w:name w:val="HTML Preformatted Char"/>
    <w:basedOn w:val="DefaultParagraphFont"/>
    <w:link w:val="HTMLPreformatted"/>
    <w:rsid w:val="000208B8"/>
    <w:rPr>
      <w:rFonts w:ascii="Courier New" w:eastAsia="Times New Roman" w:hAnsi="Courier New" w:cs="Courier New"/>
      <w:sz w:val="20"/>
      <w:szCs w:val="20"/>
      <w:lang w:val="ru-RU" w:eastAsia="ru-RU" w:bidi="or-IN"/>
    </w:rPr>
  </w:style>
  <w:style w:type="character" w:styleId="PageNumber">
    <w:name w:val="page number"/>
    <w:basedOn w:val="DefaultParagraphFont"/>
    <w:rsid w:val="000208B8"/>
  </w:style>
  <w:style w:type="paragraph" w:customStyle="1" w:styleId="a1">
    <w:name w:val="Знак Знак"/>
    <w:basedOn w:val="Normal"/>
    <w:next w:val="Normal"/>
    <w:rsid w:val="000208B8"/>
    <w:pPr>
      <w:spacing w:line="240" w:lineRule="exact"/>
    </w:pPr>
    <w:rPr>
      <w:rFonts w:ascii="Tahoma" w:eastAsia="Times New Roman" w:hAnsi="Tahoma" w:cs="Times New Roman"/>
      <w:sz w:val="24"/>
      <w:szCs w:val="20"/>
    </w:rPr>
  </w:style>
  <w:style w:type="paragraph" w:customStyle="1" w:styleId="CM3">
    <w:name w:val="CM3"/>
    <w:basedOn w:val="Normal"/>
    <w:next w:val="Normal"/>
    <w:uiPriority w:val="99"/>
    <w:rsid w:val="000208B8"/>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Default">
    <w:name w:val="Default"/>
    <w:rsid w:val="000208B8"/>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har">
    <w:name w:val="Char"/>
    <w:basedOn w:val="Normal"/>
    <w:next w:val="Normal"/>
    <w:rsid w:val="000208B8"/>
    <w:pPr>
      <w:spacing w:line="240" w:lineRule="exact"/>
    </w:pPr>
    <w:rPr>
      <w:rFonts w:ascii="Tahoma" w:eastAsia="Times New Roman" w:hAnsi="Tahoma" w:cs="Times New Roman"/>
      <w:sz w:val="24"/>
      <w:szCs w:val="20"/>
    </w:rPr>
  </w:style>
  <w:style w:type="paragraph" w:customStyle="1" w:styleId="js">
    <w:name w:val="js"/>
    <w:basedOn w:val="Normal"/>
    <w:rsid w:val="000208B8"/>
    <w:pPr>
      <w:spacing w:after="0" w:line="240" w:lineRule="auto"/>
      <w:jc w:val="both"/>
    </w:pPr>
    <w:rPr>
      <w:rFonts w:ascii="Times New Roman" w:eastAsia="Times New Roman" w:hAnsi="Times New Roman" w:cs="Times New Roman"/>
      <w:sz w:val="24"/>
      <w:szCs w:val="24"/>
      <w:lang w:val="ru-RU" w:eastAsia="ru-RU" w:bidi="or-IN"/>
    </w:rPr>
  </w:style>
  <w:style w:type="character" w:customStyle="1" w:styleId="ln2talineat">
    <w:name w:val="ln2talineat"/>
    <w:rsid w:val="000208B8"/>
    <w:rPr>
      <w:rFonts w:cs="Times New Roman"/>
    </w:rPr>
  </w:style>
  <w:style w:type="character" w:customStyle="1" w:styleId="actcpt">
    <w:name w:val="act_cpt"/>
    <w:rsid w:val="000208B8"/>
    <w:rPr>
      <w:rFonts w:cs="Times New Roman"/>
    </w:rPr>
  </w:style>
  <w:style w:type="character" w:customStyle="1" w:styleId="acttart">
    <w:name w:val="act_tart"/>
    <w:rsid w:val="000208B8"/>
    <w:rPr>
      <w:rFonts w:cs="Times New Roman"/>
    </w:rPr>
  </w:style>
  <w:style w:type="character" w:customStyle="1" w:styleId="acttsct">
    <w:name w:val="act_tsct"/>
    <w:rsid w:val="000208B8"/>
    <w:rPr>
      <w:rFonts w:cs="Times New Roman"/>
    </w:rPr>
  </w:style>
  <w:style w:type="character" w:customStyle="1" w:styleId="acttalineat">
    <w:name w:val="act_talineat"/>
    <w:rsid w:val="000208B8"/>
    <w:rPr>
      <w:rFonts w:cs="Times New Roman"/>
    </w:rPr>
  </w:style>
  <w:style w:type="character" w:customStyle="1" w:styleId="actsct">
    <w:name w:val="act_sct"/>
    <w:rsid w:val="000208B8"/>
    <w:rPr>
      <w:rFonts w:cs="Times New Roman"/>
    </w:rPr>
  </w:style>
  <w:style w:type="character" w:customStyle="1" w:styleId="ln2tarticol">
    <w:name w:val="ln2tarticol"/>
    <w:rsid w:val="000208B8"/>
    <w:rPr>
      <w:rFonts w:cs="Times New Roman"/>
    </w:rPr>
  </w:style>
  <w:style w:type="character" w:customStyle="1" w:styleId="acttpunct">
    <w:name w:val="act_tpunct"/>
    <w:rsid w:val="000208B8"/>
    <w:rPr>
      <w:rFonts w:cs="Times New Roman"/>
    </w:rPr>
  </w:style>
  <w:style w:type="character" w:customStyle="1" w:styleId="ln2articol">
    <w:name w:val="ln2articol"/>
    <w:rsid w:val="000208B8"/>
    <w:rPr>
      <w:rFonts w:cs="Times New Roman"/>
    </w:rPr>
  </w:style>
  <w:style w:type="character" w:customStyle="1" w:styleId="ln2tlitera">
    <w:name w:val="ln2tlitera"/>
    <w:rsid w:val="000208B8"/>
    <w:rPr>
      <w:rFonts w:cs="Times New Roman"/>
    </w:rPr>
  </w:style>
  <w:style w:type="character" w:customStyle="1" w:styleId="ln2alineat">
    <w:name w:val="ln2alineat"/>
    <w:rsid w:val="000208B8"/>
    <w:rPr>
      <w:rFonts w:cs="Times New Roman"/>
    </w:rPr>
  </w:style>
  <w:style w:type="character" w:customStyle="1" w:styleId="actart">
    <w:name w:val="act_art"/>
    <w:rsid w:val="000208B8"/>
    <w:rPr>
      <w:rFonts w:cs="Times New Roman"/>
    </w:rPr>
  </w:style>
  <w:style w:type="character" w:customStyle="1" w:styleId="ln2litera">
    <w:name w:val="ln2litera"/>
    <w:rsid w:val="000208B8"/>
    <w:rPr>
      <w:rFonts w:cs="Times New Roman"/>
    </w:rPr>
  </w:style>
  <w:style w:type="character" w:customStyle="1" w:styleId="hps">
    <w:name w:val="hps"/>
    <w:rsid w:val="000208B8"/>
    <w:rPr>
      <w:rFonts w:cs="Times New Roman"/>
    </w:rPr>
  </w:style>
  <w:style w:type="paragraph" w:customStyle="1" w:styleId="title-division-12">
    <w:name w:val="title-division-12"/>
    <w:basedOn w:val="Normal"/>
    <w:rsid w:val="000208B8"/>
    <w:pPr>
      <w:spacing w:after="120" w:line="312" w:lineRule="atLeast"/>
      <w:jc w:val="center"/>
    </w:pPr>
    <w:rPr>
      <w:rFonts w:ascii="Times New Roman" w:eastAsia="Times New Roman" w:hAnsi="Times New Roman" w:cs="Times New Roman"/>
      <w:sz w:val="24"/>
      <w:szCs w:val="24"/>
    </w:rPr>
  </w:style>
  <w:style w:type="paragraph" w:customStyle="1" w:styleId="title-division-22">
    <w:name w:val="title-division-22"/>
    <w:basedOn w:val="Normal"/>
    <w:rsid w:val="000208B8"/>
    <w:pPr>
      <w:spacing w:after="120" w:line="312" w:lineRule="atLeast"/>
      <w:jc w:val="center"/>
    </w:pPr>
    <w:rPr>
      <w:rFonts w:ascii="Times New Roman" w:eastAsia="Times New Roman" w:hAnsi="Times New Roman" w:cs="Times New Roman"/>
      <w:b/>
      <w:bCs/>
      <w:sz w:val="24"/>
      <w:szCs w:val="24"/>
    </w:rPr>
  </w:style>
  <w:style w:type="paragraph" w:customStyle="1" w:styleId="CM42">
    <w:name w:val="CM4+2"/>
    <w:basedOn w:val="Default"/>
    <w:next w:val="Default"/>
    <w:uiPriority w:val="99"/>
    <w:rsid w:val="000208B8"/>
    <w:rPr>
      <w:rFonts w:eastAsiaTheme="minorHAnsi" w:cstheme="minorBidi"/>
      <w:color w:val="auto"/>
    </w:rPr>
  </w:style>
  <w:style w:type="paragraph" w:customStyle="1" w:styleId="Style49">
    <w:name w:val="Style49"/>
    <w:basedOn w:val="Normal"/>
    <w:uiPriority w:val="99"/>
    <w:rsid w:val="000208B8"/>
    <w:pPr>
      <w:widowControl w:val="0"/>
      <w:autoSpaceDE w:val="0"/>
      <w:autoSpaceDN w:val="0"/>
      <w:adjustRightInd w:val="0"/>
      <w:spacing w:after="0" w:line="213" w:lineRule="exact"/>
      <w:ind w:hanging="274"/>
      <w:jc w:val="both"/>
    </w:pPr>
    <w:rPr>
      <w:rFonts w:ascii="Book Antiqua" w:eastAsiaTheme="minorEastAsia" w:hAnsi="Book Antiqua"/>
      <w:sz w:val="24"/>
      <w:szCs w:val="24"/>
    </w:rPr>
  </w:style>
  <w:style w:type="character" w:customStyle="1" w:styleId="FontStyle164">
    <w:name w:val="Font Style164"/>
    <w:basedOn w:val="DefaultParagraphFont"/>
    <w:uiPriority w:val="99"/>
    <w:rsid w:val="000208B8"/>
    <w:rPr>
      <w:rFonts w:ascii="Book Antiqua" w:hAnsi="Book Antiqua" w:cs="Book Antiqua"/>
      <w:color w:val="000000"/>
      <w:sz w:val="16"/>
      <w:szCs w:val="16"/>
    </w:rPr>
  </w:style>
  <w:style w:type="paragraph" w:customStyle="1" w:styleId="Style5">
    <w:name w:val="Style5"/>
    <w:basedOn w:val="Normal"/>
    <w:uiPriority w:val="99"/>
    <w:rsid w:val="000208B8"/>
    <w:pPr>
      <w:widowControl w:val="0"/>
      <w:autoSpaceDE w:val="0"/>
      <w:autoSpaceDN w:val="0"/>
      <w:adjustRightInd w:val="0"/>
      <w:spacing w:after="0" w:line="240" w:lineRule="auto"/>
    </w:pPr>
    <w:rPr>
      <w:rFonts w:ascii="Book Antiqua" w:eastAsiaTheme="minorEastAsia" w:hAnsi="Book Antiqua"/>
      <w:sz w:val="24"/>
      <w:szCs w:val="24"/>
    </w:rPr>
  </w:style>
  <w:style w:type="paragraph" w:customStyle="1" w:styleId="Style32">
    <w:name w:val="Style32"/>
    <w:basedOn w:val="Normal"/>
    <w:uiPriority w:val="99"/>
    <w:rsid w:val="000208B8"/>
    <w:pPr>
      <w:widowControl w:val="0"/>
      <w:autoSpaceDE w:val="0"/>
      <w:autoSpaceDN w:val="0"/>
      <w:adjustRightInd w:val="0"/>
      <w:spacing w:after="0" w:line="216" w:lineRule="exact"/>
      <w:jc w:val="both"/>
    </w:pPr>
    <w:rPr>
      <w:rFonts w:ascii="Book Antiqua" w:eastAsiaTheme="minorEastAsia" w:hAnsi="Book Antiqua"/>
      <w:sz w:val="24"/>
      <w:szCs w:val="24"/>
    </w:rPr>
  </w:style>
  <w:style w:type="character" w:customStyle="1" w:styleId="FontStyle158">
    <w:name w:val="Font Style158"/>
    <w:basedOn w:val="DefaultParagraphFont"/>
    <w:uiPriority w:val="99"/>
    <w:rsid w:val="000208B8"/>
    <w:rPr>
      <w:rFonts w:ascii="Book Antiqua" w:hAnsi="Book Antiqua" w:cs="Book Antiqua"/>
      <w:b/>
      <w:bCs/>
      <w:color w:val="000000"/>
      <w:sz w:val="16"/>
      <w:szCs w:val="16"/>
    </w:rPr>
  </w:style>
  <w:style w:type="character" w:customStyle="1" w:styleId="FontStyle163">
    <w:name w:val="Font Style163"/>
    <w:basedOn w:val="DefaultParagraphFont"/>
    <w:uiPriority w:val="99"/>
    <w:rsid w:val="000208B8"/>
    <w:rPr>
      <w:rFonts w:ascii="Book Antiqua" w:hAnsi="Book Antiqua" w:cs="Book Antiqua"/>
      <w:i/>
      <w:iCs/>
      <w:color w:val="000000"/>
      <w:sz w:val="16"/>
      <w:szCs w:val="16"/>
    </w:rPr>
  </w:style>
  <w:style w:type="character" w:customStyle="1" w:styleId="subscript">
    <w:name w:val="subscript"/>
    <w:basedOn w:val="DefaultParagraphFont"/>
    <w:rsid w:val="000208B8"/>
  </w:style>
  <w:style w:type="character" w:customStyle="1" w:styleId="apple-converted-space">
    <w:name w:val="apple-converted-space"/>
    <w:basedOn w:val="DefaultParagraphFont"/>
    <w:rsid w:val="000208B8"/>
  </w:style>
  <w:style w:type="paragraph" w:customStyle="1" w:styleId="Style44">
    <w:name w:val="Style44"/>
    <w:basedOn w:val="Normal"/>
    <w:uiPriority w:val="99"/>
    <w:rsid w:val="000208B8"/>
    <w:pPr>
      <w:widowControl w:val="0"/>
      <w:autoSpaceDE w:val="0"/>
      <w:autoSpaceDN w:val="0"/>
      <w:adjustRightInd w:val="0"/>
      <w:spacing w:after="0" w:line="168" w:lineRule="exact"/>
      <w:jc w:val="center"/>
    </w:pPr>
    <w:rPr>
      <w:rFonts w:ascii="Book Antiqua" w:eastAsiaTheme="minorEastAsia" w:hAnsi="Book Antiqua"/>
      <w:sz w:val="24"/>
      <w:szCs w:val="24"/>
    </w:rPr>
  </w:style>
  <w:style w:type="paragraph" w:customStyle="1" w:styleId="Style58">
    <w:name w:val="Style58"/>
    <w:basedOn w:val="Normal"/>
    <w:uiPriority w:val="99"/>
    <w:rsid w:val="000208B8"/>
    <w:pPr>
      <w:widowControl w:val="0"/>
      <w:autoSpaceDE w:val="0"/>
      <w:autoSpaceDN w:val="0"/>
      <w:adjustRightInd w:val="0"/>
      <w:spacing w:after="0" w:line="240" w:lineRule="auto"/>
    </w:pPr>
    <w:rPr>
      <w:rFonts w:ascii="Book Antiqua" w:eastAsiaTheme="minorEastAsia" w:hAnsi="Book Antiqua"/>
      <w:sz w:val="24"/>
      <w:szCs w:val="24"/>
    </w:rPr>
  </w:style>
  <w:style w:type="paragraph" w:customStyle="1" w:styleId="Style82">
    <w:name w:val="Style82"/>
    <w:basedOn w:val="Normal"/>
    <w:uiPriority w:val="99"/>
    <w:rsid w:val="000208B8"/>
    <w:pPr>
      <w:widowControl w:val="0"/>
      <w:autoSpaceDE w:val="0"/>
      <w:autoSpaceDN w:val="0"/>
      <w:adjustRightInd w:val="0"/>
      <w:spacing w:after="0" w:line="192" w:lineRule="exact"/>
      <w:jc w:val="both"/>
    </w:pPr>
    <w:rPr>
      <w:rFonts w:ascii="Book Antiqua" w:eastAsiaTheme="minorEastAsia" w:hAnsi="Book Antiqua"/>
      <w:sz w:val="24"/>
      <w:szCs w:val="24"/>
    </w:rPr>
  </w:style>
  <w:style w:type="character" w:customStyle="1" w:styleId="FontStyle159">
    <w:name w:val="Font Style159"/>
    <w:basedOn w:val="DefaultParagraphFont"/>
    <w:uiPriority w:val="99"/>
    <w:rsid w:val="000208B8"/>
    <w:rPr>
      <w:rFonts w:ascii="Book Antiqua" w:hAnsi="Book Antiqua" w:cs="Book Antiqua"/>
      <w:color w:val="000000"/>
      <w:sz w:val="14"/>
      <w:szCs w:val="14"/>
    </w:rPr>
  </w:style>
  <w:style w:type="character" w:customStyle="1" w:styleId="FontStyle169">
    <w:name w:val="Font Style169"/>
    <w:basedOn w:val="DefaultParagraphFont"/>
    <w:uiPriority w:val="99"/>
    <w:rsid w:val="000208B8"/>
    <w:rPr>
      <w:rFonts w:ascii="Book Antiqua" w:hAnsi="Book Antiqua" w:cs="Book Antiqua"/>
      <w:color w:val="000000"/>
      <w:sz w:val="12"/>
      <w:szCs w:val="12"/>
    </w:rPr>
  </w:style>
  <w:style w:type="paragraph" w:customStyle="1" w:styleId="Style69">
    <w:name w:val="Style69"/>
    <w:basedOn w:val="Normal"/>
    <w:uiPriority w:val="99"/>
    <w:rsid w:val="000208B8"/>
    <w:pPr>
      <w:widowControl w:val="0"/>
      <w:autoSpaceDE w:val="0"/>
      <w:autoSpaceDN w:val="0"/>
      <w:adjustRightInd w:val="0"/>
      <w:spacing w:after="0" w:line="192" w:lineRule="exact"/>
    </w:pPr>
    <w:rPr>
      <w:rFonts w:ascii="Book Antiqua" w:eastAsiaTheme="minorEastAsia" w:hAnsi="Book Antiqua"/>
      <w:sz w:val="24"/>
      <w:szCs w:val="24"/>
    </w:rPr>
  </w:style>
  <w:style w:type="paragraph" w:customStyle="1" w:styleId="Style95">
    <w:name w:val="Style95"/>
    <w:basedOn w:val="Normal"/>
    <w:uiPriority w:val="99"/>
    <w:rsid w:val="000208B8"/>
    <w:pPr>
      <w:widowControl w:val="0"/>
      <w:autoSpaceDE w:val="0"/>
      <w:autoSpaceDN w:val="0"/>
      <w:adjustRightInd w:val="0"/>
      <w:spacing w:after="0" w:line="240" w:lineRule="auto"/>
      <w:jc w:val="right"/>
    </w:pPr>
    <w:rPr>
      <w:rFonts w:ascii="Book Antiqua" w:eastAsiaTheme="minorEastAsia" w:hAnsi="Book Antiqua"/>
      <w:sz w:val="24"/>
      <w:szCs w:val="24"/>
    </w:rPr>
  </w:style>
  <w:style w:type="paragraph" w:customStyle="1" w:styleId="Style92">
    <w:name w:val="Style92"/>
    <w:basedOn w:val="Normal"/>
    <w:uiPriority w:val="99"/>
    <w:rsid w:val="000208B8"/>
    <w:pPr>
      <w:widowControl w:val="0"/>
      <w:autoSpaceDE w:val="0"/>
      <w:autoSpaceDN w:val="0"/>
      <w:adjustRightInd w:val="0"/>
      <w:spacing w:after="0" w:line="170" w:lineRule="exact"/>
      <w:ind w:firstLine="106"/>
    </w:pPr>
    <w:rPr>
      <w:rFonts w:ascii="Book Antiqua" w:eastAsiaTheme="minorEastAsia" w:hAnsi="Book Antiqua"/>
      <w:sz w:val="24"/>
      <w:szCs w:val="24"/>
    </w:rPr>
  </w:style>
  <w:style w:type="paragraph" w:customStyle="1" w:styleId="Style99">
    <w:name w:val="Style99"/>
    <w:basedOn w:val="Normal"/>
    <w:uiPriority w:val="99"/>
    <w:rsid w:val="000208B8"/>
    <w:pPr>
      <w:widowControl w:val="0"/>
      <w:autoSpaceDE w:val="0"/>
      <w:autoSpaceDN w:val="0"/>
      <w:adjustRightInd w:val="0"/>
      <w:spacing w:after="0" w:line="170" w:lineRule="exact"/>
      <w:jc w:val="right"/>
    </w:pPr>
    <w:rPr>
      <w:rFonts w:ascii="Book Antiqua" w:eastAsiaTheme="minorEastAsia" w:hAnsi="Book Antiqua"/>
      <w:sz w:val="24"/>
      <w:szCs w:val="24"/>
    </w:rPr>
  </w:style>
  <w:style w:type="character" w:customStyle="1" w:styleId="italics">
    <w:name w:val="italics"/>
    <w:basedOn w:val="DefaultParagraphFont"/>
    <w:rsid w:val="000208B8"/>
  </w:style>
  <w:style w:type="paragraph" w:customStyle="1" w:styleId="Style79">
    <w:name w:val="Style79"/>
    <w:basedOn w:val="Normal"/>
    <w:uiPriority w:val="99"/>
    <w:rsid w:val="000208B8"/>
    <w:pPr>
      <w:widowControl w:val="0"/>
      <w:autoSpaceDE w:val="0"/>
      <w:autoSpaceDN w:val="0"/>
      <w:adjustRightInd w:val="0"/>
      <w:spacing w:after="0" w:line="170" w:lineRule="exact"/>
      <w:ind w:firstLine="48"/>
    </w:pPr>
    <w:rPr>
      <w:rFonts w:ascii="Book Antiqua" w:eastAsiaTheme="minorEastAsia" w:hAnsi="Book Antiqua" w:cs="Times New Roman"/>
      <w:sz w:val="24"/>
      <w:szCs w:val="24"/>
    </w:rPr>
  </w:style>
  <w:style w:type="character" w:customStyle="1" w:styleId="FontStyle161">
    <w:name w:val="Font Style161"/>
    <w:basedOn w:val="DefaultParagraphFont"/>
    <w:uiPriority w:val="99"/>
    <w:rsid w:val="000208B8"/>
    <w:rPr>
      <w:rFonts w:ascii="Book Antiqua" w:hAnsi="Book Antiqua" w:cs="Book Antiqua" w:hint="default"/>
      <w:i/>
      <w:iCs/>
      <w:color w:val="000000"/>
      <w:sz w:val="14"/>
      <w:szCs w:val="14"/>
    </w:rPr>
  </w:style>
  <w:style w:type="paragraph" w:customStyle="1" w:styleId="Style119">
    <w:name w:val="Style119"/>
    <w:basedOn w:val="Normal"/>
    <w:uiPriority w:val="99"/>
    <w:rsid w:val="000208B8"/>
    <w:pPr>
      <w:widowControl w:val="0"/>
      <w:autoSpaceDE w:val="0"/>
      <w:autoSpaceDN w:val="0"/>
      <w:adjustRightInd w:val="0"/>
      <w:spacing w:after="0" w:line="240" w:lineRule="auto"/>
    </w:pPr>
    <w:rPr>
      <w:rFonts w:ascii="Book Antiqua" w:eastAsiaTheme="minorEastAsia" w:hAnsi="Book Antiqua" w:cs="Times New Roman"/>
      <w:sz w:val="24"/>
      <w:szCs w:val="24"/>
    </w:rPr>
  </w:style>
  <w:style w:type="paragraph" w:customStyle="1" w:styleId="CM14">
    <w:name w:val="CM1+4"/>
    <w:basedOn w:val="Default"/>
    <w:next w:val="Default"/>
    <w:uiPriority w:val="99"/>
    <w:rsid w:val="000208B8"/>
    <w:rPr>
      <w:rFonts w:eastAsiaTheme="minorHAnsi" w:cstheme="minorBidi"/>
      <w:color w:val="auto"/>
    </w:rPr>
  </w:style>
  <w:style w:type="paragraph" w:customStyle="1" w:styleId="Style125">
    <w:name w:val="Style125"/>
    <w:basedOn w:val="Normal"/>
    <w:uiPriority w:val="99"/>
    <w:rsid w:val="000208B8"/>
    <w:pPr>
      <w:widowControl w:val="0"/>
      <w:autoSpaceDE w:val="0"/>
      <w:autoSpaceDN w:val="0"/>
      <w:adjustRightInd w:val="0"/>
      <w:spacing w:after="0" w:line="240" w:lineRule="auto"/>
    </w:pPr>
    <w:rPr>
      <w:rFonts w:ascii="Book Antiqua" w:eastAsiaTheme="minorEastAsia" w:hAnsi="Book Antiqua" w:cs="Times New Roman"/>
      <w:sz w:val="24"/>
      <w:szCs w:val="24"/>
    </w:rPr>
  </w:style>
  <w:style w:type="character" w:customStyle="1" w:styleId="FontStyle187">
    <w:name w:val="Font Style187"/>
    <w:basedOn w:val="DefaultParagraphFont"/>
    <w:uiPriority w:val="99"/>
    <w:rsid w:val="000208B8"/>
    <w:rPr>
      <w:rFonts w:ascii="Book Antiqua" w:hAnsi="Book Antiqua" w:cs="Book Antiqua"/>
      <w:color w:val="000000"/>
      <w:sz w:val="14"/>
      <w:szCs w:val="14"/>
    </w:rPr>
  </w:style>
  <w:style w:type="paragraph" w:customStyle="1" w:styleId="CM45">
    <w:name w:val="CM4+5"/>
    <w:basedOn w:val="Default"/>
    <w:next w:val="Default"/>
    <w:uiPriority w:val="99"/>
    <w:rsid w:val="000208B8"/>
    <w:rPr>
      <w:rFonts w:eastAsiaTheme="minorHAnsi" w:cstheme="minorBidi"/>
      <w:color w:val="auto"/>
    </w:rPr>
  </w:style>
  <w:style w:type="paragraph" w:customStyle="1" w:styleId="CM15">
    <w:name w:val="CM1+5"/>
    <w:basedOn w:val="Default"/>
    <w:next w:val="Default"/>
    <w:uiPriority w:val="99"/>
    <w:rsid w:val="000208B8"/>
    <w:rPr>
      <w:rFonts w:eastAsiaTheme="minorHAnsi" w:cstheme="minorBidi"/>
      <w:color w:val="auto"/>
    </w:rPr>
  </w:style>
  <w:style w:type="paragraph" w:customStyle="1" w:styleId="Style75">
    <w:name w:val="Style75"/>
    <w:basedOn w:val="Normal"/>
    <w:uiPriority w:val="99"/>
    <w:rsid w:val="000208B8"/>
    <w:pPr>
      <w:widowControl w:val="0"/>
      <w:autoSpaceDE w:val="0"/>
      <w:autoSpaceDN w:val="0"/>
      <w:adjustRightInd w:val="0"/>
      <w:spacing w:after="0" w:line="341" w:lineRule="exact"/>
      <w:jc w:val="center"/>
    </w:pPr>
    <w:rPr>
      <w:rFonts w:ascii="Book Antiqua" w:eastAsiaTheme="minorEastAsia" w:hAnsi="Book Antiqua"/>
      <w:sz w:val="24"/>
      <w:szCs w:val="24"/>
    </w:rPr>
  </w:style>
  <w:style w:type="paragraph" w:customStyle="1" w:styleId="Style78">
    <w:name w:val="Style78"/>
    <w:basedOn w:val="Normal"/>
    <w:uiPriority w:val="99"/>
    <w:rsid w:val="000208B8"/>
    <w:pPr>
      <w:widowControl w:val="0"/>
      <w:autoSpaceDE w:val="0"/>
      <w:autoSpaceDN w:val="0"/>
      <w:adjustRightInd w:val="0"/>
      <w:spacing w:after="0" w:line="240" w:lineRule="auto"/>
      <w:jc w:val="right"/>
    </w:pPr>
    <w:rPr>
      <w:rFonts w:ascii="Book Antiqua" w:eastAsiaTheme="minorEastAsia" w:hAnsi="Book Antiqua"/>
      <w:sz w:val="24"/>
      <w:szCs w:val="24"/>
    </w:rPr>
  </w:style>
  <w:style w:type="paragraph" w:customStyle="1" w:styleId="footnote-spec">
    <w:name w:val="footnote-spec"/>
    <w:basedOn w:val="Normal"/>
    <w:rsid w:val="000208B8"/>
    <w:pPr>
      <w:spacing w:before="60" w:after="0" w:line="240" w:lineRule="auto"/>
      <w:jc w:val="both"/>
    </w:pPr>
    <w:rPr>
      <w:rFonts w:ascii="Times New Roman" w:eastAsia="Times New Roman" w:hAnsi="Times New Roman" w:cs="Times New Roman"/>
      <w:sz w:val="24"/>
      <w:szCs w:val="24"/>
    </w:rPr>
  </w:style>
  <w:style w:type="paragraph" w:customStyle="1" w:styleId="title-division-1">
    <w:name w:val="title-division-1"/>
    <w:basedOn w:val="Normal"/>
    <w:rsid w:val="000208B8"/>
    <w:pPr>
      <w:spacing w:after="120" w:line="240" w:lineRule="auto"/>
      <w:jc w:val="center"/>
    </w:pPr>
    <w:rPr>
      <w:rFonts w:ascii="Times New Roman" w:eastAsia="Times New Roman" w:hAnsi="Times New Roman" w:cs="Times New Roman"/>
      <w:sz w:val="24"/>
      <w:szCs w:val="24"/>
    </w:rPr>
  </w:style>
  <w:style w:type="paragraph" w:customStyle="1" w:styleId="title-division-2">
    <w:name w:val="title-division-2"/>
    <w:basedOn w:val="Normal"/>
    <w:rsid w:val="000208B8"/>
    <w:pPr>
      <w:spacing w:after="120" w:line="240" w:lineRule="auto"/>
      <w:jc w:val="center"/>
    </w:pPr>
    <w:rPr>
      <w:rFonts w:ascii="Times New Roman" w:eastAsia="Times New Roman" w:hAnsi="Times New Roman" w:cs="Times New Roman"/>
      <w:b/>
      <w:bCs/>
      <w:sz w:val="24"/>
      <w:szCs w:val="24"/>
    </w:rPr>
  </w:style>
  <w:style w:type="paragraph" w:styleId="PlainText">
    <w:name w:val="Plain Text"/>
    <w:basedOn w:val="Normal"/>
    <w:link w:val="PlainTextChar"/>
    <w:rsid w:val="000208B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208B8"/>
    <w:rPr>
      <w:rFonts w:ascii="Courier New" w:eastAsia="Times New Roman" w:hAnsi="Courier New" w:cs="Courier New"/>
      <w:sz w:val="20"/>
      <w:szCs w:val="20"/>
    </w:rPr>
  </w:style>
  <w:style w:type="paragraph" w:customStyle="1" w:styleId="title-doc-first">
    <w:name w:val="title-doc-first"/>
    <w:basedOn w:val="Normal"/>
    <w:rsid w:val="000208B8"/>
    <w:pPr>
      <w:spacing w:before="120" w:after="0" w:line="240" w:lineRule="auto"/>
      <w:jc w:val="center"/>
    </w:pPr>
    <w:rPr>
      <w:rFonts w:ascii="Times New Roman" w:eastAsia="Times New Roman" w:hAnsi="Times New Roman" w:cs="Times New Roman"/>
      <w:b/>
      <w:bCs/>
      <w:sz w:val="24"/>
      <w:szCs w:val="24"/>
    </w:rPr>
  </w:style>
  <w:style w:type="paragraph" w:customStyle="1" w:styleId="toc-1">
    <w:name w:val="toc-1"/>
    <w:basedOn w:val="Normal"/>
    <w:rsid w:val="000208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center">
    <w:name w:val="container-center"/>
    <w:basedOn w:val="Normal"/>
    <w:rsid w:val="000208B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bl-norm">
    <w:name w:val="tbl-norm"/>
    <w:basedOn w:val="Normal"/>
    <w:rsid w:val="000208B8"/>
    <w:pPr>
      <w:spacing w:before="60" w:after="60" w:line="240" w:lineRule="auto"/>
      <w:jc w:val="both"/>
    </w:pPr>
    <w:rPr>
      <w:rFonts w:ascii="Times New Roman" w:eastAsia="Times New Roman" w:hAnsi="Times New Roman" w:cs="Times New Roman"/>
      <w:sz w:val="24"/>
      <w:szCs w:val="24"/>
    </w:rPr>
  </w:style>
  <w:style w:type="paragraph" w:customStyle="1" w:styleId="title-table">
    <w:name w:val="title-table"/>
    <w:basedOn w:val="Normal"/>
    <w:rsid w:val="000208B8"/>
    <w:pPr>
      <w:spacing w:after="120" w:line="240" w:lineRule="auto"/>
      <w:jc w:val="center"/>
    </w:pPr>
    <w:rPr>
      <w:rFonts w:ascii="Times New Roman" w:eastAsia="Times New Roman" w:hAnsi="Times New Roman" w:cs="Times New Roman"/>
      <w:b/>
      <w:bCs/>
      <w:sz w:val="24"/>
      <w:szCs w:val="24"/>
    </w:rPr>
  </w:style>
  <w:style w:type="paragraph" w:customStyle="1" w:styleId="msonormal0">
    <w:name w:val="msonormal"/>
    <w:basedOn w:val="Normal"/>
    <w:rsid w:val="000208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2">
    <w:name w:val="doc-ti2"/>
    <w:basedOn w:val="Normal"/>
    <w:rsid w:val="000208B8"/>
    <w:pPr>
      <w:spacing w:before="240" w:after="120" w:line="312" w:lineRule="atLeast"/>
      <w:jc w:val="center"/>
    </w:pPr>
    <w:rPr>
      <w:rFonts w:ascii="Times New Roman" w:eastAsia="Times New Roman" w:hAnsi="Times New Roman" w:cs="Times New Roman"/>
      <w:b/>
      <w:bCs/>
      <w:sz w:val="24"/>
      <w:szCs w:val="24"/>
    </w:rPr>
  </w:style>
  <w:style w:type="paragraph" w:customStyle="1" w:styleId="norm3">
    <w:name w:val="norm3"/>
    <w:basedOn w:val="Normal"/>
    <w:rsid w:val="00977E5E"/>
    <w:pPr>
      <w:spacing w:before="120" w:after="0" w:line="312" w:lineRule="atLeast"/>
      <w:jc w:val="both"/>
    </w:pPr>
    <w:rPr>
      <w:rFonts w:ascii="Times New Roman" w:eastAsia="Times New Roman" w:hAnsi="Times New Roman" w:cs="Times New Roman"/>
      <w:sz w:val="24"/>
      <w:szCs w:val="24"/>
    </w:rPr>
  </w:style>
  <w:style w:type="character" w:styleId="FootnoteReference">
    <w:name w:val="footnote reference"/>
    <w:semiHidden/>
    <w:rsid w:val="004651F6"/>
    <w:rPr>
      <w:vertAlign w:val="superscript"/>
    </w:rPr>
  </w:style>
  <w:style w:type="paragraph" w:customStyle="1" w:styleId="CM11">
    <w:name w:val="CM1+1"/>
    <w:basedOn w:val="Default"/>
    <w:next w:val="Default"/>
    <w:uiPriority w:val="99"/>
    <w:rsid w:val="0040020C"/>
    <w:rPr>
      <w:rFonts w:ascii="Times New Roman" w:eastAsiaTheme="minorHAnsi" w:hAnsi="Times New Roman" w:cs="Times New Roman"/>
      <w:color w:val="auto"/>
    </w:rPr>
  </w:style>
  <w:style w:type="paragraph" w:customStyle="1" w:styleId="CM31">
    <w:name w:val="CM3+1"/>
    <w:basedOn w:val="Default"/>
    <w:next w:val="Default"/>
    <w:uiPriority w:val="99"/>
    <w:rsid w:val="0040020C"/>
    <w:rPr>
      <w:rFonts w:ascii="Times New Roman" w:eastAsiaTheme="minorHAnsi" w:hAnsi="Times New Roman" w:cs="Times New Roman"/>
      <w:color w:val="auto"/>
    </w:rPr>
  </w:style>
  <w:style w:type="paragraph" w:customStyle="1" w:styleId="CM41">
    <w:name w:val="CM4+1"/>
    <w:basedOn w:val="Default"/>
    <w:next w:val="Default"/>
    <w:uiPriority w:val="99"/>
    <w:rsid w:val="0040020C"/>
    <w:rPr>
      <w:rFonts w:ascii="Times New Roman" w:eastAsiaTheme="minorHAnsi" w:hAnsi="Times New Roman" w:cs="Times New Roman"/>
      <w:color w:val="auto"/>
    </w:rPr>
  </w:style>
  <w:style w:type="numbering" w:customStyle="1" w:styleId="NoList1">
    <w:name w:val="No List1"/>
    <w:next w:val="NoList"/>
    <w:uiPriority w:val="99"/>
    <w:semiHidden/>
    <w:unhideWhenUsed/>
    <w:rsid w:val="0040020C"/>
  </w:style>
  <w:style w:type="table" w:customStyle="1" w:styleId="TableGrid1">
    <w:name w:val="Table Grid1"/>
    <w:basedOn w:val="TableNormal"/>
    <w:next w:val="TableGrid"/>
    <w:rsid w:val="0040020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0">
    <w:name w:val="CM1_1"/>
    <w:basedOn w:val="Default"/>
    <w:next w:val="Default"/>
    <w:uiPriority w:val="99"/>
    <w:rsid w:val="0040020C"/>
    <w:rPr>
      <w:rFonts w:ascii="Times New Roman" w:eastAsiaTheme="minorHAnsi" w:hAnsi="Times New Roman" w:cs="Times New Roman"/>
      <w:color w:val="auto"/>
    </w:rPr>
  </w:style>
  <w:style w:type="paragraph" w:customStyle="1" w:styleId="CM12">
    <w:name w:val="CM1+2"/>
    <w:basedOn w:val="Default"/>
    <w:next w:val="Default"/>
    <w:uiPriority w:val="99"/>
    <w:rsid w:val="0040020C"/>
    <w:rPr>
      <w:rFonts w:ascii="Times New Roman" w:eastAsiaTheme="minorHAnsi" w:hAnsi="Times New Roman" w:cs="Times New Roman"/>
      <w:color w:val="auto"/>
    </w:rPr>
  </w:style>
  <w:style w:type="paragraph" w:customStyle="1" w:styleId="CM32">
    <w:name w:val="CM3+2"/>
    <w:basedOn w:val="Default"/>
    <w:next w:val="Default"/>
    <w:uiPriority w:val="99"/>
    <w:rsid w:val="0040020C"/>
    <w:rPr>
      <w:rFonts w:ascii="Times New Roman" w:eastAsiaTheme="minorHAnsi" w:hAnsi="Times New Roman" w:cs="Times New Roman"/>
      <w:color w:val="auto"/>
    </w:rPr>
  </w:style>
  <w:style w:type="paragraph" w:customStyle="1" w:styleId="List2">
    <w:name w:val="List2"/>
    <w:basedOn w:val="Normal"/>
    <w:rsid w:val="00400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3">
    <w:name w:val="CM1+3"/>
    <w:basedOn w:val="Default"/>
    <w:next w:val="Default"/>
    <w:uiPriority w:val="99"/>
    <w:rsid w:val="0040020C"/>
    <w:rPr>
      <w:rFonts w:ascii="Times New Roman" w:eastAsiaTheme="minorHAnsi" w:hAnsi="Times New Roman" w:cs="Times New Roman"/>
      <w:color w:val="auto"/>
    </w:rPr>
  </w:style>
  <w:style w:type="paragraph" w:customStyle="1" w:styleId="CM33">
    <w:name w:val="CM3+3"/>
    <w:basedOn w:val="Default"/>
    <w:next w:val="Default"/>
    <w:uiPriority w:val="99"/>
    <w:rsid w:val="0040020C"/>
    <w:rPr>
      <w:rFonts w:ascii="Times New Roman" w:eastAsiaTheme="minorHAnsi" w:hAnsi="Times New Roman" w:cs="Times New Roman"/>
      <w:color w:val="auto"/>
    </w:rPr>
  </w:style>
  <w:style w:type="paragraph" w:customStyle="1" w:styleId="Normal4">
    <w:name w:val="Normal4"/>
    <w:basedOn w:val="Normal"/>
    <w:rsid w:val="00400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3">
    <w:name w:val="List3"/>
    <w:basedOn w:val="Normal"/>
    <w:rsid w:val="00A64092"/>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List4">
    <w:name w:val="List4"/>
    <w:basedOn w:val="Normal"/>
    <w:rsid w:val="009B7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DefaultParagraphFont"/>
    <w:rsid w:val="008425DB"/>
  </w:style>
  <w:style w:type="character" w:customStyle="1" w:styleId="boldface">
    <w:name w:val="boldface"/>
    <w:basedOn w:val="DefaultParagraphFont"/>
    <w:rsid w:val="00A431FE"/>
  </w:style>
  <w:style w:type="character" w:styleId="UnresolvedMention">
    <w:name w:val="Unresolved Mention"/>
    <w:basedOn w:val="DefaultParagraphFont"/>
    <w:uiPriority w:val="99"/>
    <w:semiHidden/>
    <w:unhideWhenUsed/>
    <w:rsid w:val="005023ED"/>
    <w:rPr>
      <w:color w:val="605E5C"/>
      <w:shd w:val="clear" w:color="auto" w:fill="E1DFDD"/>
    </w:rPr>
  </w:style>
  <w:style w:type="paragraph" w:customStyle="1" w:styleId="Normal5">
    <w:name w:val="Normal5"/>
    <w:basedOn w:val="Normal"/>
    <w:rsid w:val="00347E29"/>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title-annex-1">
    <w:name w:val="title-annex-1"/>
    <w:basedOn w:val="Normal"/>
    <w:rsid w:val="006F5136"/>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title-annex-2">
    <w:name w:val="title-annex-2"/>
    <w:basedOn w:val="Normal"/>
    <w:rsid w:val="006F5136"/>
    <w:pPr>
      <w:spacing w:before="100" w:beforeAutospacing="1" w:after="100" w:afterAutospacing="1" w:line="240" w:lineRule="auto"/>
    </w:pPr>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383">
      <w:bodyDiv w:val="1"/>
      <w:marLeft w:val="0"/>
      <w:marRight w:val="0"/>
      <w:marTop w:val="0"/>
      <w:marBottom w:val="0"/>
      <w:divBdr>
        <w:top w:val="none" w:sz="0" w:space="0" w:color="auto"/>
        <w:left w:val="none" w:sz="0" w:space="0" w:color="auto"/>
        <w:bottom w:val="none" w:sz="0" w:space="0" w:color="auto"/>
        <w:right w:val="none" w:sz="0" w:space="0" w:color="auto"/>
      </w:divBdr>
      <w:divsChild>
        <w:div w:id="533076473">
          <w:marLeft w:val="0"/>
          <w:marRight w:val="0"/>
          <w:marTop w:val="0"/>
          <w:marBottom w:val="0"/>
          <w:divBdr>
            <w:top w:val="none" w:sz="0" w:space="0" w:color="auto"/>
            <w:left w:val="none" w:sz="0" w:space="0" w:color="auto"/>
            <w:bottom w:val="none" w:sz="0" w:space="0" w:color="auto"/>
            <w:right w:val="none" w:sz="0" w:space="0" w:color="auto"/>
          </w:divBdr>
          <w:divsChild>
            <w:div w:id="1282230228">
              <w:marLeft w:val="0"/>
              <w:marRight w:val="0"/>
              <w:marTop w:val="0"/>
              <w:marBottom w:val="0"/>
              <w:divBdr>
                <w:top w:val="none" w:sz="0" w:space="0" w:color="auto"/>
                <w:left w:val="none" w:sz="0" w:space="0" w:color="auto"/>
                <w:bottom w:val="none" w:sz="0" w:space="0" w:color="auto"/>
                <w:right w:val="none" w:sz="0" w:space="0" w:color="auto"/>
              </w:divBdr>
            </w:div>
            <w:div w:id="19499704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4838151">
      <w:bodyDiv w:val="1"/>
      <w:marLeft w:val="0"/>
      <w:marRight w:val="0"/>
      <w:marTop w:val="0"/>
      <w:marBottom w:val="0"/>
      <w:divBdr>
        <w:top w:val="none" w:sz="0" w:space="0" w:color="auto"/>
        <w:left w:val="none" w:sz="0" w:space="0" w:color="auto"/>
        <w:bottom w:val="none" w:sz="0" w:space="0" w:color="auto"/>
        <w:right w:val="none" w:sz="0" w:space="0" w:color="auto"/>
      </w:divBdr>
    </w:div>
    <w:div w:id="40907543">
      <w:bodyDiv w:val="1"/>
      <w:marLeft w:val="0"/>
      <w:marRight w:val="0"/>
      <w:marTop w:val="0"/>
      <w:marBottom w:val="0"/>
      <w:divBdr>
        <w:top w:val="none" w:sz="0" w:space="0" w:color="auto"/>
        <w:left w:val="none" w:sz="0" w:space="0" w:color="auto"/>
        <w:bottom w:val="none" w:sz="0" w:space="0" w:color="auto"/>
        <w:right w:val="none" w:sz="0" w:space="0" w:color="auto"/>
      </w:divBdr>
    </w:div>
    <w:div w:id="71048747">
      <w:bodyDiv w:val="1"/>
      <w:marLeft w:val="0"/>
      <w:marRight w:val="0"/>
      <w:marTop w:val="0"/>
      <w:marBottom w:val="0"/>
      <w:divBdr>
        <w:top w:val="none" w:sz="0" w:space="0" w:color="auto"/>
        <w:left w:val="none" w:sz="0" w:space="0" w:color="auto"/>
        <w:bottom w:val="none" w:sz="0" w:space="0" w:color="auto"/>
        <w:right w:val="none" w:sz="0" w:space="0" w:color="auto"/>
      </w:divBdr>
    </w:div>
    <w:div w:id="106122033">
      <w:bodyDiv w:val="1"/>
      <w:marLeft w:val="0"/>
      <w:marRight w:val="0"/>
      <w:marTop w:val="0"/>
      <w:marBottom w:val="0"/>
      <w:divBdr>
        <w:top w:val="none" w:sz="0" w:space="0" w:color="auto"/>
        <w:left w:val="none" w:sz="0" w:space="0" w:color="auto"/>
        <w:bottom w:val="none" w:sz="0" w:space="0" w:color="auto"/>
        <w:right w:val="none" w:sz="0" w:space="0" w:color="auto"/>
      </w:divBdr>
      <w:divsChild>
        <w:div w:id="286817355">
          <w:marLeft w:val="0"/>
          <w:marRight w:val="0"/>
          <w:marTop w:val="0"/>
          <w:marBottom w:val="0"/>
          <w:divBdr>
            <w:top w:val="none" w:sz="0" w:space="0" w:color="auto"/>
            <w:left w:val="none" w:sz="0" w:space="0" w:color="auto"/>
            <w:bottom w:val="none" w:sz="0" w:space="0" w:color="auto"/>
            <w:right w:val="none" w:sz="0" w:space="0" w:color="auto"/>
          </w:divBdr>
          <w:divsChild>
            <w:div w:id="141191860">
              <w:marLeft w:val="0"/>
              <w:marRight w:val="0"/>
              <w:marTop w:val="0"/>
              <w:marBottom w:val="0"/>
              <w:divBdr>
                <w:top w:val="none" w:sz="0" w:space="0" w:color="auto"/>
                <w:left w:val="none" w:sz="0" w:space="0" w:color="auto"/>
                <w:bottom w:val="none" w:sz="0" w:space="0" w:color="auto"/>
                <w:right w:val="none" w:sz="0" w:space="0" w:color="auto"/>
              </w:divBdr>
            </w:div>
          </w:divsChild>
        </w:div>
        <w:div w:id="1239244517">
          <w:marLeft w:val="0"/>
          <w:marRight w:val="0"/>
          <w:marTop w:val="0"/>
          <w:marBottom w:val="0"/>
          <w:divBdr>
            <w:top w:val="none" w:sz="0" w:space="0" w:color="auto"/>
            <w:left w:val="none" w:sz="0" w:space="0" w:color="auto"/>
            <w:bottom w:val="none" w:sz="0" w:space="0" w:color="auto"/>
            <w:right w:val="none" w:sz="0" w:space="0" w:color="auto"/>
          </w:divBdr>
          <w:divsChild>
            <w:div w:id="291328708">
              <w:marLeft w:val="0"/>
              <w:marRight w:val="0"/>
              <w:marTop w:val="0"/>
              <w:marBottom w:val="0"/>
              <w:divBdr>
                <w:top w:val="none" w:sz="0" w:space="0" w:color="auto"/>
                <w:left w:val="none" w:sz="0" w:space="0" w:color="auto"/>
                <w:bottom w:val="none" w:sz="0" w:space="0" w:color="auto"/>
                <w:right w:val="none" w:sz="0" w:space="0" w:color="auto"/>
              </w:divBdr>
              <w:divsChild>
                <w:div w:id="167447018">
                  <w:marLeft w:val="0"/>
                  <w:marRight w:val="0"/>
                  <w:marTop w:val="0"/>
                  <w:marBottom w:val="0"/>
                  <w:divBdr>
                    <w:top w:val="none" w:sz="0" w:space="0" w:color="auto"/>
                    <w:left w:val="none" w:sz="0" w:space="0" w:color="auto"/>
                    <w:bottom w:val="none" w:sz="0" w:space="0" w:color="auto"/>
                    <w:right w:val="none" w:sz="0" w:space="0" w:color="auto"/>
                  </w:divBdr>
                  <w:divsChild>
                    <w:div w:id="933320350">
                      <w:marLeft w:val="0"/>
                      <w:marRight w:val="0"/>
                      <w:marTop w:val="0"/>
                      <w:marBottom w:val="0"/>
                      <w:divBdr>
                        <w:top w:val="none" w:sz="0" w:space="0" w:color="auto"/>
                        <w:left w:val="none" w:sz="0" w:space="0" w:color="auto"/>
                        <w:bottom w:val="none" w:sz="0" w:space="0" w:color="auto"/>
                        <w:right w:val="none" w:sz="0" w:space="0" w:color="auto"/>
                      </w:divBdr>
                    </w:div>
                    <w:div w:id="1523547596">
                      <w:marLeft w:val="0"/>
                      <w:marRight w:val="0"/>
                      <w:marTop w:val="120"/>
                      <w:marBottom w:val="0"/>
                      <w:divBdr>
                        <w:top w:val="none" w:sz="0" w:space="0" w:color="auto"/>
                        <w:left w:val="none" w:sz="0" w:space="0" w:color="auto"/>
                        <w:bottom w:val="none" w:sz="0" w:space="0" w:color="auto"/>
                        <w:right w:val="none" w:sz="0" w:space="0" w:color="auto"/>
                      </w:divBdr>
                    </w:div>
                  </w:divsChild>
                </w:div>
                <w:div w:id="315498851">
                  <w:marLeft w:val="0"/>
                  <w:marRight w:val="0"/>
                  <w:marTop w:val="0"/>
                  <w:marBottom w:val="0"/>
                  <w:divBdr>
                    <w:top w:val="none" w:sz="0" w:space="0" w:color="auto"/>
                    <w:left w:val="none" w:sz="0" w:space="0" w:color="auto"/>
                    <w:bottom w:val="none" w:sz="0" w:space="0" w:color="auto"/>
                    <w:right w:val="none" w:sz="0" w:space="0" w:color="auto"/>
                  </w:divBdr>
                  <w:divsChild>
                    <w:div w:id="567377478">
                      <w:marLeft w:val="0"/>
                      <w:marRight w:val="0"/>
                      <w:marTop w:val="120"/>
                      <w:marBottom w:val="0"/>
                      <w:divBdr>
                        <w:top w:val="none" w:sz="0" w:space="0" w:color="auto"/>
                        <w:left w:val="none" w:sz="0" w:space="0" w:color="auto"/>
                        <w:bottom w:val="none" w:sz="0" w:space="0" w:color="auto"/>
                        <w:right w:val="none" w:sz="0" w:space="0" w:color="auto"/>
                      </w:divBdr>
                    </w:div>
                    <w:div w:id="1940403701">
                      <w:marLeft w:val="0"/>
                      <w:marRight w:val="0"/>
                      <w:marTop w:val="0"/>
                      <w:marBottom w:val="0"/>
                      <w:divBdr>
                        <w:top w:val="none" w:sz="0" w:space="0" w:color="auto"/>
                        <w:left w:val="none" w:sz="0" w:space="0" w:color="auto"/>
                        <w:bottom w:val="none" w:sz="0" w:space="0" w:color="auto"/>
                        <w:right w:val="none" w:sz="0" w:space="0" w:color="auto"/>
                      </w:divBdr>
                    </w:div>
                  </w:divsChild>
                </w:div>
                <w:div w:id="1004210954">
                  <w:marLeft w:val="0"/>
                  <w:marRight w:val="0"/>
                  <w:marTop w:val="0"/>
                  <w:marBottom w:val="0"/>
                  <w:divBdr>
                    <w:top w:val="none" w:sz="0" w:space="0" w:color="auto"/>
                    <w:left w:val="none" w:sz="0" w:space="0" w:color="auto"/>
                    <w:bottom w:val="none" w:sz="0" w:space="0" w:color="auto"/>
                    <w:right w:val="none" w:sz="0" w:space="0" w:color="auto"/>
                  </w:divBdr>
                  <w:divsChild>
                    <w:div w:id="1017001255">
                      <w:marLeft w:val="0"/>
                      <w:marRight w:val="0"/>
                      <w:marTop w:val="0"/>
                      <w:marBottom w:val="0"/>
                      <w:divBdr>
                        <w:top w:val="none" w:sz="0" w:space="0" w:color="auto"/>
                        <w:left w:val="none" w:sz="0" w:space="0" w:color="auto"/>
                        <w:bottom w:val="none" w:sz="0" w:space="0" w:color="auto"/>
                        <w:right w:val="none" w:sz="0" w:space="0" w:color="auto"/>
                      </w:divBdr>
                    </w:div>
                    <w:div w:id="1328942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03527453">
          <w:marLeft w:val="0"/>
          <w:marRight w:val="0"/>
          <w:marTop w:val="0"/>
          <w:marBottom w:val="0"/>
          <w:divBdr>
            <w:top w:val="none" w:sz="0" w:space="0" w:color="auto"/>
            <w:left w:val="none" w:sz="0" w:space="0" w:color="auto"/>
            <w:bottom w:val="none" w:sz="0" w:space="0" w:color="auto"/>
            <w:right w:val="none" w:sz="0" w:space="0" w:color="auto"/>
          </w:divBdr>
          <w:divsChild>
            <w:div w:id="935674790">
              <w:marLeft w:val="0"/>
              <w:marRight w:val="0"/>
              <w:marTop w:val="0"/>
              <w:marBottom w:val="0"/>
              <w:divBdr>
                <w:top w:val="none" w:sz="0" w:space="0" w:color="auto"/>
                <w:left w:val="none" w:sz="0" w:space="0" w:color="auto"/>
                <w:bottom w:val="none" w:sz="0" w:space="0" w:color="auto"/>
                <w:right w:val="none" w:sz="0" w:space="0" w:color="auto"/>
              </w:divBdr>
              <w:divsChild>
                <w:div w:id="1871607793">
                  <w:marLeft w:val="0"/>
                  <w:marRight w:val="0"/>
                  <w:marTop w:val="0"/>
                  <w:marBottom w:val="0"/>
                  <w:divBdr>
                    <w:top w:val="none" w:sz="0" w:space="0" w:color="auto"/>
                    <w:left w:val="none" w:sz="0" w:space="0" w:color="auto"/>
                    <w:bottom w:val="none" w:sz="0" w:space="0" w:color="auto"/>
                    <w:right w:val="none" w:sz="0" w:space="0" w:color="auto"/>
                  </w:divBdr>
                  <w:divsChild>
                    <w:div w:id="716778825">
                      <w:marLeft w:val="0"/>
                      <w:marRight w:val="0"/>
                      <w:marTop w:val="120"/>
                      <w:marBottom w:val="0"/>
                      <w:divBdr>
                        <w:top w:val="none" w:sz="0" w:space="0" w:color="auto"/>
                        <w:left w:val="none" w:sz="0" w:space="0" w:color="auto"/>
                        <w:bottom w:val="none" w:sz="0" w:space="0" w:color="auto"/>
                        <w:right w:val="none" w:sz="0" w:space="0" w:color="auto"/>
                      </w:divBdr>
                    </w:div>
                    <w:div w:id="1743483137">
                      <w:marLeft w:val="0"/>
                      <w:marRight w:val="0"/>
                      <w:marTop w:val="0"/>
                      <w:marBottom w:val="0"/>
                      <w:divBdr>
                        <w:top w:val="none" w:sz="0" w:space="0" w:color="auto"/>
                        <w:left w:val="none" w:sz="0" w:space="0" w:color="auto"/>
                        <w:bottom w:val="none" w:sz="0" w:space="0" w:color="auto"/>
                        <w:right w:val="none" w:sz="0" w:space="0" w:color="auto"/>
                      </w:divBdr>
                    </w:div>
                  </w:divsChild>
                </w:div>
                <w:div w:id="2131851224">
                  <w:marLeft w:val="0"/>
                  <w:marRight w:val="0"/>
                  <w:marTop w:val="0"/>
                  <w:marBottom w:val="0"/>
                  <w:divBdr>
                    <w:top w:val="none" w:sz="0" w:space="0" w:color="auto"/>
                    <w:left w:val="none" w:sz="0" w:space="0" w:color="auto"/>
                    <w:bottom w:val="none" w:sz="0" w:space="0" w:color="auto"/>
                    <w:right w:val="none" w:sz="0" w:space="0" w:color="auto"/>
                  </w:divBdr>
                  <w:divsChild>
                    <w:div w:id="297683259">
                      <w:marLeft w:val="0"/>
                      <w:marRight w:val="0"/>
                      <w:marTop w:val="120"/>
                      <w:marBottom w:val="0"/>
                      <w:divBdr>
                        <w:top w:val="none" w:sz="0" w:space="0" w:color="auto"/>
                        <w:left w:val="none" w:sz="0" w:space="0" w:color="auto"/>
                        <w:bottom w:val="none" w:sz="0" w:space="0" w:color="auto"/>
                        <w:right w:val="none" w:sz="0" w:space="0" w:color="auto"/>
                      </w:divBdr>
                    </w:div>
                    <w:div w:id="19828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7498">
          <w:marLeft w:val="0"/>
          <w:marRight w:val="0"/>
          <w:marTop w:val="0"/>
          <w:marBottom w:val="0"/>
          <w:divBdr>
            <w:top w:val="none" w:sz="0" w:space="0" w:color="auto"/>
            <w:left w:val="none" w:sz="0" w:space="0" w:color="auto"/>
            <w:bottom w:val="none" w:sz="0" w:space="0" w:color="auto"/>
            <w:right w:val="none" w:sz="0" w:space="0" w:color="auto"/>
          </w:divBdr>
          <w:divsChild>
            <w:div w:id="929585744">
              <w:marLeft w:val="0"/>
              <w:marRight w:val="0"/>
              <w:marTop w:val="0"/>
              <w:marBottom w:val="0"/>
              <w:divBdr>
                <w:top w:val="none" w:sz="0" w:space="0" w:color="auto"/>
                <w:left w:val="none" w:sz="0" w:space="0" w:color="auto"/>
                <w:bottom w:val="none" w:sz="0" w:space="0" w:color="auto"/>
                <w:right w:val="none" w:sz="0" w:space="0" w:color="auto"/>
              </w:divBdr>
              <w:divsChild>
                <w:div w:id="89159149">
                  <w:marLeft w:val="0"/>
                  <w:marRight w:val="0"/>
                  <w:marTop w:val="0"/>
                  <w:marBottom w:val="0"/>
                  <w:divBdr>
                    <w:top w:val="none" w:sz="0" w:space="0" w:color="auto"/>
                    <w:left w:val="none" w:sz="0" w:space="0" w:color="auto"/>
                    <w:bottom w:val="none" w:sz="0" w:space="0" w:color="auto"/>
                    <w:right w:val="none" w:sz="0" w:space="0" w:color="auto"/>
                  </w:divBdr>
                  <w:divsChild>
                    <w:div w:id="797452264">
                      <w:marLeft w:val="0"/>
                      <w:marRight w:val="0"/>
                      <w:marTop w:val="0"/>
                      <w:marBottom w:val="0"/>
                      <w:divBdr>
                        <w:top w:val="none" w:sz="0" w:space="0" w:color="auto"/>
                        <w:left w:val="none" w:sz="0" w:space="0" w:color="auto"/>
                        <w:bottom w:val="none" w:sz="0" w:space="0" w:color="auto"/>
                        <w:right w:val="none" w:sz="0" w:space="0" w:color="auto"/>
                      </w:divBdr>
                    </w:div>
                    <w:div w:id="877621587">
                      <w:marLeft w:val="0"/>
                      <w:marRight w:val="0"/>
                      <w:marTop w:val="120"/>
                      <w:marBottom w:val="0"/>
                      <w:divBdr>
                        <w:top w:val="none" w:sz="0" w:space="0" w:color="auto"/>
                        <w:left w:val="none" w:sz="0" w:space="0" w:color="auto"/>
                        <w:bottom w:val="none" w:sz="0" w:space="0" w:color="auto"/>
                        <w:right w:val="none" w:sz="0" w:space="0" w:color="auto"/>
                      </w:divBdr>
                    </w:div>
                  </w:divsChild>
                </w:div>
                <w:div w:id="217787184">
                  <w:marLeft w:val="0"/>
                  <w:marRight w:val="0"/>
                  <w:marTop w:val="0"/>
                  <w:marBottom w:val="0"/>
                  <w:divBdr>
                    <w:top w:val="none" w:sz="0" w:space="0" w:color="auto"/>
                    <w:left w:val="none" w:sz="0" w:space="0" w:color="auto"/>
                    <w:bottom w:val="none" w:sz="0" w:space="0" w:color="auto"/>
                    <w:right w:val="none" w:sz="0" w:space="0" w:color="auto"/>
                  </w:divBdr>
                  <w:divsChild>
                    <w:div w:id="148401387">
                      <w:marLeft w:val="0"/>
                      <w:marRight w:val="0"/>
                      <w:marTop w:val="0"/>
                      <w:marBottom w:val="0"/>
                      <w:divBdr>
                        <w:top w:val="none" w:sz="0" w:space="0" w:color="auto"/>
                        <w:left w:val="none" w:sz="0" w:space="0" w:color="auto"/>
                        <w:bottom w:val="none" w:sz="0" w:space="0" w:color="auto"/>
                        <w:right w:val="none" w:sz="0" w:space="0" w:color="auto"/>
                      </w:divBdr>
                    </w:div>
                    <w:div w:id="1876235969">
                      <w:marLeft w:val="0"/>
                      <w:marRight w:val="0"/>
                      <w:marTop w:val="120"/>
                      <w:marBottom w:val="0"/>
                      <w:divBdr>
                        <w:top w:val="none" w:sz="0" w:space="0" w:color="auto"/>
                        <w:left w:val="none" w:sz="0" w:space="0" w:color="auto"/>
                        <w:bottom w:val="none" w:sz="0" w:space="0" w:color="auto"/>
                        <w:right w:val="none" w:sz="0" w:space="0" w:color="auto"/>
                      </w:divBdr>
                    </w:div>
                  </w:divsChild>
                </w:div>
                <w:div w:id="1253974468">
                  <w:marLeft w:val="0"/>
                  <w:marRight w:val="0"/>
                  <w:marTop w:val="0"/>
                  <w:marBottom w:val="0"/>
                  <w:divBdr>
                    <w:top w:val="none" w:sz="0" w:space="0" w:color="auto"/>
                    <w:left w:val="none" w:sz="0" w:space="0" w:color="auto"/>
                    <w:bottom w:val="none" w:sz="0" w:space="0" w:color="auto"/>
                    <w:right w:val="none" w:sz="0" w:space="0" w:color="auto"/>
                  </w:divBdr>
                  <w:divsChild>
                    <w:div w:id="1484815757">
                      <w:marLeft w:val="0"/>
                      <w:marRight w:val="0"/>
                      <w:marTop w:val="0"/>
                      <w:marBottom w:val="0"/>
                      <w:divBdr>
                        <w:top w:val="none" w:sz="0" w:space="0" w:color="auto"/>
                        <w:left w:val="none" w:sz="0" w:space="0" w:color="auto"/>
                        <w:bottom w:val="none" w:sz="0" w:space="0" w:color="auto"/>
                        <w:right w:val="none" w:sz="0" w:space="0" w:color="auto"/>
                      </w:divBdr>
                    </w:div>
                    <w:div w:id="1785735013">
                      <w:marLeft w:val="0"/>
                      <w:marRight w:val="0"/>
                      <w:marTop w:val="120"/>
                      <w:marBottom w:val="0"/>
                      <w:divBdr>
                        <w:top w:val="none" w:sz="0" w:space="0" w:color="auto"/>
                        <w:left w:val="none" w:sz="0" w:space="0" w:color="auto"/>
                        <w:bottom w:val="none" w:sz="0" w:space="0" w:color="auto"/>
                        <w:right w:val="none" w:sz="0" w:space="0" w:color="auto"/>
                      </w:divBdr>
                    </w:div>
                  </w:divsChild>
                </w:div>
                <w:div w:id="1577587112">
                  <w:marLeft w:val="0"/>
                  <w:marRight w:val="0"/>
                  <w:marTop w:val="0"/>
                  <w:marBottom w:val="0"/>
                  <w:divBdr>
                    <w:top w:val="none" w:sz="0" w:space="0" w:color="auto"/>
                    <w:left w:val="none" w:sz="0" w:space="0" w:color="auto"/>
                    <w:bottom w:val="none" w:sz="0" w:space="0" w:color="auto"/>
                    <w:right w:val="none" w:sz="0" w:space="0" w:color="auto"/>
                  </w:divBdr>
                  <w:divsChild>
                    <w:div w:id="1837919349">
                      <w:marLeft w:val="0"/>
                      <w:marRight w:val="0"/>
                      <w:marTop w:val="0"/>
                      <w:marBottom w:val="0"/>
                      <w:divBdr>
                        <w:top w:val="none" w:sz="0" w:space="0" w:color="auto"/>
                        <w:left w:val="none" w:sz="0" w:space="0" w:color="auto"/>
                        <w:bottom w:val="none" w:sz="0" w:space="0" w:color="auto"/>
                        <w:right w:val="none" w:sz="0" w:space="0" w:color="auto"/>
                      </w:divBdr>
                    </w:div>
                    <w:div w:id="2017223459">
                      <w:marLeft w:val="0"/>
                      <w:marRight w:val="0"/>
                      <w:marTop w:val="120"/>
                      <w:marBottom w:val="0"/>
                      <w:divBdr>
                        <w:top w:val="none" w:sz="0" w:space="0" w:color="auto"/>
                        <w:left w:val="none" w:sz="0" w:space="0" w:color="auto"/>
                        <w:bottom w:val="none" w:sz="0" w:space="0" w:color="auto"/>
                        <w:right w:val="none" w:sz="0" w:space="0" w:color="auto"/>
                      </w:divBdr>
                    </w:div>
                  </w:divsChild>
                </w:div>
                <w:div w:id="1812209407">
                  <w:marLeft w:val="0"/>
                  <w:marRight w:val="0"/>
                  <w:marTop w:val="0"/>
                  <w:marBottom w:val="0"/>
                  <w:divBdr>
                    <w:top w:val="none" w:sz="0" w:space="0" w:color="auto"/>
                    <w:left w:val="none" w:sz="0" w:space="0" w:color="auto"/>
                    <w:bottom w:val="none" w:sz="0" w:space="0" w:color="auto"/>
                    <w:right w:val="none" w:sz="0" w:space="0" w:color="auto"/>
                  </w:divBdr>
                  <w:divsChild>
                    <w:div w:id="502476125">
                      <w:marLeft w:val="0"/>
                      <w:marRight w:val="0"/>
                      <w:marTop w:val="0"/>
                      <w:marBottom w:val="0"/>
                      <w:divBdr>
                        <w:top w:val="none" w:sz="0" w:space="0" w:color="auto"/>
                        <w:left w:val="none" w:sz="0" w:space="0" w:color="auto"/>
                        <w:bottom w:val="none" w:sz="0" w:space="0" w:color="auto"/>
                        <w:right w:val="none" w:sz="0" w:space="0" w:color="auto"/>
                      </w:divBdr>
                    </w:div>
                    <w:div w:id="1587884013">
                      <w:marLeft w:val="0"/>
                      <w:marRight w:val="0"/>
                      <w:marTop w:val="120"/>
                      <w:marBottom w:val="0"/>
                      <w:divBdr>
                        <w:top w:val="none" w:sz="0" w:space="0" w:color="auto"/>
                        <w:left w:val="none" w:sz="0" w:space="0" w:color="auto"/>
                        <w:bottom w:val="none" w:sz="0" w:space="0" w:color="auto"/>
                        <w:right w:val="none" w:sz="0" w:space="0" w:color="auto"/>
                      </w:divBdr>
                    </w:div>
                  </w:divsChild>
                </w:div>
                <w:div w:id="1818188137">
                  <w:marLeft w:val="0"/>
                  <w:marRight w:val="0"/>
                  <w:marTop w:val="0"/>
                  <w:marBottom w:val="0"/>
                  <w:divBdr>
                    <w:top w:val="none" w:sz="0" w:space="0" w:color="auto"/>
                    <w:left w:val="none" w:sz="0" w:space="0" w:color="auto"/>
                    <w:bottom w:val="none" w:sz="0" w:space="0" w:color="auto"/>
                    <w:right w:val="none" w:sz="0" w:space="0" w:color="auto"/>
                  </w:divBdr>
                  <w:divsChild>
                    <w:div w:id="1882744775">
                      <w:marLeft w:val="0"/>
                      <w:marRight w:val="0"/>
                      <w:marTop w:val="0"/>
                      <w:marBottom w:val="0"/>
                      <w:divBdr>
                        <w:top w:val="none" w:sz="0" w:space="0" w:color="auto"/>
                        <w:left w:val="none" w:sz="0" w:space="0" w:color="auto"/>
                        <w:bottom w:val="none" w:sz="0" w:space="0" w:color="auto"/>
                        <w:right w:val="none" w:sz="0" w:space="0" w:color="auto"/>
                      </w:divBdr>
                    </w:div>
                    <w:div w:id="1997878285">
                      <w:marLeft w:val="0"/>
                      <w:marRight w:val="0"/>
                      <w:marTop w:val="120"/>
                      <w:marBottom w:val="0"/>
                      <w:divBdr>
                        <w:top w:val="none" w:sz="0" w:space="0" w:color="auto"/>
                        <w:left w:val="none" w:sz="0" w:space="0" w:color="auto"/>
                        <w:bottom w:val="none" w:sz="0" w:space="0" w:color="auto"/>
                        <w:right w:val="none" w:sz="0" w:space="0" w:color="auto"/>
                      </w:divBdr>
                    </w:div>
                  </w:divsChild>
                </w:div>
                <w:div w:id="2001346659">
                  <w:marLeft w:val="0"/>
                  <w:marRight w:val="0"/>
                  <w:marTop w:val="0"/>
                  <w:marBottom w:val="0"/>
                  <w:divBdr>
                    <w:top w:val="none" w:sz="0" w:space="0" w:color="auto"/>
                    <w:left w:val="none" w:sz="0" w:space="0" w:color="auto"/>
                    <w:bottom w:val="none" w:sz="0" w:space="0" w:color="auto"/>
                    <w:right w:val="none" w:sz="0" w:space="0" w:color="auto"/>
                  </w:divBdr>
                  <w:divsChild>
                    <w:div w:id="581448884">
                      <w:marLeft w:val="0"/>
                      <w:marRight w:val="0"/>
                      <w:marTop w:val="120"/>
                      <w:marBottom w:val="0"/>
                      <w:divBdr>
                        <w:top w:val="none" w:sz="0" w:space="0" w:color="auto"/>
                        <w:left w:val="none" w:sz="0" w:space="0" w:color="auto"/>
                        <w:bottom w:val="none" w:sz="0" w:space="0" w:color="auto"/>
                        <w:right w:val="none" w:sz="0" w:space="0" w:color="auto"/>
                      </w:divBdr>
                    </w:div>
                    <w:div w:id="17381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0696">
      <w:bodyDiv w:val="1"/>
      <w:marLeft w:val="0"/>
      <w:marRight w:val="0"/>
      <w:marTop w:val="0"/>
      <w:marBottom w:val="0"/>
      <w:divBdr>
        <w:top w:val="none" w:sz="0" w:space="0" w:color="auto"/>
        <w:left w:val="none" w:sz="0" w:space="0" w:color="auto"/>
        <w:bottom w:val="none" w:sz="0" w:space="0" w:color="auto"/>
        <w:right w:val="none" w:sz="0" w:space="0" w:color="auto"/>
      </w:divBdr>
    </w:div>
    <w:div w:id="133722999">
      <w:bodyDiv w:val="1"/>
      <w:marLeft w:val="0"/>
      <w:marRight w:val="0"/>
      <w:marTop w:val="0"/>
      <w:marBottom w:val="0"/>
      <w:divBdr>
        <w:top w:val="none" w:sz="0" w:space="0" w:color="auto"/>
        <w:left w:val="none" w:sz="0" w:space="0" w:color="auto"/>
        <w:bottom w:val="none" w:sz="0" w:space="0" w:color="auto"/>
        <w:right w:val="none" w:sz="0" w:space="0" w:color="auto"/>
      </w:divBdr>
      <w:divsChild>
        <w:div w:id="669874554">
          <w:marLeft w:val="0"/>
          <w:marRight w:val="0"/>
          <w:marTop w:val="0"/>
          <w:marBottom w:val="0"/>
          <w:divBdr>
            <w:top w:val="none" w:sz="0" w:space="0" w:color="auto"/>
            <w:left w:val="none" w:sz="0" w:space="0" w:color="auto"/>
            <w:bottom w:val="none" w:sz="0" w:space="0" w:color="auto"/>
            <w:right w:val="none" w:sz="0" w:space="0" w:color="auto"/>
          </w:divBdr>
          <w:divsChild>
            <w:div w:id="7838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938">
      <w:bodyDiv w:val="1"/>
      <w:marLeft w:val="0"/>
      <w:marRight w:val="0"/>
      <w:marTop w:val="0"/>
      <w:marBottom w:val="0"/>
      <w:divBdr>
        <w:top w:val="none" w:sz="0" w:space="0" w:color="auto"/>
        <w:left w:val="none" w:sz="0" w:space="0" w:color="auto"/>
        <w:bottom w:val="none" w:sz="0" w:space="0" w:color="auto"/>
        <w:right w:val="none" w:sz="0" w:space="0" w:color="auto"/>
      </w:divBdr>
      <w:divsChild>
        <w:div w:id="1528057725">
          <w:marLeft w:val="0"/>
          <w:marRight w:val="0"/>
          <w:marTop w:val="0"/>
          <w:marBottom w:val="0"/>
          <w:divBdr>
            <w:top w:val="none" w:sz="0" w:space="0" w:color="auto"/>
            <w:left w:val="none" w:sz="0" w:space="0" w:color="auto"/>
            <w:bottom w:val="none" w:sz="0" w:space="0" w:color="auto"/>
            <w:right w:val="none" w:sz="0" w:space="0" w:color="auto"/>
          </w:divBdr>
        </w:div>
      </w:divsChild>
    </w:div>
    <w:div w:id="194856622">
      <w:bodyDiv w:val="1"/>
      <w:marLeft w:val="0"/>
      <w:marRight w:val="0"/>
      <w:marTop w:val="0"/>
      <w:marBottom w:val="0"/>
      <w:divBdr>
        <w:top w:val="none" w:sz="0" w:space="0" w:color="auto"/>
        <w:left w:val="none" w:sz="0" w:space="0" w:color="auto"/>
        <w:bottom w:val="none" w:sz="0" w:space="0" w:color="auto"/>
        <w:right w:val="none" w:sz="0" w:space="0" w:color="auto"/>
      </w:divBdr>
      <w:divsChild>
        <w:div w:id="1480002498">
          <w:marLeft w:val="0"/>
          <w:marRight w:val="0"/>
          <w:marTop w:val="0"/>
          <w:marBottom w:val="0"/>
          <w:divBdr>
            <w:top w:val="none" w:sz="0" w:space="0" w:color="auto"/>
            <w:left w:val="none" w:sz="0" w:space="0" w:color="auto"/>
            <w:bottom w:val="none" w:sz="0" w:space="0" w:color="auto"/>
            <w:right w:val="none" w:sz="0" w:space="0" w:color="auto"/>
          </w:divBdr>
          <w:divsChild>
            <w:div w:id="1051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5389">
      <w:bodyDiv w:val="1"/>
      <w:marLeft w:val="0"/>
      <w:marRight w:val="0"/>
      <w:marTop w:val="0"/>
      <w:marBottom w:val="0"/>
      <w:divBdr>
        <w:top w:val="none" w:sz="0" w:space="0" w:color="auto"/>
        <w:left w:val="none" w:sz="0" w:space="0" w:color="auto"/>
        <w:bottom w:val="none" w:sz="0" w:space="0" w:color="auto"/>
        <w:right w:val="none" w:sz="0" w:space="0" w:color="auto"/>
      </w:divBdr>
      <w:divsChild>
        <w:div w:id="41634331">
          <w:marLeft w:val="0"/>
          <w:marRight w:val="0"/>
          <w:marTop w:val="0"/>
          <w:marBottom w:val="0"/>
          <w:divBdr>
            <w:top w:val="none" w:sz="0" w:space="0" w:color="auto"/>
            <w:left w:val="none" w:sz="0" w:space="0" w:color="auto"/>
            <w:bottom w:val="none" w:sz="0" w:space="0" w:color="auto"/>
            <w:right w:val="none" w:sz="0" w:space="0" w:color="auto"/>
          </w:divBdr>
          <w:divsChild>
            <w:div w:id="15356497">
              <w:marLeft w:val="0"/>
              <w:marRight w:val="0"/>
              <w:marTop w:val="120"/>
              <w:marBottom w:val="0"/>
              <w:divBdr>
                <w:top w:val="none" w:sz="0" w:space="0" w:color="auto"/>
                <w:left w:val="none" w:sz="0" w:space="0" w:color="auto"/>
                <w:bottom w:val="none" w:sz="0" w:space="0" w:color="auto"/>
                <w:right w:val="none" w:sz="0" w:space="0" w:color="auto"/>
              </w:divBdr>
            </w:div>
            <w:div w:id="261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03087">
      <w:bodyDiv w:val="1"/>
      <w:marLeft w:val="0"/>
      <w:marRight w:val="0"/>
      <w:marTop w:val="0"/>
      <w:marBottom w:val="0"/>
      <w:divBdr>
        <w:top w:val="none" w:sz="0" w:space="0" w:color="auto"/>
        <w:left w:val="none" w:sz="0" w:space="0" w:color="auto"/>
        <w:bottom w:val="none" w:sz="0" w:space="0" w:color="auto"/>
        <w:right w:val="none" w:sz="0" w:space="0" w:color="auto"/>
      </w:divBdr>
      <w:divsChild>
        <w:div w:id="1753161030">
          <w:marLeft w:val="0"/>
          <w:marRight w:val="0"/>
          <w:marTop w:val="0"/>
          <w:marBottom w:val="0"/>
          <w:divBdr>
            <w:top w:val="none" w:sz="0" w:space="0" w:color="auto"/>
            <w:left w:val="none" w:sz="0" w:space="0" w:color="auto"/>
            <w:bottom w:val="none" w:sz="0" w:space="0" w:color="auto"/>
            <w:right w:val="none" w:sz="0" w:space="0" w:color="auto"/>
          </w:divBdr>
          <w:divsChild>
            <w:div w:id="853229495">
              <w:marLeft w:val="0"/>
              <w:marRight w:val="0"/>
              <w:marTop w:val="0"/>
              <w:marBottom w:val="0"/>
              <w:divBdr>
                <w:top w:val="none" w:sz="0" w:space="0" w:color="auto"/>
                <w:left w:val="none" w:sz="0" w:space="0" w:color="auto"/>
                <w:bottom w:val="none" w:sz="0" w:space="0" w:color="auto"/>
                <w:right w:val="none" w:sz="0" w:space="0" w:color="auto"/>
              </w:divBdr>
              <w:divsChild>
                <w:div w:id="1543637961">
                  <w:marLeft w:val="0"/>
                  <w:marRight w:val="0"/>
                  <w:marTop w:val="0"/>
                  <w:marBottom w:val="0"/>
                  <w:divBdr>
                    <w:top w:val="none" w:sz="0" w:space="0" w:color="auto"/>
                    <w:left w:val="none" w:sz="0" w:space="0" w:color="auto"/>
                    <w:bottom w:val="none" w:sz="0" w:space="0" w:color="auto"/>
                    <w:right w:val="none" w:sz="0" w:space="0" w:color="auto"/>
                  </w:divBdr>
                  <w:divsChild>
                    <w:div w:id="363554402">
                      <w:marLeft w:val="0"/>
                      <w:marRight w:val="0"/>
                      <w:marTop w:val="0"/>
                      <w:marBottom w:val="0"/>
                      <w:divBdr>
                        <w:top w:val="none" w:sz="0" w:space="0" w:color="auto"/>
                        <w:left w:val="none" w:sz="0" w:space="0" w:color="auto"/>
                        <w:bottom w:val="none" w:sz="0" w:space="0" w:color="auto"/>
                        <w:right w:val="none" w:sz="0" w:space="0" w:color="auto"/>
                      </w:divBdr>
                    </w:div>
                    <w:div w:id="10612534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28808167">
      <w:bodyDiv w:val="1"/>
      <w:marLeft w:val="0"/>
      <w:marRight w:val="0"/>
      <w:marTop w:val="0"/>
      <w:marBottom w:val="0"/>
      <w:divBdr>
        <w:top w:val="none" w:sz="0" w:space="0" w:color="auto"/>
        <w:left w:val="none" w:sz="0" w:space="0" w:color="auto"/>
        <w:bottom w:val="none" w:sz="0" w:space="0" w:color="auto"/>
        <w:right w:val="none" w:sz="0" w:space="0" w:color="auto"/>
      </w:divBdr>
      <w:divsChild>
        <w:div w:id="159471292">
          <w:marLeft w:val="0"/>
          <w:marRight w:val="0"/>
          <w:marTop w:val="0"/>
          <w:marBottom w:val="0"/>
          <w:divBdr>
            <w:top w:val="none" w:sz="0" w:space="0" w:color="auto"/>
            <w:left w:val="none" w:sz="0" w:space="0" w:color="auto"/>
            <w:bottom w:val="none" w:sz="0" w:space="0" w:color="auto"/>
            <w:right w:val="none" w:sz="0" w:space="0" w:color="auto"/>
          </w:divBdr>
          <w:divsChild>
            <w:div w:id="323436782">
              <w:marLeft w:val="0"/>
              <w:marRight w:val="0"/>
              <w:marTop w:val="0"/>
              <w:marBottom w:val="0"/>
              <w:divBdr>
                <w:top w:val="none" w:sz="0" w:space="0" w:color="auto"/>
                <w:left w:val="none" w:sz="0" w:space="0" w:color="auto"/>
                <w:bottom w:val="none" w:sz="0" w:space="0" w:color="auto"/>
                <w:right w:val="none" w:sz="0" w:space="0" w:color="auto"/>
              </w:divBdr>
              <w:divsChild>
                <w:div w:id="1347827610">
                  <w:marLeft w:val="0"/>
                  <w:marRight w:val="0"/>
                  <w:marTop w:val="0"/>
                  <w:marBottom w:val="0"/>
                  <w:divBdr>
                    <w:top w:val="none" w:sz="0" w:space="0" w:color="auto"/>
                    <w:left w:val="none" w:sz="0" w:space="0" w:color="auto"/>
                    <w:bottom w:val="none" w:sz="0" w:space="0" w:color="auto"/>
                    <w:right w:val="none" w:sz="0" w:space="0" w:color="auto"/>
                  </w:divBdr>
                  <w:divsChild>
                    <w:div w:id="626352931">
                      <w:marLeft w:val="0"/>
                      <w:marRight w:val="0"/>
                      <w:marTop w:val="120"/>
                      <w:marBottom w:val="0"/>
                      <w:divBdr>
                        <w:top w:val="none" w:sz="0" w:space="0" w:color="auto"/>
                        <w:left w:val="none" w:sz="0" w:space="0" w:color="auto"/>
                        <w:bottom w:val="none" w:sz="0" w:space="0" w:color="auto"/>
                        <w:right w:val="none" w:sz="0" w:space="0" w:color="auto"/>
                      </w:divBdr>
                    </w:div>
                    <w:div w:id="1482690690">
                      <w:marLeft w:val="0"/>
                      <w:marRight w:val="0"/>
                      <w:marTop w:val="0"/>
                      <w:marBottom w:val="0"/>
                      <w:divBdr>
                        <w:top w:val="none" w:sz="0" w:space="0" w:color="auto"/>
                        <w:left w:val="none" w:sz="0" w:space="0" w:color="auto"/>
                        <w:bottom w:val="none" w:sz="0" w:space="0" w:color="auto"/>
                        <w:right w:val="none" w:sz="0" w:space="0" w:color="auto"/>
                      </w:divBdr>
                    </w:div>
                  </w:divsChild>
                </w:div>
                <w:div w:id="1687713087">
                  <w:marLeft w:val="0"/>
                  <w:marRight w:val="0"/>
                  <w:marTop w:val="0"/>
                  <w:marBottom w:val="0"/>
                  <w:divBdr>
                    <w:top w:val="none" w:sz="0" w:space="0" w:color="auto"/>
                    <w:left w:val="none" w:sz="0" w:space="0" w:color="auto"/>
                    <w:bottom w:val="none" w:sz="0" w:space="0" w:color="auto"/>
                    <w:right w:val="none" w:sz="0" w:space="0" w:color="auto"/>
                  </w:divBdr>
                  <w:divsChild>
                    <w:div w:id="492256579">
                      <w:marLeft w:val="0"/>
                      <w:marRight w:val="0"/>
                      <w:marTop w:val="120"/>
                      <w:marBottom w:val="0"/>
                      <w:divBdr>
                        <w:top w:val="none" w:sz="0" w:space="0" w:color="auto"/>
                        <w:left w:val="none" w:sz="0" w:space="0" w:color="auto"/>
                        <w:bottom w:val="none" w:sz="0" w:space="0" w:color="auto"/>
                        <w:right w:val="none" w:sz="0" w:space="0" w:color="auto"/>
                      </w:divBdr>
                    </w:div>
                    <w:div w:id="1241521420">
                      <w:marLeft w:val="0"/>
                      <w:marRight w:val="0"/>
                      <w:marTop w:val="0"/>
                      <w:marBottom w:val="0"/>
                      <w:divBdr>
                        <w:top w:val="none" w:sz="0" w:space="0" w:color="auto"/>
                        <w:left w:val="none" w:sz="0" w:space="0" w:color="auto"/>
                        <w:bottom w:val="none" w:sz="0" w:space="0" w:color="auto"/>
                        <w:right w:val="none" w:sz="0" w:space="0" w:color="auto"/>
                      </w:divBdr>
                    </w:div>
                  </w:divsChild>
                </w:div>
                <w:div w:id="1933392821">
                  <w:marLeft w:val="0"/>
                  <w:marRight w:val="0"/>
                  <w:marTop w:val="0"/>
                  <w:marBottom w:val="0"/>
                  <w:divBdr>
                    <w:top w:val="none" w:sz="0" w:space="0" w:color="auto"/>
                    <w:left w:val="none" w:sz="0" w:space="0" w:color="auto"/>
                    <w:bottom w:val="none" w:sz="0" w:space="0" w:color="auto"/>
                    <w:right w:val="none" w:sz="0" w:space="0" w:color="auto"/>
                  </w:divBdr>
                  <w:divsChild>
                    <w:div w:id="1555966712">
                      <w:marLeft w:val="0"/>
                      <w:marRight w:val="0"/>
                      <w:marTop w:val="120"/>
                      <w:marBottom w:val="0"/>
                      <w:divBdr>
                        <w:top w:val="none" w:sz="0" w:space="0" w:color="auto"/>
                        <w:left w:val="none" w:sz="0" w:space="0" w:color="auto"/>
                        <w:bottom w:val="none" w:sz="0" w:space="0" w:color="auto"/>
                        <w:right w:val="none" w:sz="0" w:space="0" w:color="auto"/>
                      </w:divBdr>
                    </w:div>
                    <w:div w:id="20679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3833">
              <w:marLeft w:val="0"/>
              <w:marRight w:val="0"/>
              <w:marTop w:val="120"/>
              <w:marBottom w:val="0"/>
              <w:divBdr>
                <w:top w:val="none" w:sz="0" w:space="0" w:color="auto"/>
                <w:left w:val="none" w:sz="0" w:space="0" w:color="auto"/>
                <w:bottom w:val="none" w:sz="0" w:space="0" w:color="auto"/>
                <w:right w:val="none" w:sz="0" w:space="0" w:color="auto"/>
              </w:divBdr>
            </w:div>
          </w:divsChild>
        </w:div>
        <w:div w:id="235670620">
          <w:marLeft w:val="0"/>
          <w:marRight w:val="0"/>
          <w:marTop w:val="0"/>
          <w:marBottom w:val="0"/>
          <w:divBdr>
            <w:top w:val="none" w:sz="0" w:space="0" w:color="auto"/>
            <w:left w:val="none" w:sz="0" w:space="0" w:color="auto"/>
            <w:bottom w:val="none" w:sz="0" w:space="0" w:color="auto"/>
            <w:right w:val="none" w:sz="0" w:space="0" w:color="auto"/>
          </w:divBdr>
          <w:divsChild>
            <w:div w:id="265624094">
              <w:marLeft w:val="0"/>
              <w:marRight w:val="0"/>
              <w:marTop w:val="0"/>
              <w:marBottom w:val="0"/>
              <w:divBdr>
                <w:top w:val="none" w:sz="0" w:space="0" w:color="auto"/>
                <w:left w:val="none" w:sz="0" w:space="0" w:color="auto"/>
                <w:bottom w:val="none" w:sz="0" w:space="0" w:color="auto"/>
                <w:right w:val="none" w:sz="0" w:space="0" w:color="auto"/>
              </w:divBdr>
            </w:div>
            <w:div w:id="1437871334">
              <w:marLeft w:val="0"/>
              <w:marRight w:val="0"/>
              <w:marTop w:val="120"/>
              <w:marBottom w:val="0"/>
              <w:divBdr>
                <w:top w:val="none" w:sz="0" w:space="0" w:color="auto"/>
                <w:left w:val="none" w:sz="0" w:space="0" w:color="auto"/>
                <w:bottom w:val="none" w:sz="0" w:space="0" w:color="auto"/>
                <w:right w:val="none" w:sz="0" w:space="0" w:color="auto"/>
              </w:divBdr>
            </w:div>
          </w:divsChild>
        </w:div>
        <w:div w:id="656304373">
          <w:marLeft w:val="0"/>
          <w:marRight w:val="0"/>
          <w:marTop w:val="0"/>
          <w:marBottom w:val="0"/>
          <w:divBdr>
            <w:top w:val="none" w:sz="0" w:space="0" w:color="auto"/>
            <w:left w:val="none" w:sz="0" w:space="0" w:color="auto"/>
            <w:bottom w:val="none" w:sz="0" w:space="0" w:color="auto"/>
            <w:right w:val="none" w:sz="0" w:space="0" w:color="auto"/>
          </w:divBdr>
          <w:divsChild>
            <w:div w:id="616331560">
              <w:marLeft w:val="0"/>
              <w:marRight w:val="0"/>
              <w:marTop w:val="0"/>
              <w:marBottom w:val="0"/>
              <w:divBdr>
                <w:top w:val="none" w:sz="0" w:space="0" w:color="auto"/>
                <w:left w:val="none" w:sz="0" w:space="0" w:color="auto"/>
                <w:bottom w:val="none" w:sz="0" w:space="0" w:color="auto"/>
                <w:right w:val="none" w:sz="0" w:space="0" w:color="auto"/>
              </w:divBdr>
            </w:div>
            <w:div w:id="1302535231">
              <w:marLeft w:val="0"/>
              <w:marRight w:val="0"/>
              <w:marTop w:val="120"/>
              <w:marBottom w:val="0"/>
              <w:divBdr>
                <w:top w:val="none" w:sz="0" w:space="0" w:color="auto"/>
                <w:left w:val="none" w:sz="0" w:space="0" w:color="auto"/>
                <w:bottom w:val="none" w:sz="0" w:space="0" w:color="auto"/>
                <w:right w:val="none" w:sz="0" w:space="0" w:color="auto"/>
              </w:divBdr>
            </w:div>
          </w:divsChild>
        </w:div>
        <w:div w:id="770049216">
          <w:marLeft w:val="0"/>
          <w:marRight w:val="0"/>
          <w:marTop w:val="0"/>
          <w:marBottom w:val="0"/>
          <w:divBdr>
            <w:top w:val="none" w:sz="0" w:space="0" w:color="auto"/>
            <w:left w:val="none" w:sz="0" w:space="0" w:color="auto"/>
            <w:bottom w:val="none" w:sz="0" w:space="0" w:color="auto"/>
            <w:right w:val="none" w:sz="0" w:space="0" w:color="auto"/>
          </w:divBdr>
          <w:divsChild>
            <w:div w:id="892346407">
              <w:marLeft w:val="0"/>
              <w:marRight w:val="0"/>
              <w:marTop w:val="120"/>
              <w:marBottom w:val="0"/>
              <w:divBdr>
                <w:top w:val="none" w:sz="0" w:space="0" w:color="auto"/>
                <w:left w:val="none" w:sz="0" w:space="0" w:color="auto"/>
                <w:bottom w:val="none" w:sz="0" w:space="0" w:color="auto"/>
                <w:right w:val="none" w:sz="0" w:space="0" w:color="auto"/>
              </w:divBdr>
            </w:div>
            <w:div w:id="1451512519">
              <w:marLeft w:val="0"/>
              <w:marRight w:val="0"/>
              <w:marTop w:val="0"/>
              <w:marBottom w:val="0"/>
              <w:divBdr>
                <w:top w:val="none" w:sz="0" w:space="0" w:color="auto"/>
                <w:left w:val="none" w:sz="0" w:space="0" w:color="auto"/>
                <w:bottom w:val="none" w:sz="0" w:space="0" w:color="auto"/>
                <w:right w:val="none" w:sz="0" w:space="0" w:color="auto"/>
              </w:divBdr>
              <w:divsChild>
                <w:div w:id="45643093">
                  <w:marLeft w:val="0"/>
                  <w:marRight w:val="0"/>
                  <w:marTop w:val="0"/>
                  <w:marBottom w:val="0"/>
                  <w:divBdr>
                    <w:top w:val="none" w:sz="0" w:space="0" w:color="auto"/>
                    <w:left w:val="none" w:sz="0" w:space="0" w:color="auto"/>
                    <w:bottom w:val="none" w:sz="0" w:space="0" w:color="auto"/>
                    <w:right w:val="none" w:sz="0" w:space="0" w:color="auto"/>
                  </w:divBdr>
                  <w:divsChild>
                    <w:div w:id="574709001">
                      <w:marLeft w:val="0"/>
                      <w:marRight w:val="0"/>
                      <w:marTop w:val="120"/>
                      <w:marBottom w:val="0"/>
                      <w:divBdr>
                        <w:top w:val="none" w:sz="0" w:space="0" w:color="auto"/>
                        <w:left w:val="none" w:sz="0" w:space="0" w:color="auto"/>
                        <w:bottom w:val="none" w:sz="0" w:space="0" w:color="auto"/>
                        <w:right w:val="none" w:sz="0" w:space="0" w:color="auto"/>
                      </w:divBdr>
                    </w:div>
                    <w:div w:id="1353612397">
                      <w:marLeft w:val="0"/>
                      <w:marRight w:val="0"/>
                      <w:marTop w:val="0"/>
                      <w:marBottom w:val="0"/>
                      <w:divBdr>
                        <w:top w:val="none" w:sz="0" w:space="0" w:color="auto"/>
                        <w:left w:val="none" w:sz="0" w:space="0" w:color="auto"/>
                        <w:bottom w:val="none" w:sz="0" w:space="0" w:color="auto"/>
                        <w:right w:val="none" w:sz="0" w:space="0" w:color="auto"/>
                      </w:divBdr>
                    </w:div>
                  </w:divsChild>
                </w:div>
                <w:div w:id="1185052311">
                  <w:marLeft w:val="0"/>
                  <w:marRight w:val="0"/>
                  <w:marTop w:val="0"/>
                  <w:marBottom w:val="0"/>
                  <w:divBdr>
                    <w:top w:val="none" w:sz="0" w:space="0" w:color="auto"/>
                    <w:left w:val="none" w:sz="0" w:space="0" w:color="auto"/>
                    <w:bottom w:val="none" w:sz="0" w:space="0" w:color="auto"/>
                    <w:right w:val="none" w:sz="0" w:space="0" w:color="auto"/>
                  </w:divBdr>
                  <w:divsChild>
                    <w:div w:id="227158307">
                      <w:marLeft w:val="0"/>
                      <w:marRight w:val="0"/>
                      <w:marTop w:val="0"/>
                      <w:marBottom w:val="0"/>
                      <w:divBdr>
                        <w:top w:val="none" w:sz="0" w:space="0" w:color="auto"/>
                        <w:left w:val="none" w:sz="0" w:space="0" w:color="auto"/>
                        <w:bottom w:val="none" w:sz="0" w:space="0" w:color="auto"/>
                        <w:right w:val="none" w:sz="0" w:space="0" w:color="auto"/>
                      </w:divBdr>
                    </w:div>
                    <w:div w:id="468864816">
                      <w:marLeft w:val="0"/>
                      <w:marRight w:val="0"/>
                      <w:marTop w:val="120"/>
                      <w:marBottom w:val="0"/>
                      <w:divBdr>
                        <w:top w:val="none" w:sz="0" w:space="0" w:color="auto"/>
                        <w:left w:val="none" w:sz="0" w:space="0" w:color="auto"/>
                        <w:bottom w:val="none" w:sz="0" w:space="0" w:color="auto"/>
                        <w:right w:val="none" w:sz="0" w:space="0" w:color="auto"/>
                      </w:divBdr>
                    </w:div>
                  </w:divsChild>
                </w:div>
                <w:div w:id="1922441963">
                  <w:marLeft w:val="0"/>
                  <w:marRight w:val="0"/>
                  <w:marTop w:val="0"/>
                  <w:marBottom w:val="0"/>
                  <w:divBdr>
                    <w:top w:val="none" w:sz="0" w:space="0" w:color="auto"/>
                    <w:left w:val="none" w:sz="0" w:space="0" w:color="auto"/>
                    <w:bottom w:val="none" w:sz="0" w:space="0" w:color="auto"/>
                    <w:right w:val="none" w:sz="0" w:space="0" w:color="auto"/>
                  </w:divBdr>
                  <w:divsChild>
                    <w:div w:id="1094009072">
                      <w:marLeft w:val="0"/>
                      <w:marRight w:val="0"/>
                      <w:marTop w:val="120"/>
                      <w:marBottom w:val="0"/>
                      <w:divBdr>
                        <w:top w:val="none" w:sz="0" w:space="0" w:color="auto"/>
                        <w:left w:val="none" w:sz="0" w:space="0" w:color="auto"/>
                        <w:bottom w:val="none" w:sz="0" w:space="0" w:color="auto"/>
                        <w:right w:val="none" w:sz="0" w:space="0" w:color="auto"/>
                      </w:divBdr>
                    </w:div>
                    <w:div w:id="1255630588">
                      <w:marLeft w:val="0"/>
                      <w:marRight w:val="0"/>
                      <w:marTop w:val="0"/>
                      <w:marBottom w:val="0"/>
                      <w:divBdr>
                        <w:top w:val="none" w:sz="0" w:space="0" w:color="auto"/>
                        <w:left w:val="none" w:sz="0" w:space="0" w:color="auto"/>
                        <w:bottom w:val="none" w:sz="0" w:space="0" w:color="auto"/>
                        <w:right w:val="none" w:sz="0" w:space="0" w:color="auto"/>
                      </w:divBdr>
                    </w:div>
                  </w:divsChild>
                </w:div>
                <w:div w:id="2105220747">
                  <w:marLeft w:val="0"/>
                  <w:marRight w:val="0"/>
                  <w:marTop w:val="0"/>
                  <w:marBottom w:val="0"/>
                  <w:divBdr>
                    <w:top w:val="none" w:sz="0" w:space="0" w:color="auto"/>
                    <w:left w:val="none" w:sz="0" w:space="0" w:color="auto"/>
                    <w:bottom w:val="none" w:sz="0" w:space="0" w:color="auto"/>
                    <w:right w:val="none" w:sz="0" w:space="0" w:color="auto"/>
                  </w:divBdr>
                  <w:divsChild>
                    <w:div w:id="31997859">
                      <w:marLeft w:val="0"/>
                      <w:marRight w:val="0"/>
                      <w:marTop w:val="120"/>
                      <w:marBottom w:val="0"/>
                      <w:divBdr>
                        <w:top w:val="none" w:sz="0" w:space="0" w:color="auto"/>
                        <w:left w:val="none" w:sz="0" w:space="0" w:color="auto"/>
                        <w:bottom w:val="none" w:sz="0" w:space="0" w:color="auto"/>
                        <w:right w:val="none" w:sz="0" w:space="0" w:color="auto"/>
                      </w:divBdr>
                    </w:div>
                    <w:div w:id="19285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8459">
          <w:marLeft w:val="0"/>
          <w:marRight w:val="0"/>
          <w:marTop w:val="0"/>
          <w:marBottom w:val="0"/>
          <w:divBdr>
            <w:top w:val="none" w:sz="0" w:space="0" w:color="auto"/>
            <w:left w:val="none" w:sz="0" w:space="0" w:color="auto"/>
            <w:bottom w:val="none" w:sz="0" w:space="0" w:color="auto"/>
            <w:right w:val="none" w:sz="0" w:space="0" w:color="auto"/>
          </w:divBdr>
          <w:divsChild>
            <w:div w:id="528378798">
              <w:marLeft w:val="0"/>
              <w:marRight w:val="0"/>
              <w:marTop w:val="120"/>
              <w:marBottom w:val="0"/>
              <w:divBdr>
                <w:top w:val="none" w:sz="0" w:space="0" w:color="auto"/>
                <w:left w:val="none" w:sz="0" w:space="0" w:color="auto"/>
                <w:bottom w:val="none" w:sz="0" w:space="0" w:color="auto"/>
                <w:right w:val="none" w:sz="0" w:space="0" w:color="auto"/>
              </w:divBdr>
            </w:div>
            <w:div w:id="659651174">
              <w:marLeft w:val="0"/>
              <w:marRight w:val="0"/>
              <w:marTop w:val="0"/>
              <w:marBottom w:val="0"/>
              <w:divBdr>
                <w:top w:val="none" w:sz="0" w:space="0" w:color="auto"/>
                <w:left w:val="none" w:sz="0" w:space="0" w:color="auto"/>
                <w:bottom w:val="none" w:sz="0" w:space="0" w:color="auto"/>
                <w:right w:val="none" w:sz="0" w:space="0" w:color="auto"/>
              </w:divBdr>
            </w:div>
          </w:divsChild>
        </w:div>
        <w:div w:id="1518159225">
          <w:marLeft w:val="0"/>
          <w:marRight w:val="0"/>
          <w:marTop w:val="0"/>
          <w:marBottom w:val="0"/>
          <w:divBdr>
            <w:top w:val="none" w:sz="0" w:space="0" w:color="auto"/>
            <w:left w:val="none" w:sz="0" w:space="0" w:color="auto"/>
            <w:bottom w:val="none" w:sz="0" w:space="0" w:color="auto"/>
            <w:right w:val="none" w:sz="0" w:space="0" w:color="auto"/>
          </w:divBdr>
          <w:divsChild>
            <w:div w:id="87846018">
              <w:marLeft w:val="0"/>
              <w:marRight w:val="0"/>
              <w:marTop w:val="0"/>
              <w:marBottom w:val="0"/>
              <w:divBdr>
                <w:top w:val="none" w:sz="0" w:space="0" w:color="auto"/>
                <w:left w:val="none" w:sz="0" w:space="0" w:color="auto"/>
                <w:bottom w:val="none" w:sz="0" w:space="0" w:color="auto"/>
                <w:right w:val="none" w:sz="0" w:space="0" w:color="auto"/>
              </w:divBdr>
            </w:div>
            <w:div w:id="1356812394">
              <w:marLeft w:val="0"/>
              <w:marRight w:val="0"/>
              <w:marTop w:val="120"/>
              <w:marBottom w:val="0"/>
              <w:divBdr>
                <w:top w:val="none" w:sz="0" w:space="0" w:color="auto"/>
                <w:left w:val="none" w:sz="0" w:space="0" w:color="auto"/>
                <w:bottom w:val="none" w:sz="0" w:space="0" w:color="auto"/>
                <w:right w:val="none" w:sz="0" w:space="0" w:color="auto"/>
              </w:divBdr>
            </w:div>
          </w:divsChild>
        </w:div>
        <w:div w:id="1761022120">
          <w:marLeft w:val="0"/>
          <w:marRight w:val="0"/>
          <w:marTop w:val="0"/>
          <w:marBottom w:val="0"/>
          <w:divBdr>
            <w:top w:val="none" w:sz="0" w:space="0" w:color="auto"/>
            <w:left w:val="none" w:sz="0" w:space="0" w:color="auto"/>
            <w:bottom w:val="none" w:sz="0" w:space="0" w:color="auto"/>
            <w:right w:val="none" w:sz="0" w:space="0" w:color="auto"/>
          </w:divBdr>
          <w:divsChild>
            <w:div w:id="1559589599">
              <w:marLeft w:val="0"/>
              <w:marRight w:val="0"/>
              <w:marTop w:val="120"/>
              <w:marBottom w:val="0"/>
              <w:divBdr>
                <w:top w:val="none" w:sz="0" w:space="0" w:color="auto"/>
                <w:left w:val="none" w:sz="0" w:space="0" w:color="auto"/>
                <w:bottom w:val="none" w:sz="0" w:space="0" w:color="auto"/>
                <w:right w:val="none" w:sz="0" w:space="0" w:color="auto"/>
              </w:divBdr>
            </w:div>
            <w:div w:id="2121410479">
              <w:marLeft w:val="0"/>
              <w:marRight w:val="0"/>
              <w:marTop w:val="0"/>
              <w:marBottom w:val="0"/>
              <w:divBdr>
                <w:top w:val="none" w:sz="0" w:space="0" w:color="auto"/>
                <w:left w:val="none" w:sz="0" w:space="0" w:color="auto"/>
                <w:bottom w:val="none" w:sz="0" w:space="0" w:color="auto"/>
                <w:right w:val="none" w:sz="0" w:space="0" w:color="auto"/>
              </w:divBdr>
            </w:div>
          </w:divsChild>
        </w:div>
        <w:div w:id="2109305636">
          <w:marLeft w:val="0"/>
          <w:marRight w:val="0"/>
          <w:marTop w:val="0"/>
          <w:marBottom w:val="0"/>
          <w:divBdr>
            <w:top w:val="none" w:sz="0" w:space="0" w:color="auto"/>
            <w:left w:val="none" w:sz="0" w:space="0" w:color="auto"/>
            <w:bottom w:val="none" w:sz="0" w:space="0" w:color="auto"/>
            <w:right w:val="none" w:sz="0" w:space="0" w:color="auto"/>
          </w:divBdr>
          <w:divsChild>
            <w:div w:id="249972218">
              <w:marLeft w:val="0"/>
              <w:marRight w:val="0"/>
              <w:marTop w:val="120"/>
              <w:marBottom w:val="0"/>
              <w:divBdr>
                <w:top w:val="none" w:sz="0" w:space="0" w:color="auto"/>
                <w:left w:val="none" w:sz="0" w:space="0" w:color="auto"/>
                <w:bottom w:val="none" w:sz="0" w:space="0" w:color="auto"/>
                <w:right w:val="none" w:sz="0" w:space="0" w:color="auto"/>
              </w:divBdr>
            </w:div>
            <w:div w:id="825366379">
              <w:marLeft w:val="0"/>
              <w:marRight w:val="0"/>
              <w:marTop w:val="0"/>
              <w:marBottom w:val="0"/>
              <w:divBdr>
                <w:top w:val="none" w:sz="0" w:space="0" w:color="auto"/>
                <w:left w:val="none" w:sz="0" w:space="0" w:color="auto"/>
                <w:bottom w:val="none" w:sz="0" w:space="0" w:color="auto"/>
                <w:right w:val="none" w:sz="0" w:space="0" w:color="auto"/>
              </w:divBdr>
              <w:divsChild>
                <w:div w:id="609430348">
                  <w:marLeft w:val="0"/>
                  <w:marRight w:val="0"/>
                  <w:marTop w:val="0"/>
                  <w:marBottom w:val="0"/>
                  <w:divBdr>
                    <w:top w:val="none" w:sz="0" w:space="0" w:color="auto"/>
                    <w:left w:val="none" w:sz="0" w:space="0" w:color="auto"/>
                    <w:bottom w:val="none" w:sz="0" w:space="0" w:color="auto"/>
                    <w:right w:val="none" w:sz="0" w:space="0" w:color="auto"/>
                  </w:divBdr>
                  <w:divsChild>
                    <w:div w:id="260187148">
                      <w:marLeft w:val="0"/>
                      <w:marRight w:val="0"/>
                      <w:marTop w:val="120"/>
                      <w:marBottom w:val="0"/>
                      <w:divBdr>
                        <w:top w:val="none" w:sz="0" w:space="0" w:color="auto"/>
                        <w:left w:val="none" w:sz="0" w:space="0" w:color="auto"/>
                        <w:bottom w:val="none" w:sz="0" w:space="0" w:color="auto"/>
                        <w:right w:val="none" w:sz="0" w:space="0" w:color="auto"/>
                      </w:divBdr>
                    </w:div>
                    <w:div w:id="1987972648">
                      <w:marLeft w:val="0"/>
                      <w:marRight w:val="0"/>
                      <w:marTop w:val="0"/>
                      <w:marBottom w:val="0"/>
                      <w:divBdr>
                        <w:top w:val="none" w:sz="0" w:space="0" w:color="auto"/>
                        <w:left w:val="none" w:sz="0" w:space="0" w:color="auto"/>
                        <w:bottom w:val="none" w:sz="0" w:space="0" w:color="auto"/>
                        <w:right w:val="none" w:sz="0" w:space="0" w:color="auto"/>
                      </w:divBdr>
                    </w:div>
                  </w:divsChild>
                </w:div>
                <w:div w:id="658269209">
                  <w:marLeft w:val="0"/>
                  <w:marRight w:val="0"/>
                  <w:marTop w:val="0"/>
                  <w:marBottom w:val="0"/>
                  <w:divBdr>
                    <w:top w:val="none" w:sz="0" w:space="0" w:color="auto"/>
                    <w:left w:val="none" w:sz="0" w:space="0" w:color="auto"/>
                    <w:bottom w:val="none" w:sz="0" w:space="0" w:color="auto"/>
                    <w:right w:val="none" w:sz="0" w:space="0" w:color="auto"/>
                  </w:divBdr>
                  <w:divsChild>
                    <w:div w:id="1154419879">
                      <w:marLeft w:val="0"/>
                      <w:marRight w:val="0"/>
                      <w:marTop w:val="120"/>
                      <w:marBottom w:val="0"/>
                      <w:divBdr>
                        <w:top w:val="none" w:sz="0" w:space="0" w:color="auto"/>
                        <w:left w:val="none" w:sz="0" w:space="0" w:color="auto"/>
                        <w:bottom w:val="none" w:sz="0" w:space="0" w:color="auto"/>
                        <w:right w:val="none" w:sz="0" w:space="0" w:color="auto"/>
                      </w:divBdr>
                    </w:div>
                    <w:div w:id="2070954123">
                      <w:marLeft w:val="0"/>
                      <w:marRight w:val="0"/>
                      <w:marTop w:val="0"/>
                      <w:marBottom w:val="0"/>
                      <w:divBdr>
                        <w:top w:val="none" w:sz="0" w:space="0" w:color="auto"/>
                        <w:left w:val="none" w:sz="0" w:space="0" w:color="auto"/>
                        <w:bottom w:val="none" w:sz="0" w:space="0" w:color="auto"/>
                        <w:right w:val="none" w:sz="0" w:space="0" w:color="auto"/>
                      </w:divBdr>
                    </w:div>
                  </w:divsChild>
                </w:div>
                <w:div w:id="1206482684">
                  <w:marLeft w:val="0"/>
                  <w:marRight w:val="0"/>
                  <w:marTop w:val="0"/>
                  <w:marBottom w:val="0"/>
                  <w:divBdr>
                    <w:top w:val="none" w:sz="0" w:space="0" w:color="auto"/>
                    <w:left w:val="none" w:sz="0" w:space="0" w:color="auto"/>
                    <w:bottom w:val="none" w:sz="0" w:space="0" w:color="auto"/>
                    <w:right w:val="none" w:sz="0" w:space="0" w:color="auto"/>
                  </w:divBdr>
                  <w:divsChild>
                    <w:div w:id="22826712">
                      <w:marLeft w:val="0"/>
                      <w:marRight w:val="0"/>
                      <w:marTop w:val="0"/>
                      <w:marBottom w:val="0"/>
                      <w:divBdr>
                        <w:top w:val="none" w:sz="0" w:space="0" w:color="auto"/>
                        <w:left w:val="none" w:sz="0" w:space="0" w:color="auto"/>
                        <w:bottom w:val="none" w:sz="0" w:space="0" w:color="auto"/>
                        <w:right w:val="none" w:sz="0" w:space="0" w:color="auto"/>
                      </w:divBdr>
                    </w:div>
                    <w:div w:id="103309088">
                      <w:marLeft w:val="0"/>
                      <w:marRight w:val="0"/>
                      <w:marTop w:val="120"/>
                      <w:marBottom w:val="0"/>
                      <w:divBdr>
                        <w:top w:val="none" w:sz="0" w:space="0" w:color="auto"/>
                        <w:left w:val="none" w:sz="0" w:space="0" w:color="auto"/>
                        <w:bottom w:val="none" w:sz="0" w:space="0" w:color="auto"/>
                        <w:right w:val="none" w:sz="0" w:space="0" w:color="auto"/>
                      </w:divBdr>
                    </w:div>
                  </w:divsChild>
                </w:div>
                <w:div w:id="1353066522">
                  <w:marLeft w:val="0"/>
                  <w:marRight w:val="0"/>
                  <w:marTop w:val="0"/>
                  <w:marBottom w:val="0"/>
                  <w:divBdr>
                    <w:top w:val="none" w:sz="0" w:space="0" w:color="auto"/>
                    <w:left w:val="none" w:sz="0" w:space="0" w:color="auto"/>
                    <w:bottom w:val="none" w:sz="0" w:space="0" w:color="auto"/>
                    <w:right w:val="none" w:sz="0" w:space="0" w:color="auto"/>
                  </w:divBdr>
                  <w:divsChild>
                    <w:div w:id="654453862">
                      <w:marLeft w:val="0"/>
                      <w:marRight w:val="0"/>
                      <w:marTop w:val="120"/>
                      <w:marBottom w:val="0"/>
                      <w:divBdr>
                        <w:top w:val="none" w:sz="0" w:space="0" w:color="auto"/>
                        <w:left w:val="none" w:sz="0" w:space="0" w:color="auto"/>
                        <w:bottom w:val="none" w:sz="0" w:space="0" w:color="auto"/>
                        <w:right w:val="none" w:sz="0" w:space="0" w:color="auto"/>
                      </w:divBdr>
                    </w:div>
                    <w:div w:id="1777168134">
                      <w:marLeft w:val="0"/>
                      <w:marRight w:val="0"/>
                      <w:marTop w:val="0"/>
                      <w:marBottom w:val="0"/>
                      <w:divBdr>
                        <w:top w:val="none" w:sz="0" w:space="0" w:color="auto"/>
                        <w:left w:val="none" w:sz="0" w:space="0" w:color="auto"/>
                        <w:bottom w:val="none" w:sz="0" w:space="0" w:color="auto"/>
                        <w:right w:val="none" w:sz="0" w:space="0" w:color="auto"/>
                      </w:divBdr>
                    </w:div>
                  </w:divsChild>
                </w:div>
                <w:div w:id="2015106248">
                  <w:marLeft w:val="0"/>
                  <w:marRight w:val="0"/>
                  <w:marTop w:val="0"/>
                  <w:marBottom w:val="0"/>
                  <w:divBdr>
                    <w:top w:val="none" w:sz="0" w:space="0" w:color="auto"/>
                    <w:left w:val="none" w:sz="0" w:space="0" w:color="auto"/>
                    <w:bottom w:val="none" w:sz="0" w:space="0" w:color="auto"/>
                    <w:right w:val="none" w:sz="0" w:space="0" w:color="auto"/>
                  </w:divBdr>
                  <w:divsChild>
                    <w:div w:id="1244070868">
                      <w:marLeft w:val="0"/>
                      <w:marRight w:val="0"/>
                      <w:marTop w:val="0"/>
                      <w:marBottom w:val="0"/>
                      <w:divBdr>
                        <w:top w:val="none" w:sz="0" w:space="0" w:color="auto"/>
                        <w:left w:val="none" w:sz="0" w:space="0" w:color="auto"/>
                        <w:bottom w:val="none" w:sz="0" w:space="0" w:color="auto"/>
                        <w:right w:val="none" w:sz="0" w:space="0" w:color="auto"/>
                      </w:divBdr>
                    </w:div>
                    <w:div w:id="12893616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34584127">
      <w:bodyDiv w:val="1"/>
      <w:marLeft w:val="0"/>
      <w:marRight w:val="0"/>
      <w:marTop w:val="0"/>
      <w:marBottom w:val="0"/>
      <w:divBdr>
        <w:top w:val="none" w:sz="0" w:space="0" w:color="auto"/>
        <w:left w:val="none" w:sz="0" w:space="0" w:color="auto"/>
        <w:bottom w:val="none" w:sz="0" w:space="0" w:color="auto"/>
        <w:right w:val="none" w:sz="0" w:space="0" w:color="auto"/>
      </w:divBdr>
    </w:div>
    <w:div w:id="235672395">
      <w:bodyDiv w:val="1"/>
      <w:marLeft w:val="0"/>
      <w:marRight w:val="0"/>
      <w:marTop w:val="0"/>
      <w:marBottom w:val="0"/>
      <w:divBdr>
        <w:top w:val="none" w:sz="0" w:space="0" w:color="auto"/>
        <w:left w:val="none" w:sz="0" w:space="0" w:color="auto"/>
        <w:bottom w:val="none" w:sz="0" w:space="0" w:color="auto"/>
        <w:right w:val="none" w:sz="0" w:space="0" w:color="auto"/>
      </w:divBdr>
      <w:divsChild>
        <w:div w:id="1235507824">
          <w:marLeft w:val="0"/>
          <w:marRight w:val="0"/>
          <w:marTop w:val="0"/>
          <w:marBottom w:val="0"/>
          <w:divBdr>
            <w:top w:val="none" w:sz="0" w:space="0" w:color="auto"/>
            <w:left w:val="none" w:sz="0" w:space="0" w:color="auto"/>
            <w:bottom w:val="none" w:sz="0" w:space="0" w:color="auto"/>
            <w:right w:val="none" w:sz="0" w:space="0" w:color="auto"/>
          </w:divBdr>
        </w:div>
      </w:divsChild>
    </w:div>
    <w:div w:id="236479814">
      <w:bodyDiv w:val="1"/>
      <w:marLeft w:val="0"/>
      <w:marRight w:val="0"/>
      <w:marTop w:val="0"/>
      <w:marBottom w:val="0"/>
      <w:divBdr>
        <w:top w:val="none" w:sz="0" w:space="0" w:color="auto"/>
        <w:left w:val="none" w:sz="0" w:space="0" w:color="auto"/>
        <w:bottom w:val="none" w:sz="0" w:space="0" w:color="auto"/>
        <w:right w:val="none" w:sz="0" w:space="0" w:color="auto"/>
      </w:divBdr>
      <w:divsChild>
        <w:div w:id="1072040811">
          <w:marLeft w:val="0"/>
          <w:marRight w:val="0"/>
          <w:marTop w:val="0"/>
          <w:marBottom w:val="0"/>
          <w:divBdr>
            <w:top w:val="none" w:sz="0" w:space="0" w:color="auto"/>
            <w:left w:val="none" w:sz="0" w:space="0" w:color="auto"/>
            <w:bottom w:val="none" w:sz="0" w:space="0" w:color="auto"/>
            <w:right w:val="none" w:sz="0" w:space="0" w:color="auto"/>
          </w:divBdr>
          <w:divsChild>
            <w:div w:id="1759595767">
              <w:marLeft w:val="0"/>
              <w:marRight w:val="0"/>
              <w:marTop w:val="0"/>
              <w:marBottom w:val="0"/>
              <w:divBdr>
                <w:top w:val="none" w:sz="0" w:space="0" w:color="auto"/>
                <w:left w:val="none" w:sz="0" w:space="0" w:color="auto"/>
                <w:bottom w:val="none" w:sz="0" w:space="0" w:color="auto"/>
                <w:right w:val="none" w:sz="0" w:space="0" w:color="auto"/>
              </w:divBdr>
              <w:divsChild>
                <w:div w:id="233778118">
                  <w:marLeft w:val="0"/>
                  <w:marRight w:val="0"/>
                  <w:marTop w:val="120"/>
                  <w:marBottom w:val="0"/>
                  <w:divBdr>
                    <w:top w:val="none" w:sz="0" w:space="0" w:color="auto"/>
                    <w:left w:val="none" w:sz="0" w:space="0" w:color="auto"/>
                    <w:bottom w:val="none" w:sz="0" w:space="0" w:color="auto"/>
                    <w:right w:val="none" w:sz="0" w:space="0" w:color="auto"/>
                  </w:divBdr>
                </w:div>
                <w:div w:id="1926104958">
                  <w:marLeft w:val="0"/>
                  <w:marRight w:val="0"/>
                  <w:marTop w:val="0"/>
                  <w:marBottom w:val="0"/>
                  <w:divBdr>
                    <w:top w:val="none" w:sz="0" w:space="0" w:color="auto"/>
                    <w:left w:val="none" w:sz="0" w:space="0" w:color="auto"/>
                    <w:bottom w:val="none" w:sz="0" w:space="0" w:color="auto"/>
                    <w:right w:val="none" w:sz="0" w:space="0" w:color="auto"/>
                  </w:divBdr>
                </w:div>
              </w:divsChild>
            </w:div>
            <w:div w:id="1940791093">
              <w:marLeft w:val="0"/>
              <w:marRight w:val="0"/>
              <w:marTop w:val="0"/>
              <w:marBottom w:val="0"/>
              <w:divBdr>
                <w:top w:val="none" w:sz="0" w:space="0" w:color="auto"/>
                <w:left w:val="none" w:sz="0" w:space="0" w:color="auto"/>
                <w:bottom w:val="none" w:sz="0" w:space="0" w:color="auto"/>
                <w:right w:val="none" w:sz="0" w:space="0" w:color="auto"/>
              </w:divBdr>
              <w:divsChild>
                <w:div w:id="627472072">
                  <w:marLeft w:val="0"/>
                  <w:marRight w:val="0"/>
                  <w:marTop w:val="0"/>
                  <w:marBottom w:val="0"/>
                  <w:divBdr>
                    <w:top w:val="none" w:sz="0" w:space="0" w:color="auto"/>
                    <w:left w:val="none" w:sz="0" w:space="0" w:color="auto"/>
                    <w:bottom w:val="none" w:sz="0" w:space="0" w:color="auto"/>
                    <w:right w:val="none" w:sz="0" w:space="0" w:color="auto"/>
                  </w:divBdr>
                </w:div>
                <w:div w:id="9477395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37329566">
      <w:bodyDiv w:val="1"/>
      <w:marLeft w:val="0"/>
      <w:marRight w:val="0"/>
      <w:marTop w:val="0"/>
      <w:marBottom w:val="0"/>
      <w:divBdr>
        <w:top w:val="none" w:sz="0" w:space="0" w:color="auto"/>
        <w:left w:val="none" w:sz="0" w:space="0" w:color="auto"/>
        <w:bottom w:val="none" w:sz="0" w:space="0" w:color="auto"/>
        <w:right w:val="none" w:sz="0" w:space="0" w:color="auto"/>
      </w:divBdr>
      <w:divsChild>
        <w:div w:id="1892224565">
          <w:marLeft w:val="0"/>
          <w:marRight w:val="0"/>
          <w:marTop w:val="0"/>
          <w:marBottom w:val="0"/>
          <w:divBdr>
            <w:top w:val="none" w:sz="0" w:space="0" w:color="auto"/>
            <w:left w:val="none" w:sz="0" w:space="0" w:color="auto"/>
            <w:bottom w:val="none" w:sz="0" w:space="0" w:color="auto"/>
            <w:right w:val="none" w:sz="0" w:space="0" w:color="auto"/>
          </w:divBdr>
          <w:divsChild>
            <w:div w:id="1634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2561">
      <w:bodyDiv w:val="1"/>
      <w:marLeft w:val="0"/>
      <w:marRight w:val="0"/>
      <w:marTop w:val="0"/>
      <w:marBottom w:val="0"/>
      <w:divBdr>
        <w:top w:val="none" w:sz="0" w:space="0" w:color="auto"/>
        <w:left w:val="none" w:sz="0" w:space="0" w:color="auto"/>
        <w:bottom w:val="none" w:sz="0" w:space="0" w:color="auto"/>
        <w:right w:val="none" w:sz="0" w:space="0" w:color="auto"/>
      </w:divBdr>
      <w:divsChild>
        <w:div w:id="5450335">
          <w:marLeft w:val="0"/>
          <w:marRight w:val="0"/>
          <w:marTop w:val="0"/>
          <w:marBottom w:val="0"/>
          <w:divBdr>
            <w:top w:val="none" w:sz="0" w:space="0" w:color="auto"/>
            <w:left w:val="none" w:sz="0" w:space="0" w:color="auto"/>
            <w:bottom w:val="none" w:sz="0" w:space="0" w:color="auto"/>
            <w:right w:val="none" w:sz="0" w:space="0" w:color="auto"/>
          </w:divBdr>
          <w:divsChild>
            <w:div w:id="674261147">
              <w:marLeft w:val="0"/>
              <w:marRight w:val="0"/>
              <w:marTop w:val="0"/>
              <w:marBottom w:val="0"/>
              <w:divBdr>
                <w:top w:val="none" w:sz="0" w:space="0" w:color="auto"/>
                <w:left w:val="none" w:sz="0" w:space="0" w:color="auto"/>
                <w:bottom w:val="none" w:sz="0" w:space="0" w:color="auto"/>
                <w:right w:val="none" w:sz="0" w:space="0" w:color="auto"/>
              </w:divBdr>
              <w:divsChild>
                <w:div w:id="1030372775">
                  <w:marLeft w:val="0"/>
                  <w:marRight w:val="0"/>
                  <w:marTop w:val="120"/>
                  <w:marBottom w:val="0"/>
                  <w:divBdr>
                    <w:top w:val="none" w:sz="0" w:space="0" w:color="auto"/>
                    <w:left w:val="none" w:sz="0" w:space="0" w:color="auto"/>
                    <w:bottom w:val="none" w:sz="0" w:space="0" w:color="auto"/>
                    <w:right w:val="none" w:sz="0" w:space="0" w:color="auto"/>
                  </w:divBdr>
                </w:div>
                <w:div w:id="1126463611">
                  <w:marLeft w:val="0"/>
                  <w:marRight w:val="0"/>
                  <w:marTop w:val="0"/>
                  <w:marBottom w:val="0"/>
                  <w:divBdr>
                    <w:top w:val="none" w:sz="0" w:space="0" w:color="auto"/>
                    <w:left w:val="none" w:sz="0" w:space="0" w:color="auto"/>
                    <w:bottom w:val="none" w:sz="0" w:space="0" w:color="auto"/>
                    <w:right w:val="none" w:sz="0" w:space="0" w:color="auto"/>
                  </w:divBdr>
                </w:div>
              </w:divsChild>
            </w:div>
            <w:div w:id="1115514384">
              <w:marLeft w:val="0"/>
              <w:marRight w:val="0"/>
              <w:marTop w:val="0"/>
              <w:marBottom w:val="0"/>
              <w:divBdr>
                <w:top w:val="none" w:sz="0" w:space="0" w:color="auto"/>
                <w:left w:val="none" w:sz="0" w:space="0" w:color="auto"/>
                <w:bottom w:val="none" w:sz="0" w:space="0" w:color="auto"/>
                <w:right w:val="none" w:sz="0" w:space="0" w:color="auto"/>
              </w:divBdr>
              <w:divsChild>
                <w:div w:id="967782029">
                  <w:marLeft w:val="0"/>
                  <w:marRight w:val="0"/>
                  <w:marTop w:val="120"/>
                  <w:marBottom w:val="0"/>
                  <w:divBdr>
                    <w:top w:val="none" w:sz="0" w:space="0" w:color="auto"/>
                    <w:left w:val="none" w:sz="0" w:space="0" w:color="auto"/>
                    <w:bottom w:val="none" w:sz="0" w:space="0" w:color="auto"/>
                    <w:right w:val="none" w:sz="0" w:space="0" w:color="auto"/>
                  </w:divBdr>
                </w:div>
                <w:div w:id="1842813769">
                  <w:marLeft w:val="0"/>
                  <w:marRight w:val="0"/>
                  <w:marTop w:val="0"/>
                  <w:marBottom w:val="0"/>
                  <w:divBdr>
                    <w:top w:val="none" w:sz="0" w:space="0" w:color="auto"/>
                    <w:left w:val="none" w:sz="0" w:space="0" w:color="auto"/>
                    <w:bottom w:val="none" w:sz="0" w:space="0" w:color="auto"/>
                    <w:right w:val="none" w:sz="0" w:space="0" w:color="auto"/>
                  </w:divBdr>
                </w:div>
              </w:divsChild>
            </w:div>
            <w:div w:id="1657681874">
              <w:marLeft w:val="0"/>
              <w:marRight w:val="0"/>
              <w:marTop w:val="0"/>
              <w:marBottom w:val="0"/>
              <w:divBdr>
                <w:top w:val="none" w:sz="0" w:space="0" w:color="auto"/>
                <w:left w:val="none" w:sz="0" w:space="0" w:color="auto"/>
                <w:bottom w:val="none" w:sz="0" w:space="0" w:color="auto"/>
                <w:right w:val="none" w:sz="0" w:space="0" w:color="auto"/>
              </w:divBdr>
              <w:divsChild>
                <w:div w:id="186405396">
                  <w:marLeft w:val="0"/>
                  <w:marRight w:val="0"/>
                  <w:marTop w:val="120"/>
                  <w:marBottom w:val="0"/>
                  <w:divBdr>
                    <w:top w:val="none" w:sz="0" w:space="0" w:color="auto"/>
                    <w:left w:val="none" w:sz="0" w:space="0" w:color="auto"/>
                    <w:bottom w:val="none" w:sz="0" w:space="0" w:color="auto"/>
                    <w:right w:val="none" w:sz="0" w:space="0" w:color="auto"/>
                  </w:divBdr>
                </w:div>
                <w:div w:id="18637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61838">
      <w:bodyDiv w:val="1"/>
      <w:marLeft w:val="0"/>
      <w:marRight w:val="0"/>
      <w:marTop w:val="0"/>
      <w:marBottom w:val="0"/>
      <w:divBdr>
        <w:top w:val="none" w:sz="0" w:space="0" w:color="auto"/>
        <w:left w:val="none" w:sz="0" w:space="0" w:color="auto"/>
        <w:bottom w:val="none" w:sz="0" w:space="0" w:color="auto"/>
        <w:right w:val="none" w:sz="0" w:space="0" w:color="auto"/>
      </w:divBdr>
      <w:divsChild>
        <w:div w:id="780993823">
          <w:marLeft w:val="0"/>
          <w:marRight w:val="0"/>
          <w:marTop w:val="0"/>
          <w:marBottom w:val="0"/>
          <w:divBdr>
            <w:top w:val="none" w:sz="0" w:space="0" w:color="auto"/>
            <w:left w:val="none" w:sz="0" w:space="0" w:color="auto"/>
            <w:bottom w:val="none" w:sz="0" w:space="0" w:color="auto"/>
            <w:right w:val="none" w:sz="0" w:space="0" w:color="auto"/>
          </w:divBdr>
          <w:divsChild>
            <w:div w:id="128012407">
              <w:marLeft w:val="0"/>
              <w:marRight w:val="0"/>
              <w:marTop w:val="0"/>
              <w:marBottom w:val="0"/>
              <w:divBdr>
                <w:top w:val="none" w:sz="0" w:space="0" w:color="auto"/>
                <w:left w:val="none" w:sz="0" w:space="0" w:color="auto"/>
                <w:bottom w:val="none" w:sz="0" w:space="0" w:color="auto"/>
                <w:right w:val="none" w:sz="0" w:space="0" w:color="auto"/>
              </w:divBdr>
              <w:divsChild>
                <w:div w:id="263926168">
                  <w:marLeft w:val="0"/>
                  <w:marRight w:val="0"/>
                  <w:marTop w:val="120"/>
                  <w:marBottom w:val="0"/>
                  <w:divBdr>
                    <w:top w:val="none" w:sz="0" w:space="0" w:color="auto"/>
                    <w:left w:val="none" w:sz="0" w:space="0" w:color="auto"/>
                    <w:bottom w:val="none" w:sz="0" w:space="0" w:color="auto"/>
                    <w:right w:val="none" w:sz="0" w:space="0" w:color="auto"/>
                  </w:divBdr>
                </w:div>
                <w:div w:id="997226982">
                  <w:marLeft w:val="0"/>
                  <w:marRight w:val="0"/>
                  <w:marTop w:val="0"/>
                  <w:marBottom w:val="0"/>
                  <w:divBdr>
                    <w:top w:val="none" w:sz="0" w:space="0" w:color="auto"/>
                    <w:left w:val="none" w:sz="0" w:space="0" w:color="auto"/>
                    <w:bottom w:val="none" w:sz="0" w:space="0" w:color="auto"/>
                    <w:right w:val="none" w:sz="0" w:space="0" w:color="auto"/>
                  </w:divBdr>
                </w:div>
              </w:divsChild>
            </w:div>
            <w:div w:id="288903405">
              <w:marLeft w:val="0"/>
              <w:marRight w:val="0"/>
              <w:marTop w:val="0"/>
              <w:marBottom w:val="0"/>
              <w:divBdr>
                <w:top w:val="none" w:sz="0" w:space="0" w:color="auto"/>
                <w:left w:val="none" w:sz="0" w:space="0" w:color="auto"/>
                <w:bottom w:val="none" w:sz="0" w:space="0" w:color="auto"/>
                <w:right w:val="none" w:sz="0" w:space="0" w:color="auto"/>
              </w:divBdr>
              <w:divsChild>
                <w:div w:id="123937760">
                  <w:marLeft w:val="0"/>
                  <w:marRight w:val="0"/>
                  <w:marTop w:val="120"/>
                  <w:marBottom w:val="0"/>
                  <w:divBdr>
                    <w:top w:val="none" w:sz="0" w:space="0" w:color="auto"/>
                    <w:left w:val="none" w:sz="0" w:space="0" w:color="auto"/>
                    <w:bottom w:val="none" w:sz="0" w:space="0" w:color="auto"/>
                    <w:right w:val="none" w:sz="0" w:space="0" w:color="auto"/>
                  </w:divBdr>
                </w:div>
                <w:div w:id="1255626795">
                  <w:marLeft w:val="0"/>
                  <w:marRight w:val="0"/>
                  <w:marTop w:val="0"/>
                  <w:marBottom w:val="0"/>
                  <w:divBdr>
                    <w:top w:val="none" w:sz="0" w:space="0" w:color="auto"/>
                    <w:left w:val="none" w:sz="0" w:space="0" w:color="auto"/>
                    <w:bottom w:val="none" w:sz="0" w:space="0" w:color="auto"/>
                    <w:right w:val="none" w:sz="0" w:space="0" w:color="auto"/>
                  </w:divBdr>
                </w:div>
              </w:divsChild>
            </w:div>
            <w:div w:id="518811239">
              <w:marLeft w:val="0"/>
              <w:marRight w:val="0"/>
              <w:marTop w:val="0"/>
              <w:marBottom w:val="0"/>
              <w:divBdr>
                <w:top w:val="none" w:sz="0" w:space="0" w:color="auto"/>
                <w:left w:val="none" w:sz="0" w:space="0" w:color="auto"/>
                <w:bottom w:val="none" w:sz="0" w:space="0" w:color="auto"/>
                <w:right w:val="none" w:sz="0" w:space="0" w:color="auto"/>
              </w:divBdr>
              <w:divsChild>
                <w:div w:id="642394673">
                  <w:marLeft w:val="0"/>
                  <w:marRight w:val="0"/>
                  <w:marTop w:val="0"/>
                  <w:marBottom w:val="0"/>
                  <w:divBdr>
                    <w:top w:val="none" w:sz="0" w:space="0" w:color="auto"/>
                    <w:left w:val="none" w:sz="0" w:space="0" w:color="auto"/>
                    <w:bottom w:val="none" w:sz="0" w:space="0" w:color="auto"/>
                    <w:right w:val="none" w:sz="0" w:space="0" w:color="auto"/>
                  </w:divBdr>
                </w:div>
                <w:div w:id="1386373912">
                  <w:marLeft w:val="0"/>
                  <w:marRight w:val="0"/>
                  <w:marTop w:val="120"/>
                  <w:marBottom w:val="0"/>
                  <w:divBdr>
                    <w:top w:val="none" w:sz="0" w:space="0" w:color="auto"/>
                    <w:left w:val="none" w:sz="0" w:space="0" w:color="auto"/>
                    <w:bottom w:val="none" w:sz="0" w:space="0" w:color="auto"/>
                    <w:right w:val="none" w:sz="0" w:space="0" w:color="auto"/>
                  </w:divBdr>
                </w:div>
              </w:divsChild>
            </w:div>
            <w:div w:id="636885493">
              <w:marLeft w:val="0"/>
              <w:marRight w:val="0"/>
              <w:marTop w:val="0"/>
              <w:marBottom w:val="0"/>
              <w:divBdr>
                <w:top w:val="none" w:sz="0" w:space="0" w:color="auto"/>
                <w:left w:val="none" w:sz="0" w:space="0" w:color="auto"/>
                <w:bottom w:val="none" w:sz="0" w:space="0" w:color="auto"/>
                <w:right w:val="none" w:sz="0" w:space="0" w:color="auto"/>
              </w:divBdr>
              <w:divsChild>
                <w:div w:id="1853372317">
                  <w:marLeft w:val="0"/>
                  <w:marRight w:val="0"/>
                  <w:marTop w:val="0"/>
                  <w:marBottom w:val="0"/>
                  <w:divBdr>
                    <w:top w:val="none" w:sz="0" w:space="0" w:color="auto"/>
                    <w:left w:val="none" w:sz="0" w:space="0" w:color="auto"/>
                    <w:bottom w:val="none" w:sz="0" w:space="0" w:color="auto"/>
                    <w:right w:val="none" w:sz="0" w:space="0" w:color="auto"/>
                  </w:divBdr>
                </w:div>
                <w:div w:id="1998683408">
                  <w:marLeft w:val="0"/>
                  <w:marRight w:val="0"/>
                  <w:marTop w:val="120"/>
                  <w:marBottom w:val="0"/>
                  <w:divBdr>
                    <w:top w:val="none" w:sz="0" w:space="0" w:color="auto"/>
                    <w:left w:val="none" w:sz="0" w:space="0" w:color="auto"/>
                    <w:bottom w:val="none" w:sz="0" w:space="0" w:color="auto"/>
                    <w:right w:val="none" w:sz="0" w:space="0" w:color="auto"/>
                  </w:divBdr>
                </w:div>
              </w:divsChild>
            </w:div>
            <w:div w:id="1530676917">
              <w:marLeft w:val="0"/>
              <w:marRight w:val="0"/>
              <w:marTop w:val="0"/>
              <w:marBottom w:val="0"/>
              <w:divBdr>
                <w:top w:val="none" w:sz="0" w:space="0" w:color="auto"/>
                <w:left w:val="none" w:sz="0" w:space="0" w:color="auto"/>
                <w:bottom w:val="none" w:sz="0" w:space="0" w:color="auto"/>
                <w:right w:val="none" w:sz="0" w:space="0" w:color="auto"/>
              </w:divBdr>
              <w:divsChild>
                <w:div w:id="145321037">
                  <w:marLeft w:val="0"/>
                  <w:marRight w:val="0"/>
                  <w:marTop w:val="0"/>
                  <w:marBottom w:val="0"/>
                  <w:divBdr>
                    <w:top w:val="none" w:sz="0" w:space="0" w:color="auto"/>
                    <w:left w:val="none" w:sz="0" w:space="0" w:color="auto"/>
                    <w:bottom w:val="none" w:sz="0" w:space="0" w:color="auto"/>
                    <w:right w:val="none" w:sz="0" w:space="0" w:color="auto"/>
                  </w:divBdr>
                </w:div>
                <w:div w:id="1323655045">
                  <w:marLeft w:val="0"/>
                  <w:marRight w:val="0"/>
                  <w:marTop w:val="120"/>
                  <w:marBottom w:val="0"/>
                  <w:divBdr>
                    <w:top w:val="none" w:sz="0" w:space="0" w:color="auto"/>
                    <w:left w:val="none" w:sz="0" w:space="0" w:color="auto"/>
                    <w:bottom w:val="none" w:sz="0" w:space="0" w:color="auto"/>
                    <w:right w:val="none" w:sz="0" w:space="0" w:color="auto"/>
                  </w:divBdr>
                </w:div>
              </w:divsChild>
            </w:div>
            <w:div w:id="1712001361">
              <w:marLeft w:val="0"/>
              <w:marRight w:val="0"/>
              <w:marTop w:val="0"/>
              <w:marBottom w:val="0"/>
              <w:divBdr>
                <w:top w:val="none" w:sz="0" w:space="0" w:color="auto"/>
                <w:left w:val="none" w:sz="0" w:space="0" w:color="auto"/>
                <w:bottom w:val="none" w:sz="0" w:space="0" w:color="auto"/>
                <w:right w:val="none" w:sz="0" w:space="0" w:color="auto"/>
              </w:divBdr>
              <w:divsChild>
                <w:div w:id="596250277">
                  <w:marLeft w:val="0"/>
                  <w:marRight w:val="0"/>
                  <w:marTop w:val="120"/>
                  <w:marBottom w:val="0"/>
                  <w:divBdr>
                    <w:top w:val="none" w:sz="0" w:space="0" w:color="auto"/>
                    <w:left w:val="none" w:sz="0" w:space="0" w:color="auto"/>
                    <w:bottom w:val="none" w:sz="0" w:space="0" w:color="auto"/>
                    <w:right w:val="none" w:sz="0" w:space="0" w:color="auto"/>
                  </w:divBdr>
                </w:div>
                <w:div w:id="17919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84185">
      <w:bodyDiv w:val="1"/>
      <w:marLeft w:val="0"/>
      <w:marRight w:val="0"/>
      <w:marTop w:val="0"/>
      <w:marBottom w:val="0"/>
      <w:divBdr>
        <w:top w:val="none" w:sz="0" w:space="0" w:color="auto"/>
        <w:left w:val="none" w:sz="0" w:space="0" w:color="auto"/>
        <w:bottom w:val="none" w:sz="0" w:space="0" w:color="auto"/>
        <w:right w:val="none" w:sz="0" w:space="0" w:color="auto"/>
      </w:divBdr>
      <w:divsChild>
        <w:div w:id="518324531">
          <w:marLeft w:val="0"/>
          <w:marRight w:val="0"/>
          <w:marTop w:val="0"/>
          <w:marBottom w:val="0"/>
          <w:divBdr>
            <w:top w:val="none" w:sz="0" w:space="0" w:color="auto"/>
            <w:left w:val="none" w:sz="0" w:space="0" w:color="auto"/>
            <w:bottom w:val="none" w:sz="0" w:space="0" w:color="auto"/>
            <w:right w:val="none" w:sz="0" w:space="0" w:color="auto"/>
          </w:divBdr>
        </w:div>
      </w:divsChild>
    </w:div>
    <w:div w:id="288825003">
      <w:bodyDiv w:val="1"/>
      <w:marLeft w:val="0"/>
      <w:marRight w:val="0"/>
      <w:marTop w:val="0"/>
      <w:marBottom w:val="0"/>
      <w:divBdr>
        <w:top w:val="none" w:sz="0" w:space="0" w:color="auto"/>
        <w:left w:val="none" w:sz="0" w:space="0" w:color="auto"/>
        <w:bottom w:val="none" w:sz="0" w:space="0" w:color="auto"/>
        <w:right w:val="none" w:sz="0" w:space="0" w:color="auto"/>
      </w:divBdr>
      <w:divsChild>
        <w:div w:id="439567248">
          <w:marLeft w:val="0"/>
          <w:marRight w:val="0"/>
          <w:marTop w:val="0"/>
          <w:marBottom w:val="0"/>
          <w:divBdr>
            <w:top w:val="none" w:sz="0" w:space="0" w:color="auto"/>
            <w:left w:val="none" w:sz="0" w:space="0" w:color="auto"/>
            <w:bottom w:val="none" w:sz="0" w:space="0" w:color="auto"/>
            <w:right w:val="none" w:sz="0" w:space="0" w:color="auto"/>
          </w:divBdr>
        </w:div>
      </w:divsChild>
    </w:div>
    <w:div w:id="292487861">
      <w:bodyDiv w:val="1"/>
      <w:marLeft w:val="0"/>
      <w:marRight w:val="0"/>
      <w:marTop w:val="0"/>
      <w:marBottom w:val="0"/>
      <w:divBdr>
        <w:top w:val="none" w:sz="0" w:space="0" w:color="auto"/>
        <w:left w:val="none" w:sz="0" w:space="0" w:color="auto"/>
        <w:bottom w:val="none" w:sz="0" w:space="0" w:color="auto"/>
        <w:right w:val="none" w:sz="0" w:space="0" w:color="auto"/>
      </w:divBdr>
      <w:divsChild>
        <w:div w:id="524288501">
          <w:marLeft w:val="0"/>
          <w:marRight w:val="0"/>
          <w:marTop w:val="0"/>
          <w:marBottom w:val="0"/>
          <w:divBdr>
            <w:top w:val="none" w:sz="0" w:space="0" w:color="auto"/>
            <w:left w:val="none" w:sz="0" w:space="0" w:color="auto"/>
            <w:bottom w:val="none" w:sz="0" w:space="0" w:color="auto"/>
            <w:right w:val="none" w:sz="0" w:space="0" w:color="auto"/>
          </w:divBdr>
          <w:divsChild>
            <w:div w:id="221528630">
              <w:marLeft w:val="0"/>
              <w:marRight w:val="0"/>
              <w:marTop w:val="0"/>
              <w:marBottom w:val="0"/>
              <w:divBdr>
                <w:top w:val="none" w:sz="0" w:space="0" w:color="auto"/>
                <w:left w:val="none" w:sz="0" w:space="0" w:color="auto"/>
                <w:bottom w:val="none" w:sz="0" w:space="0" w:color="auto"/>
                <w:right w:val="none" w:sz="0" w:space="0" w:color="auto"/>
              </w:divBdr>
            </w:div>
            <w:div w:id="1828327816">
              <w:marLeft w:val="0"/>
              <w:marRight w:val="0"/>
              <w:marTop w:val="120"/>
              <w:marBottom w:val="0"/>
              <w:divBdr>
                <w:top w:val="none" w:sz="0" w:space="0" w:color="auto"/>
                <w:left w:val="none" w:sz="0" w:space="0" w:color="auto"/>
                <w:bottom w:val="none" w:sz="0" w:space="0" w:color="auto"/>
                <w:right w:val="none" w:sz="0" w:space="0" w:color="auto"/>
              </w:divBdr>
            </w:div>
          </w:divsChild>
        </w:div>
        <w:div w:id="529339900">
          <w:marLeft w:val="0"/>
          <w:marRight w:val="0"/>
          <w:marTop w:val="0"/>
          <w:marBottom w:val="0"/>
          <w:divBdr>
            <w:top w:val="none" w:sz="0" w:space="0" w:color="auto"/>
            <w:left w:val="none" w:sz="0" w:space="0" w:color="auto"/>
            <w:bottom w:val="none" w:sz="0" w:space="0" w:color="auto"/>
            <w:right w:val="none" w:sz="0" w:space="0" w:color="auto"/>
          </w:divBdr>
          <w:divsChild>
            <w:div w:id="534736287">
              <w:marLeft w:val="0"/>
              <w:marRight w:val="0"/>
              <w:marTop w:val="120"/>
              <w:marBottom w:val="0"/>
              <w:divBdr>
                <w:top w:val="none" w:sz="0" w:space="0" w:color="auto"/>
                <w:left w:val="none" w:sz="0" w:space="0" w:color="auto"/>
                <w:bottom w:val="none" w:sz="0" w:space="0" w:color="auto"/>
                <w:right w:val="none" w:sz="0" w:space="0" w:color="auto"/>
              </w:divBdr>
            </w:div>
            <w:div w:id="673798378">
              <w:marLeft w:val="0"/>
              <w:marRight w:val="0"/>
              <w:marTop w:val="0"/>
              <w:marBottom w:val="0"/>
              <w:divBdr>
                <w:top w:val="none" w:sz="0" w:space="0" w:color="auto"/>
                <w:left w:val="none" w:sz="0" w:space="0" w:color="auto"/>
                <w:bottom w:val="none" w:sz="0" w:space="0" w:color="auto"/>
                <w:right w:val="none" w:sz="0" w:space="0" w:color="auto"/>
              </w:divBdr>
            </w:div>
          </w:divsChild>
        </w:div>
        <w:div w:id="569343676">
          <w:marLeft w:val="0"/>
          <w:marRight w:val="0"/>
          <w:marTop w:val="0"/>
          <w:marBottom w:val="0"/>
          <w:divBdr>
            <w:top w:val="none" w:sz="0" w:space="0" w:color="auto"/>
            <w:left w:val="none" w:sz="0" w:space="0" w:color="auto"/>
            <w:bottom w:val="none" w:sz="0" w:space="0" w:color="auto"/>
            <w:right w:val="none" w:sz="0" w:space="0" w:color="auto"/>
          </w:divBdr>
          <w:divsChild>
            <w:div w:id="261690710">
              <w:marLeft w:val="0"/>
              <w:marRight w:val="0"/>
              <w:marTop w:val="0"/>
              <w:marBottom w:val="0"/>
              <w:divBdr>
                <w:top w:val="none" w:sz="0" w:space="0" w:color="auto"/>
                <w:left w:val="none" w:sz="0" w:space="0" w:color="auto"/>
                <w:bottom w:val="none" w:sz="0" w:space="0" w:color="auto"/>
                <w:right w:val="none" w:sz="0" w:space="0" w:color="auto"/>
              </w:divBdr>
            </w:div>
            <w:div w:id="787622518">
              <w:marLeft w:val="0"/>
              <w:marRight w:val="0"/>
              <w:marTop w:val="120"/>
              <w:marBottom w:val="0"/>
              <w:divBdr>
                <w:top w:val="none" w:sz="0" w:space="0" w:color="auto"/>
                <w:left w:val="none" w:sz="0" w:space="0" w:color="auto"/>
                <w:bottom w:val="none" w:sz="0" w:space="0" w:color="auto"/>
                <w:right w:val="none" w:sz="0" w:space="0" w:color="auto"/>
              </w:divBdr>
            </w:div>
          </w:divsChild>
        </w:div>
        <w:div w:id="1379233905">
          <w:marLeft w:val="0"/>
          <w:marRight w:val="0"/>
          <w:marTop w:val="0"/>
          <w:marBottom w:val="0"/>
          <w:divBdr>
            <w:top w:val="none" w:sz="0" w:space="0" w:color="auto"/>
            <w:left w:val="none" w:sz="0" w:space="0" w:color="auto"/>
            <w:bottom w:val="none" w:sz="0" w:space="0" w:color="auto"/>
            <w:right w:val="none" w:sz="0" w:space="0" w:color="auto"/>
          </w:divBdr>
          <w:divsChild>
            <w:div w:id="202138510">
              <w:marLeft w:val="0"/>
              <w:marRight w:val="0"/>
              <w:marTop w:val="120"/>
              <w:marBottom w:val="0"/>
              <w:divBdr>
                <w:top w:val="none" w:sz="0" w:space="0" w:color="auto"/>
                <w:left w:val="none" w:sz="0" w:space="0" w:color="auto"/>
                <w:bottom w:val="none" w:sz="0" w:space="0" w:color="auto"/>
                <w:right w:val="none" w:sz="0" w:space="0" w:color="auto"/>
              </w:divBdr>
            </w:div>
            <w:div w:id="1849172710">
              <w:marLeft w:val="0"/>
              <w:marRight w:val="0"/>
              <w:marTop w:val="0"/>
              <w:marBottom w:val="0"/>
              <w:divBdr>
                <w:top w:val="none" w:sz="0" w:space="0" w:color="auto"/>
                <w:left w:val="none" w:sz="0" w:space="0" w:color="auto"/>
                <w:bottom w:val="none" w:sz="0" w:space="0" w:color="auto"/>
                <w:right w:val="none" w:sz="0" w:space="0" w:color="auto"/>
              </w:divBdr>
            </w:div>
          </w:divsChild>
        </w:div>
        <w:div w:id="1620526459">
          <w:marLeft w:val="0"/>
          <w:marRight w:val="0"/>
          <w:marTop w:val="0"/>
          <w:marBottom w:val="0"/>
          <w:divBdr>
            <w:top w:val="none" w:sz="0" w:space="0" w:color="auto"/>
            <w:left w:val="none" w:sz="0" w:space="0" w:color="auto"/>
            <w:bottom w:val="none" w:sz="0" w:space="0" w:color="auto"/>
            <w:right w:val="none" w:sz="0" w:space="0" w:color="auto"/>
          </w:divBdr>
          <w:divsChild>
            <w:div w:id="1112046440">
              <w:marLeft w:val="0"/>
              <w:marRight w:val="0"/>
              <w:marTop w:val="120"/>
              <w:marBottom w:val="0"/>
              <w:divBdr>
                <w:top w:val="none" w:sz="0" w:space="0" w:color="auto"/>
                <w:left w:val="none" w:sz="0" w:space="0" w:color="auto"/>
                <w:bottom w:val="none" w:sz="0" w:space="0" w:color="auto"/>
                <w:right w:val="none" w:sz="0" w:space="0" w:color="auto"/>
              </w:divBdr>
            </w:div>
            <w:div w:id="18395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9116">
      <w:bodyDiv w:val="1"/>
      <w:marLeft w:val="0"/>
      <w:marRight w:val="0"/>
      <w:marTop w:val="0"/>
      <w:marBottom w:val="0"/>
      <w:divBdr>
        <w:top w:val="none" w:sz="0" w:space="0" w:color="auto"/>
        <w:left w:val="none" w:sz="0" w:space="0" w:color="auto"/>
        <w:bottom w:val="none" w:sz="0" w:space="0" w:color="auto"/>
        <w:right w:val="none" w:sz="0" w:space="0" w:color="auto"/>
      </w:divBdr>
    </w:div>
    <w:div w:id="302388991">
      <w:bodyDiv w:val="1"/>
      <w:marLeft w:val="0"/>
      <w:marRight w:val="0"/>
      <w:marTop w:val="0"/>
      <w:marBottom w:val="0"/>
      <w:divBdr>
        <w:top w:val="none" w:sz="0" w:space="0" w:color="auto"/>
        <w:left w:val="none" w:sz="0" w:space="0" w:color="auto"/>
        <w:bottom w:val="none" w:sz="0" w:space="0" w:color="auto"/>
        <w:right w:val="none" w:sz="0" w:space="0" w:color="auto"/>
      </w:divBdr>
      <w:divsChild>
        <w:div w:id="2066102987">
          <w:marLeft w:val="0"/>
          <w:marRight w:val="0"/>
          <w:marTop w:val="0"/>
          <w:marBottom w:val="0"/>
          <w:divBdr>
            <w:top w:val="none" w:sz="0" w:space="0" w:color="auto"/>
            <w:left w:val="none" w:sz="0" w:space="0" w:color="auto"/>
            <w:bottom w:val="none" w:sz="0" w:space="0" w:color="auto"/>
            <w:right w:val="none" w:sz="0" w:space="0" w:color="auto"/>
          </w:divBdr>
          <w:divsChild>
            <w:div w:id="5121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22555">
      <w:bodyDiv w:val="1"/>
      <w:marLeft w:val="0"/>
      <w:marRight w:val="0"/>
      <w:marTop w:val="0"/>
      <w:marBottom w:val="0"/>
      <w:divBdr>
        <w:top w:val="none" w:sz="0" w:space="0" w:color="auto"/>
        <w:left w:val="none" w:sz="0" w:space="0" w:color="auto"/>
        <w:bottom w:val="none" w:sz="0" w:space="0" w:color="auto"/>
        <w:right w:val="none" w:sz="0" w:space="0" w:color="auto"/>
      </w:divBdr>
    </w:div>
    <w:div w:id="317266666">
      <w:bodyDiv w:val="1"/>
      <w:marLeft w:val="0"/>
      <w:marRight w:val="0"/>
      <w:marTop w:val="0"/>
      <w:marBottom w:val="0"/>
      <w:divBdr>
        <w:top w:val="none" w:sz="0" w:space="0" w:color="auto"/>
        <w:left w:val="none" w:sz="0" w:space="0" w:color="auto"/>
        <w:bottom w:val="none" w:sz="0" w:space="0" w:color="auto"/>
        <w:right w:val="none" w:sz="0" w:space="0" w:color="auto"/>
      </w:divBdr>
    </w:div>
    <w:div w:id="325978243">
      <w:bodyDiv w:val="1"/>
      <w:marLeft w:val="0"/>
      <w:marRight w:val="0"/>
      <w:marTop w:val="0"/>
      <w:marBottom w:val="0"/>
      <w:divBdr>
        <w:top w:val="none" w:sz="0" w:space="0" w:color="auto"/>
        <w:left w:val="none" w:sz="0" w:space="0" w:color="auto"/>
        <w:bottom w:val="none" w:sz="0" w:space="0" w:color="auto"/>
        <w:right w:val="none" w:sz="0" w:space="0" w:color="auto"/>
      </w:divBdr>
      <w:divsChild>
        <w:div w:id="461733085">
          <w:marLeft w:val="0"/>
          <w:marRight w:val="0"/>
          <w:marTop w:val="0"/>
          <w:marBottom w:val="0"/>
          <w:divBdr>
            <w:top w:val="none" w:sz="0" w:space="0" w:color="auto"/>
            <w:left w:val="none" w:sz="0" w:space="0" w:color="auto"/>
            <w:bottom w:val="none" w:sz="0" w:space="0" w:color="auto"/>
            <w:right w:val="none" w:sz="0" w:space="0" w:color="auto"/>
          </w:divBdr>
          <w:divsChild>
            <w:div w:id="1585651625">
              <w:marLeft w:val="0"/>
              <w:marRight w:val="0"/>
              <w:marTop w:val="0"/>
              <w:marBottom w:val="0"/>
              <w:divBdr>
                <w:top w:val="none" w:sz="0" w:space="0" w:color="auto"/>
                <w:left w:val="none" w:sz="0" w:space="0" w:color="auto"/>
                <w:bottom w:val="none" w:sz="0" w:space="0" w:color="auto"/>
                <w:right w:val="none" w:sz="0" w:space="0" w:color="auto"/>
              </w:divBdr>
            </w:div>
          </w:divsChild>
        </w:div>
        <w:div w:id="912199209">
          <w:marLeft w:val="0"/>
          <w:marRight w:val="0"/>
          <w:marTop w:val="0"/>
          <w:marBottom w:val="0"/>
          <w:divBdr>
            <w:top w:val="none" w:sz="0" w:space="0" w:color="auto"/>
            <w:left w:val="none" w:sz="0" w:space="0" w:color="auto"/>
            <w:bottom w:val="none" w:sz="0" w:space="0" w:color="auto"/>
            <w:right w:val="none" w:sz="0" w:space="0" w:color="auto"/>
          </w:divBdr>
          <w:divsChild>
            <w:div w:id="1312905557">
              <w:marLeft w:val="0"/>
              <w:marRight w:val="0"/>
              <w:marTop w:val="0"/>
              <w:marBottom w:val="0"/>
              <w:divBdr>
                <w:top w:val="none" w:sz="0" w:space="0" w:color="auto"/>
                <w:left w:val="none" w:sz="0" w:space="0" w:color="auto"/>
                <w:bottom w:val="none" w:sz="0" w:space="0" w:color="auto"/>
                <w:right w:val="none" w:sz="0" w:space="0" w:color="auto"/>
              </w:divBdr>
            </w:div>
          </w:divsChild>
        </w:div>
        <w:div w:id="1032536065">
          <w:marLeft w:val="0"/>
          <w:marRight w:val="0"/>
          <w:marTop w:val="0"/>
          <w:marBottom w:val="0"/>
          <w:divBdr>
            <w:top w:val="none" w:sz="0" w:space="0" w:color="auto"/>
            <w:left w:val="none" w:sz="0" w:space="0" w:color="auto"/>
            <w:bottom w:val="none" w:sz="0" w:space="0" w:color="auto"/>
            <w:right w:val="none" w:sz="0" w:space="0" w:color="auto"/>
          </w:divBdr>
          <w:divsChild>
            <w:div w:id="1377855487">
              <w:marLeft w:val="0"/>
              <w:marRight w:val="0"/>
              <w:marTop w:val="0"/>
              <w:marBottom w:val="0"/>
              <w:divBdr>
                <w:top w:val="none" w:sz="0" w:space="0" w:color="auto"/>
                <w:left w:val="none" w:sz="0" w:space="0" w:color="auto"/>
                <w:bottom w:val="none" w:sz="0" w:space="0" w:color="auto"/>
                <w:right w:val="none" w:sz="0" w:space="0" w:color="auto"/>
              </w:divBdr>
            </w:div>
          </w:divsChild>
        </w:div>
        <w:div w:id="2017340551">
          <w:marLeft w:val="0"/>
          <w:marRight w:val="0"/>
          <w:marTop w:val="0"/>
          <w:marBottom w:val="0"/>
          <w:divBdr>
            <w:top w:val="none" w:sz="0" w:space="0" w:color="auto"/>
            <w:left w:val="none" w:sz="0" w:space="0" w:color="auto"/>
            <w:bottom w:val="none" w:sz="0" w:space="0" w:color="auto"/>
            <w:right w:val="none" w:sz="0" w:space="0" w:color="auto"/>
          </w:divBdr>
          <w:divsChild>
            <w:div w:id="16693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18913">
      <w:bodyDiv w:val="1"/>
      <w:marLeft w:val="0"/>
      <w:marRight w:val="0"/>
      <w:marTop w:val="0"/>
      <w:marBottom w:val="0"/>
      <w:divBdr>
        <w:top w:val="none" w:sz="0" w:space="0" w:color="auto"/>
        <w:left w:val="none" w:sz="0" w:space="0" w:color="auto"/>
        <w:bottom w:val="none" w:sz="0" w:space="0" w:color="auto"/>
        <w:right w:val="none" w:sz="0" w:space="0" w:color="auto"/>
      </w:divBdr>
    </w:div>
    <w:div w:id="336618237">
      <w:bodyDiv w:val="1"/>
      <w:marLeft w:val="0"/>
      <w:marRight w:val="0"/>
      <w:marTop w:val="0"/>
      <w:marBottom w:val="0"/>
      <w:divBdr>
        <w:top w:val="none" w:sz="0" w:space="0" w:color="auto"/>
        <w:left w:val="none" w:sz="0" w:space="0" w:color="auto"/>
        <w:bottom w:val="none" w:sz="0" w:space="0" w:color="auto"/>
        <w:right w:val="none" w:sz="0" w:space="0" w:color="auto"/>
      </w:divBdr>
      <w:divsChild>
        <w:div w:id="468743944">
          <w:marLeft w:val="0"/>
          <w:marRight w:val="0"/>
          <w:marTop w:val="0"/>
          <w:marBottom w:val="0"/>
          <w:divBdr>
            <w:top w:val="none" w:sz="0" w:space="0" w:color="auto"/>
            <w:left w:val="none" w:sz="0" w:space="0" w:color="auto"/>
            <w:bottom w:val="none" w:sz="0" w:space="0" w:color="auto"/>
            <w:right w:val="none" w:sz="0" w:space="0" w:color="auto"/>
          </w:divBdr>
        </w:div>
        <w:div w:id="1180269814">
          <w:marLeft w:val="0"/>
          <w:marRight w:val="0"/>
          <w:marTop w:val="120"/>
          <w:marBottom w:val="0"/>
          <w:divBdr>
            <w:top w:val="none" w:sz="0" w:space="0" w:color="auto"/>
            <w:left w:val="none" w:sz="0" w:space="0" w:color="auto"/>
            <w:bottom w:val="none" w:sz="0" w:space="0" w:color="auto"/>
            <w:right w:val="none" w:sz="0" w:space="0" w:color="auto"/>
          </w:divBdr>
        </w:div>
      </w:divsChild>
    </w:div>
    <w:div w:id="354422830">
      <w:bodyDiv w:val="1"/>
      <w:marLeft w:val="0"/>
      <w:marRight w:val="0"/>
      <w:marTop w:val="0"/>
      <w:marBottom w:val="0"/>
      <w:divBdr>
        <w:top w:val="none" w:sz="0" w:space="0" w:color="auto"/>
        <w:left w:val="none" w:sz="0" w:space="0" w:color="auto"/>
        <w:bottom w:val="none" w:sz="0" w:space="0" w:color="auto"/>
        <w:right w:val="none" w:sz="0" w:space="0" w:color="auto"/>
      </w:divBdr>
      <w:divsChild>
        <w:div w:id="363678732">
          <w:marLeft w:val="0"/>
          <w:marRight w:val="0"/>
          <w:marTop w:val="0"/>
          <w:marBottom w:val="0"/>
          <w:divBdr>
            <w:top w:val="none" w:sz="0" w:space="0" w:color="auto"/>
            <w:left w:val="none" w:sz="0" w:space="0" w:color="auto"/>
            <w:bottom w:val="none" w:sz="0" w:space="0" w:color="auto"/>
            <w:right w:val="none" w:sz="0" w:space="0" w:color="auto"/>
          </w:divBdr>
          <w:divsChild>
            <w:div w:id="26757833">
              <w:marLeft w:val="0"/>
              <w:marRight w:val="0"/>
              <w:marTop w:val="0"/>
              <w:marBottom w:val="0"/>
              <w:divBdr>
                <w:top w:val="none" w:sz="0" w:space="0" w:color="auto"/>
                <w:left w:val="none" w:sz="0" w:space="0" w:color="auto"/>
                <w:bottom w:val="none" w:sz="0" w:space="0" w:color="auto"/>
                <w:right w:val="none" w:sz="0" w:space="0" w:color="auto"/>
              </w:divBdr>
              <w:divsChild>
                <w:div w:id="90591685">
                  <w:marLeft w:val="0"/>
                  <w:marRight w:val="0"/>
                  <w:marTop w:val="0"/>
                  <w:marBottom w:val="0"/>
                  <w:divBdr>
                    <w:top w:val="none" w:sz="0" w:space="0" w:color="auto"/>
                    <w:left w:val="none" w:sz="0" w:space="0" w:color="auto"/>
                    <w:bottom w:val="none" w:sz="0" w:space="0" w:color="auto"/>
                    <w:right w:val="none" w:sz="0" w:space="0" w:color="auto"/>
                  </w:divBdr>
                  <w:divsChild>
                    <w:div w:id="464352000">
                      <w:marLeft w:val="0"/>
                      <w:marRight w:val="0"/>
                      <w:marTop w:val="120"/>
                      <w:marBottom w:val="0"/>
                      <w:divBdr>
                        <w:top w:val="none" w:sz="0" w:space="0" w:color="auto"/>
                        <w:left w:val="none" w:sz="0" w:space="0" w:color="auto"/>
                        <w:bottom w:val="none" w:sz="0" w:space="0" w:color="auto"/>
                        <w:right w:val="none" w:sz="0" w:space="0" w:color="auto"/>
                      </w:divBdr>
                    </w:div>
                    <w:div w:id="1744404032">
                      <w:marLeft w:val="0"/>
                      <w:marRight w:val="0"/>
                      <w:marTop w:val="0"/>
                      <w:marBottom w:val="0"/>
                      <w:divBdr>
                        <w:top w:val="none" w:sz="0" w:space="0" w:color="auto"/>
                        <w:left w:val="none" w:sz="0" w:space="0" w:color="auto"/>
                        <w:bottom w:val="none" w:sz="0" w:space="0" w:color="auto"/>
                        <w:right w:val="none" w:sz="0" w:space="0" w:color="auto"/>
                      </w:divBdr>
                    </w:div>
                  </w:divsChild>
                </w:div>
                <w:div w:id="892960000">
                  <w:marLeft w:val="0"/>
                  <w:marRight w:val="0"/>
                  <w:marTop w:val="0"/>
                  <w:marBottom w:val="0"/>
                  <w:divBdr>
                    <w:top w:val="none" w:sz="0" w:space="0" w:color="auto"/>
                    <w:left w:val="none" w:sz="0" w:space="0" w:color="auto"/>
                    <w:bottom w:val="none" w:sz="0" w:space="0" w:color="auto"/>
                    <w:right w:val="none" w:sz="0" w:space="0" w:color="auto"/>
                  </w:divBdr>
                  <w:divsChild>
                    <w:div w:id="1356224206">
                      <w:marLeft w:val="0"/>
                      <w:marRight w:val="0"/>
                      <w:marTop w:val="0"/>
                      <w:marBottom w:val="0"/>
                      <w:divBdr>
                        <w:top w:val="none" w:sz="0" w:space="0" w:color="auto"/>
                        <w:left w:val="none" w:sz="0" w:space="0" w:color="auto"/>
                        <w:bottom w:val="none" w:sz="0" w:space="0" w:color="auto"/>
                        <w:right w:val="none" w:sz="0" w:space="0" w:color="auto"/>
                      </w:divBdr>
                    </w:div>
                    <w:div w:id="1528327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37088052">
          <w:marLeft w:val="0"/>
          <w:marRight w:val="0"/>
          <w:marTop w:val="0"/>
          <w:marBottom w:val="0"/>
          <w:divBdr>
            <w:top w:val="none" w:sz="0" w:space="0" w:color="auto"/>
            <w:left w:val="none" w:sz="0" w:space="0" w:color="auto"/>
            <w:bottom w:val="none" w:sz="0" w:space="0" w:color="auto"/>
            <w:right w:val="none" w:sz="0" w:space="0" w:color="auto"/>
          </w:divBdr>
          <w:divsChild>
            <w:div w:id="908539535">
              <w:marLeft w:val="0"/>
              <w:marRight w:val="0"/>
              <w:marTop w:val="0"/>
              <w:marBottom w:val="0"/>
              <w:divBdr>
                <w:top w:val="none" w:sz="0" w:space="0" w:color="auto"/>
                <w:left w:val="none" w:sz="0" w:space="0" w:color="auto"/>
                <w:bottom w:val="none" w:sz="0" w:space="0" w:color="auto"/>
                <w:right w:val="none" w:sz="0" w:space="0" w:color="auto"/>
              </w:divBdr>
              <w:divsChild>
                <w:div w:id="93668522">
                  <w:marLeft w:val="0"/>
                  <w:marRight w:val="0"/>
                  <w:marTop w:val="0"/>
                  <w:marBottom w:val="0"/>
                  <w:divBdr>
                    <w:top w:val="none" w:sz="0" w:space="0" w:color="auto"/>
                    <w:left w:val="none" w:sz="0" w:space="0" w:color="auto"/>
                    <w:bottom w:val="none" w:sz="0" w:space="0" w:color="auto"/>
                    <w:right w:val="none" w:sz="0" w:space="0" w:color="auto"/>
                  </w:divBdr>
                  <w:divsChild>
                    <w:div w:id="321197151">
                      <w:marLeft w:val="0"/>
                      <w:marRight w:val="0"/>
                      <w:marTop w:val="120"/>
                      <w:marBottom w:val="0"/>
                      <w:divBdr>
                        <w:top w:val="none" w:sz="0" w:space="0" w:color="auto"/>
                        <w:left w:val="none" w:sz="0" w:space="0" w:color="auto"/>
                        <w:bottom w:val="none" w:sz="0" w:space="0" w:color="auto"/>
                        <w:right w:val="none" w:sz="0" w:space="0" w:color="auto"/>
                      </w:divBdr>
                    </w:div>
                    <w:div w:id="476066433">
                      <w:marLeft w:val="0"/>
                      <w:marRight w:val="0"/>
                      <w:marTop w:val="0"/>
                      <w:marBottom w:val="0"/>
                      <w:divBdr>
                        <w:top w:val="none" w:sz="0" w:space="0" w:color="auto"/>
                        <w:left w:val="none" w:sz="0" w:space="0" w:color="auto"/>
                        <w:bottom w:val="none" w:sz="0" w:space="0" w:color="auto"/>
                        <w:right w:val="none" w:sz="0" w:space="0" w:color="auto"/>
                      </w:divBdr>
                    </w:div>
                  </w:divsChild>
                </w:div>
                <w:div w:id="134882231">
                  <w:marLeft w:val="0"/>
                  <w:marRight w:val="0"/>
                  <w:marTop w:val="0"/>
                  <w:marBottom w:val="0"/>
                  <w:divBdr>
                    <w:top w:val="none" w:sz="0" w:space="0" w:color="auto"/>
                    <w:left w:val="none" w:sz="0" w:space="0" w:color="auto"/>
                    <w:bottom w:val="none" w:sz="0" w:space="0" w:color="auto"/>
                    <w:right w:val="none" w:sz="0" w:space="0" w:color="auto"/>
                  </w:divBdr>
                  <w:divsChild>
                    <w:div w:id="37558408">
                      <w:marLeft w:val="0"/>
                      <w:marRight w:val="0"/>
                      <w:marTop w:val="120"/>
                      <w:marBottom w:val="0"/>
                      <w:divBdr>
                        <w:top w:val="none" w:sz="0" w:space="0" w:color="auto"/>
                        <w:left w:val="none" w:sz="0" w:space="0" w:color="auto"/>
                        <w:bottom w:val="none" w:sz="0" w:space="0" w:color="auto"/>
                        <w:right w:val="none" w:sz="0" w:space="0" w:color="auto"/>
                      </w:divBdr>
                    </w:div>
                    <w:div w:id="526676867">
                      <w:marLeft w:val="0"/>
                      <w:marRight w:val="0"/>
                      <w:marTop w:val="0"/>
                      <w:marBottom w:val="0"/>
                      <w:divBdr>
                        <w:top w:val="none" w:sz="0" w:space="0" w:color="auto"/>
                        <w:left w:val="none" w:sz="0" w:space="0" w:color="auto"/>
                        <w:bottom w:val="none" w:sz="0" w:space="0" w:color="auto"/>
                        <w:right w:val="none" w:sz="0" w:space="0" w:color="auto"/>
                      </w:divBdr>
                    </w:div>
                  </w:divsChild>
                </w:div>
                <w:div w:id="256058567">
                  <w:marLeft w:val="0"/>
                  <w:marRight w:val="0"/>
                  <w:marTop w:val="0"/>
                  <w:marBottom w:val="0"/>
                  <w:divBdr>
                    <w:top w:val="none" w:sz="0" w:space="0" w:color="auto"/>
                    <w:left w:val="none" w:sz="0" w:space="0" w:color="auto"/>
                    <w:bottom w:val="none" w:sz="0" w:space="0" w:color="auto"/>
                    <w:right w:val="none" w:sz="0" w:space="0" w:color="auto"/>
                  </w:divBdr>
                  <w:divsChild>
                    <w:div w:id="1091699428">
                      <w:marLeft w:val="0"/>
                      <w:marRight w:val="0"/>
                      <w:marTop w:val="120"/>
                      <w:marBottom w:val="0"/>
                      <w:divBdr>
                        <w:top w:val="none" w:sz="0" w:space="0" w:color="auto"/>
                        <w:left w:val="none" w:sz="0" w:space="0" w:color="auto"/>
                        <w:bottom w:val="none" w:sz="0" w:space="0" w:color="auto"/>
                        <w:right w:val="none" w:sz="0" w:space="0" w:color="auto"/>
                      </w:divBdr>
                    </w:div>
                    <w:div w:id="1991249187">
                      <w:marLeft w:val="0"/>
                      <w:marRight w:val="0"/>
                      <w:marTop w:val="0"/>
                      <w:marBottom w:val="0"/>
                      <w:divBdr>
                        <w:top w:val="none" w:sz="0" w:space="0" w:color="auto"/>
                        <w:left w:val="none" w:sz="0" w:space="0" w:color="auto"/>
                        <w:bottom w:val="none" w:sz="0" w:space="0" w:color="auto"/>
                        <w:right w:val="none" w:sz="0" w:space="0" w:color="auto"/>
                      </w:divBdr>
                    </w:div>
                  </w:divsChild>
                </w:div>
                <w:div w:id="374545979">
                  <w:marLeft w:val="0"/>
                  <w:marRight w:val="0"/>
                  <w:marTop w:val="0"/>
                  <w:marBottom w:val="0"/>
                  <w:divBdr>
                    <w:top w:val="none" w:sz="0" w:space="0" w:color="auto"/>
                    <w:left w:val="none" w:sz="0" w:space="0" w:color="auto"/>
                    <w:bottom w:val="none" w:sz="0" w:space="0" w:color="auto"/>
                    <w:right w:val="none" w:sz="0" w:space="0" w:color="auto"/>
                  </w:divBdr>
                  <w:divsChild>
                    <w:div w:id="83304265">
                      <w:marLeft w:val="0"/>
                      <w:marRight w:val="0"/>
                      <w:marTop w:val="120"/>
                      <w:marBottom w:val="0"/>
                      <w:divBdr>
                        <w:top w:val="none" w:sz="0" w:space="0" w:color="auto"/>
                        <w:left w:val="none" w:sz="0" w:space="0" w:color="auto"/>
                        <w:bottom w:val="none" w:sz="0" w:space="0" w:color="auto"/>
                        <w:right w:val="none" w:sz="0" w:space="0" w:color="auto"/>
                      </w:divBdr>
                    </w:div>
                    <w:div w:id="981468654">
                      <w:marLeft w:val="0"/>
                      <w:marRight w:val="0"/>
                      <w:marTop w:val="0"/>
                      <w:marBottom w:val="0"/>
                      <w:divBdr>
                        <w:top w:val="none" w:sz="0" w:space="0" w:color="auto"/>
                        <w:left w:val="none" w:sz="0" w:space="0" w:color="auto"/>
                        <w:bottom w:val="none" w:sz="0" w:space="0" w:color="auto"/>
                        <w:right w:val="none" w:sz="0" w:space="0" w:color="auto"/>
                      </w:divBdr>
                    </w:div>
                  </w:divsChild>
                </w:div>
                <w:div w:id="550076128">
                  <w:marLeft w:val="0"/>
                  <w:marRight w:val="0"/>
                  <w:marTop w:val="0"/>
                  <w:marBottom w:val="0"/>
                  <w:divBdr>
                    <w:top w:val="none" w:sz="0" w:space="0" w:color="auto"/>
                    <w:left w:val="none" w:sz="0" w:space="0" w:color="auto"/>
                    <w:bottom w:val="none" w:sz="0" w:space="0" w:color="auto"/>
                    <w:right w:val="none" w:sz="0" w:space="0" w:color="auto"/>
                  </w:divBdr>
                  <w:divsChild>
                    <w:div w:id="1360936313">
                      <w:marLeft w:val="0"/>
                      <w:marRight w:val="0"/>
                      <w:marTop w:val="120"/>
                      <w:marBottom w:val="0"/>
                      <w:divBdr>
                        <w:top w:val="none" w:sz="0" w:space="0" w:color="auto"/>
                        <w:left w:val="none" w:sz="0" w:space="0" w:color="auto"/>
                        <w:bottom w:val="none" w:sz="0" w:space="0" w:color="auto"/>
                        <w:right w:val="none" w:sz="0" w:space="0" w:color="auto"/>
                      </w:divBdr>
                    </w:div>
                    <w:div w:id="1529755229">
                      <w:marLeft w:val="0"/>
                      <w:marRight w:val="0"/>
                      <w:marTop w:val="0"/>
                      <w:marBottom w:val="0"/>
                      <w:divBdr>
                        <w:top w:val="none" w:sz="0" w:space="0" w:color="auto"/>
                        <w:left w:val="none" w:sz="0" w:space="0" w:color="auto"/>
                        <w:bottom w:val="none" w:sz="0" w:space="0" w:color="auto"/>
                        <w:right w:val="none" w:sz="0" w:space="0" w:color="auto"/>
                      </w:divBdr>
                    </w:div>
                  </w:divsChild>
                </w:div>
                <w:div w:id="1491798771">
                  <w:marLeft w:val="0"/>
                  <w:marRight w:val="0"/>
                  <w:marTop w:val="0"/>
                  <w:marBottom w:val="0"/>
                  <w:divBdr>
                    <w:top w:val="none" w:sz="0" w:space="0" w:color="auto"/>
                    <w:left w:val="none" w:sz="0" w:space="0" w:color="auto"/>
                    <w:bottom w:val="none" w:sz="0" w:space="0" w:color="auto"/>
                    <w:right w:val="none" w:sz="0" w:space="0" w:color="auto"/>
                  </w:divBdr>
                  <w:divsChild>
                    <w:div w:id="1073161578">
                      <w:marLeft w:val="0"/>
                      <w:marRight w:val="0"/>
                      <w:marTop w:val="0"/>
                      <w:marBottom w:val="0"/>
                      <w:divBdr>
                        <w:top w:val="none" w:sz="0" w:space="0" w:color="auto"/>
                        <w:left w:val="none" w:sz="0" w:space="0" w:color="auto"/>
                        <w:bottom w:val="none" w:sz="0" w:space="0" w:color="auto"/>
                        <w:right w:val="none" w:sz="0" w:space="0" w:color="auto"/>
                      </w:divBdr>
                    </w:div>
                    <w:div w:id="20594263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3121579">
          <w:marLeft w:val="0"/>
          <w:marRight w:val="0"/>
          <w:marTop w:val="0"/>
          <w:marBottom w:val="0"/>
          <w:divBdr>
            <w:top w:val="none" w:sz="0" w:space="0" w:color="auto"/>
            <w:left w:val="none" w:sz="0" w:space="0" w:color="auto"/>
            <w:bottom w:val="none" w:sz="0" w:space="0" w:color="auto"/>
            <w:right w:val="none" w:sz="0" w:space="0" w:color="auto"/>
          </w:divBdr>
          <w:divsChild>
            <w:div w:id="874997898">
              <w:marLeft w:val="0"/>
              <w:marRight w:val="0"/>
              <w:marTop w:val="0"/>
              <w:marBottom w:val="0"/>
              <w:divBdr>
                <w:top w:val="none" w:sz="0" w:space="0" w:color="auto"/>
                <w:left w:val="none" w:sz="0" w:space="0" w:color="auto"/>
                <w:bottom w:val="none" w:sz="0" w:space="0" w:color="auto"/>
                <w:right w:val="none" w:sz="0" w:space="0" w:color="auto"/>
              </w:divBdr>
            </w:div>
          </w:divsChild>
        </w:div>
        <w:div w:id="1262373016">
          <w:marLeft w:val="0"/>
          <w:marRight w:val="0"/>
          <w:marTop w:val="0"/>
          <w:marBottom w:val="0"/>
          <w:divBdr>
            <w:top w:val="none" w:sz="0" w:space="0" w:color="auto"/>
            <w:left w:val="none" w:sz="0" w:space="0" w:color="auto"/>
            <w:bottom w:val="none" w:sz="0" w:space="0" w:color="auto"/>
            <w:right w:val="none" w:sz="0" w:space="0" w:color="auto"/>
          </w:divBdr>
          <w:divsChild>
            <w:div w:id="2002350387">
              <w:marLeft w:val="0"/>
              <w:marRight w:val="0"/>
              <w:marTop w:val="0"/>
              <w:marBottom w:val="0"/>
              <w:divBdr>
                <w:top w:val="none" w:sz="0" w:space="0" w:color="auto"/>
                <w:left w:val="none" w:sz="0" w:space="0" w:color="auto"/>
                <w:bottom w:val="none" w:sz="0" w:space="0" w:color="auto"/>
                <w:right w:val="none" w:sz="0" w:space="0" w:color="auto"/>
              </w:divBdr>
              <w:divsChild>
                <w:div w:id="610741869">
                  <w:marLeft w:val="0"/>
                  <w:marRight w:val="0"/>
                  <w:marTop w:val="0"/>
                  <w:marBottom w:val="0"/>
                  <w:divBdr>
                    <w:top w:val="none" w:sz="0" w:space="0" w:color="auto"/>
                    <w:left w:val="none" w:sz="0" w:space="0" w:color="auto"/>
                    <w:bottom w:val="none" w:sz="0" w:space="0" w:color="auto"/>
                    <w:right w:val="none" w:sz="0" w:space="0" w:color="auto"/>
                  </w:divBdr>
                  <w:divsChild>
                    <w:div w:id="318265846">
                      <w:marLeft w:val="0"/>
                      <w:marRight w:val="0"/>
                      <w:marTop w:val="120"/>
                      <w:marBottom w:val="0"/>
                      <w:divBdr>
                        <w:top w:val="none" w:sz="0" w:space="0" w:color="auto"/>
                        <w:left w:val="none" w:sz="0" w:space="0" w:color="auto"/>
                        <w:bottom w:val="none" w:sz="0" w:space="0" w:color="auto"/>
                        <w:right w:val="none" w:sz="0" w:space="0" w:color="auto"/>
                      </w:divBdr>
                    </w:div>
                    <w:div w:id="1612126270">
                      <w:marLeft w:val="0"/>
                      <w:marRight w:val="0"/>
                      <w:marTop w:val="0"/>
                      <w:marBottom w:val="0"/>
                      <w:divBdr>
                        <w:top w:val="none" w:sz="0" w:space="0" w:color="auto"/>
                        <w:left w:val="none" w:sz="0" w:space="0" w:color="auto"/>
                        <w:bottom w:val="none" w:sz="0" w:space="0" w:color="auto"/>
                        <w:right w:val="none" w:sz="0" w:space="0" w:color="auto"/>
                      </w:divBdr>
                    </w:div>
                  </w:divsChild>
                </w:div>
                <w:div w:id="1671565776">
                  <w:marLeft w:val="0"/>
                  <w:marRight w:val="0"/>
                  <w:marTop w:val="0"/>
                  <w:marBottom w:val="0"/>
                  <w:divBdr>
                    <w:top w:val="none" w:sz="0" w:space="0" w:color="auto"/>
                    <w:left w:val="none" w:sz="0" w:space="0" w:color="auto"/>
                    <w:bottom w:val="none" w:sz="0" w:space="0" w:color="auto"/>
                    <w:right w:val="none" w:sz="0" w:space="0" w:color="auto"/>
                  </w:divBdr>
                  <w:divsChild>
                    <w:div w:id="876963525">
                      <w:marLeft w:val="0"/>
                      <w:marRight w:val="0"/>
                      <w:marTop w:val="120"/>
                      <w:marBottom w:val="0"/>
                      <w:divBdr>
                        <w:top w:val="none" w:sz="0" w:space="0" w:color="auto"/>
                        <w:left w:val="none" w:sz="0" w:space="0" w:color="auto"/>
                        <w:bottom w:val="none" w:sz="0" w:space="0" w:color="auto"/>
                        <w:right w:val="none" w:sz="0" w:space="0" w:color="auto"/>
                      </w:divBdr>
                    </w:div>
                    <w:div w:id="11476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0070">
          <w:marLeft w:val="0"/>
          <w:marRight w:val="0"/>
          <w:marTop w:val="0"/>
          <w:marBottom w:val="0"/>
          <w:divBdr>
            <w:top w:val="none" w:sz="0" w:space="0" w:color="auto"/>
            <w:left w:val="none" w:sz="0" w:space="0" w:color="auto"/>
            <w:bottom w:val="none" w:sz="0" w:space="0" w:color="auto"/>
            <w:right w:val="none" w:sz="0" w:space="0" w:color="auto"/>
          </w:divBdr>
          <w:divsChild>
            <w:div w:id="21465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11511">
      <w:bodyDiv w:val="1"/>
      <w:marLeft w:val="0"/>
      <w:marRight w:val="0"/>
      <w:marTop w:val="0"/>
      <w:marBottom w:val="0"/>
      <w:divBdr>
        <w:top w:val="none" w:sz="0" w:space="0" w:color="auto"/>
        <w:left w:val="none" w:sz="0" w:space="0" w:color="auto"/>
        <w:bottom w:val="none" w:sz="0" w:space="0" w:color="auto"/>
        <w:right w:val="none" w:sz="0" w:space="0" w:color="auto"/>
      </w:divBdr>
      <w:divsChild>
        <w:div w:id="1018847326">
          <w:marLeft w:val="0"/>
          <w:marRight w:val="0"/>
          <w:marTop w:val="0"/>
          <w:marBottom w:val="0"/>
          <w:divBdr>
            <w:top w:val="none" w:sz="0" w:space="0" w:color="auto"/>
            <w:left w:val="none" w:sz="0" w:space="0" w:color="auto"/>
            <w:bottom w:val="none" w:sz="0" w:space="0" w:color="auto"/>
            <w:right w:val="none" w:sz="0" w:space="0" w:color="auto"/>
          </w:divBdr>
        </w:div>
      </w:divsChild>
    </w:div>
    <w:div w:id="367144832">
      <w:bodyDiv w:val="1"/>
      <w:marLeft w:val="0"/>
      <w:marRight w:val="0"/>
      <w:marTop w:val="0"/>
      <w:marBottom w:val="0"/>
      <w:divBdr>
        <w:top w:val="none" w:sz="0" w:space="0" w:color="auto"/>
        <w:left w:val="none" w:sz="0" w:space="0" w:color="auto"/>
        <w:bottom w:val="none" w:sz="0" w:space="0" w:color="auto"/>
        <w:right w:val="none" w:sz="0" w:space="0" w:color="auto"/>
      </w:divBdr>
      <w:divsChild>
        <w:div w:id="604848009">
          <w:marLeft w:val="0"/>
          <w:marRight w:val="0"/>
          <w:marTop w:val="0"/>
          <w:marBottom w:val="0"/>
          <w:divBdr>
            <w:top w:val="none" w:sz="0" w:space="0" w:color="auto"/>
            <w:left w:val="none" w:sz="0" w:space="0" w:color="auto"/>
            <w:bottom w:val="none" w:sz="0" w:space="0" w:color="auto"/>
            <w:right w:val="none" w:sz="0" w:space="0" w:color="auto"/>
          </w:divBdr>
          <w:divsChild>
            <w:div w:id="487554497">
              <w:marLeft w:val="0"/>
              <w:marRight w:val="0"/>
              <w:marTop w:val="120"/>
              <w:marBottom w:val="0"/>
              <w:divBdr>
                <w:top w:val="none" w:sz="0" w:space="0" w:color="auto"/>
                <w:left w:val="none" w:sz="0" w:space="0" w:color="auto"/>
                <w:bottom w:val="none" w:sz="0" w:space="0" w:color="auto"/>
                <w:right w:val="none" w:sz="0" w:space="0" w:color="auto"/>
              </w:divBdr>
            </w:div>
            <w:div w:id="1958876246">
              <w:marLeft w:val="0"/>
              <w:marRight w:val="0"/>
              <w:marTop w:val="0"/>
              <w:marBottom w:val="0"/>
              <w:divBdr>
                <w:top w:val="none" w:sz="0" w:space="0" w:color="auto"/>
                <w:left w:val="none" w:sz="0" w:space="0" w:color="auto"/>
                <w:bottom w:val="none" w:sz="0" w:space="0" w:color="auto"/>
                <w:right w:val="none" w:sz="0" w:space="0" w:color="auto"/>
              </w:divBdr>
            </w:div>
          </w:divsChild>
        </w:div>
        <w:div w:id="1486356821">
          <w:marLeft w:val="0"/>
          <w:marRight w:val="0"/>
          <w:marTop w:val="0"/>
          <w:marBottom w:val="0"/>
          <w:divBdr>
            <w:top w:val="none" w:sz="0" w:space="0" w:color="auto"/>
            <w:left w:val="none" w:sz="0" w:space="0" w:color="auto"/>
            <w:bottom w:val="none" w:sz="0" w:space="0" w:color="auto"/>
            <w:right w:val="none" w:sz="0" w:space="0" w:color="auto"/>
          </w:divBdr>
          <w:divsChild>
            <w:div w:id="52320090">
              <w:marLeft w:val="0"/>
              <w:marRight w:val="0"/>
              <w:marTop w:val="120"/>
              <w:marBottom w:val="0"/>
              <w:divBdr>
                <w:top w:val="none" w:sz="0" w:space="0" w:color="auto"/>
                <w:left w:val="none" w:sz="0" w:space="0" w:color="auto"/>
                <w:bottom w:val="none" w:sz="0" w:space="0" w:color="auto"/>
                <w:right w:val="none" w:sz="0" w:space="0" w:color="auto"/>
              </w:divBdr>
            </w:div>
            <w:div w:id="866717643">
              <w:marLeft w:val="0"/>
              <w:marRight w:val="0"/>
              <w:marTop w:val="0"/>
              <w:marBottom w:val="0"/>
              <w:divBdr>
                <w:top w:val="none" w:sz="0" w:space="0" w:color="auto"/>
                <w:left w:val="none" w:sz="0" w:space="0" w:color="auto"/>
                <w:bottom w:val="none" w:sz="0" w:space="0" w:color="auto"/>
                <w:right w:val="none" w:sz="0" w:space="0" w:color="auto"/>
              </w:divBdr>
            </w:div>
          </w:divsChild>
        </w:div>
        <w:div w:id="1770202312">
          <w:marLeft w:val="0"/>
          <w:marRight w:val="0"/>
          <w:marTop w:val="0"/>
          <w:marBottom w:val="0"/>
          <w:divBdr>
            <w:top w:val="none" w:sz="0" w:space="0" w:color="auto"/>
            <w:left w:val="none" w:sz="0" w:space="0" w:color="auto"/>
            <w:bottom w:val="none" w:sz="0" w:space="0" w:color="auto"/>
            <w:right w:val="none" w:sz="0" w:space="0" w:color="auto"/>
          </w:divBdr>
          <w:divsChild>
            <w:div w:id="58213301">
              <w:marLeft w:val="0"/>
              <w:marRight w:val="0"/>
              <w:marTop w:val="120"/>
              <w:marBottom w:val="0"/>
              <w:divBdr>
                <w:top w:val="none" w:sz="0" w:space="0" w:color="auto"/>
                <w:left w:val="none" w:sz="0" w:space="0" w:color="auto"/>
                <w:bottom w:val="none" w:sz="0" w:space="0" w:color="auto"/>
                <w:right w:val="none" w:sz="0" w:space="0" w:color="auto"/>
              </w:divBdr>
            </w:div>
            <w:div w:id="6226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8248">
      <w:bodyDiv w:val="1"/>
      <w:marLeft w:val="0"/>
      <w:marRight w:val="0"/>
      <w:marTop w:val="0"/>
      <w:marBottom w:val="0"/>
      <w:divBdr>
        <w:top w:val="none" w:sz="0" w:space="0" w:color="auto"/>
        <w:left w:val="none" w:sz="0" w:space="0" w:color="auto"/>
        <w:bottom w:val="none" w:sz="0" w:space="0" w:color="auto"/>
        <w:right w:val="none" w:sz="0" w:space="0" w:color="auto"/>
      </w:divBdr>
    </w:div>
    <w:div w:id="376247699">
      <w:bodyDiv w:val="1"/>
      <w:marLeft w:val="0"/>
      <w:marRight w:val="0"/>
      <w:marTop w:val="0"/>
      <w:marBottom w:val="0"/>
      <w:divBdr>
        <w:top w:val="none" w:sz="0" w:space="0" w:color="auto"/>
        <w:left w:val="none" w:sz="0" w:space="0" w:color="auto"/>
        <w:bottom w:val="none" w:sz="0" w:space="0" w:color="auto"/>
        <w:right w:val="none" w:sz="0" w:space="0" w:color="auto"/>
      </w:divBdr>
      <w:divsChild>
        <w:div w:id="152912297">
          <w:marLeft w:val="0"/>
          <w:marRight w:val="0"/>
          <w:marTop w:val="0"/>
          <w:marBottom w:val="0"/>
          <w:divBdr>
            <w:top w:val="none" w:sz="0" w:space="0" w:color="auto"/>
            <w:left w:val="none" w:sz="0" w:space="0" w:color="auto"/>
            <w:bottom w:val="none" w:sz="0" w:space="0" w:color="auto"/>
            <w:right w:val="none" w:sz="0" w:space="0" w:color="auto"/>
          </w:divBdr>
          <w:divsChild>
            <w:div w:id="1206336024">
              <w:marLeft w:val="0"/>
              <w:marRight w:val="0"/>
              <w:marTop w:val="120"/>
              <w:marBottom w:val="0"/>
              <w:divBdr>
                <w:top w:val="none" w:sz="0" w:space="0" w:color="auto"/>
                <w:left w:val="none" w:sz="0" w:space="0" w:color="auto"/>
                <w:bottom w:val="none" w:sz="0" w:space="0" w:color="auto"/>
                <w:right w:val="none" w:sz="0" w:space="0" w:color="auto"/>
              </w:divBdr>
            </w:div>
            <w:div w:id="1358316936">
              <w:marLeft w:val="0"/>
              <w:marRight w:val="0"/>
              <w:marTop w:val="0"/>
              <w:marBottom w:val="0"/>
              <w:divBdr>
                <w:top w:val="none" w:sz="0" w:space="0" w:color="auto"/>
                <w:left w:val="none" w:sz="0" w:space="0" w:color="auto"/>
                <w:bottom w:val="none" w:sz="0" w:space="0" w:color="auto"/>
                <w:right w:val="none" w:sz="0" w:space="0" w:color="auto"/>
              </w:divBdr>
            </w:div>
          </w:divsChild>
        </w:div>
        <w:div w:id="1912151896">
          <w:marLeft w:val="0"/>
          <w:marRight w:val="0"/>
          <w:marTop w:val="0"/>
          <w:marBottom w:val="0"/>
          <w:divBdr>
            <w:top w:val="none" w:sz="0" w:space="0" w:color="auto"/>
            <w:left w:val="none" w:sz="0" w:space="0" w:color="auto"/>
            <w:bottom w:val="none" w:sz="0" w:space="0" w:color="auto"/>
            <w:right w:val="none" w:sz="0" w:space="0" w:color="auto"/>
          </w:divBdr>
          <w:divsChild>
            <w:div w:id="360210409">
              <w:marLeft w:val="0"/>
              <w:marRight w:val="0"/>
              <w:marTop w:val="120"/>
              <w:marBottom w:val="0"/>
              <w:divBdr>
                <w:top w:val="none" w:sz="0" w:space="0" w:color="auto"/>
                <w:left w:val="none" w:sz="0" w:space="0" w:color="auto"/>
                <w:bottom w:val="none" w:sz="0" w:space="0" w:color="auto"/>
                <w:right w:val="none" w:sz="0" w:space="0" w:color="auto"/>
              </w:divBdr>
            </w:div>
            <w:div w:id="4015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5752">
      <w:bodyDiv w:val="1"/>
      <w:marLeft w:val="0"/>
      <w:marRight w:val="0"/>
      <w:marTop w:val="0"/>
      <w:marBottom w:val="0"/>
      <w:divBdr>
        <w:top w:val="none" w:sz="0" w:space="0" w:color="auto"/>
        <w:left w:val="none" w:sz="0" w:space="0" w:color="auto"/>
        <w:bottom w:val="none" w:sz="0" w:space="0" w:color="auto"/>
        <w:right w:val="none" w:sz="0" w:space="0" w:color="auto"/>
      </w:divBdr>
      <w:divsChild>
        <w:div w:id="197816718">
          <w:marLeft w:val="0"/>
          <w:marRight w:val="0"/>
          <w:marTop w:val="0"/>
          <w:marBottom w:val="0"/>
          <w:divBdr>
            <w:top w:val="none" w:sz="0" w:space="0" w:color="auto"/>
            <w:left w:val="none" w:sz="0" w:space="0" w:color="auto"/>
            <w:bottom w:val="none" w:sz="0" w:space="0" w:color="auto"/>
            <w:right w:val="none" w:sz="0" w:space="0" w:color="auto"/>
          </w:divBdr>
          <w:divsChild>
            <w:div w:id="139619803">
              <w:marLeft w:val="0"/>
              <w:marRight w:val="0"/>
              <w:marTop w:val="0"/>
              <w:marBottom w:val="0"/>
              <w:divBdr>
                <w:top w:val="none" w:sz="0" w:space="0" w:color="auto"/>
                <w:left w:val="none" w:sz="0" w:space="0" w:color="auto"/>
                <w:bottom w:val="none" w:sz="0" w:space="0" w:color="auto"/>
                <w:right w:val="none" w:sz="0" w:space="0" w:color="auto"/>
              </w:divBdr>
            </w:div>
          </w:divsChild>
        </w:div>
        <w:div w:id="538400531">
          <w:marLeft w:val="0"/>
          <w:marRight w:val="0"/>
          <w:marTop w:val="0"/>
          <w:marBottom w:val="0"/>
          <w:divBdr>
            <w:top w:val="none" w:sz="0" w:space="0" w:color="auto"/>
            <w:left w:val="none" w:sz="0" w:space="0" w:color="auto"/>
            <w:bottom w:val="none" w:sz="0" w:space="0" w:color="auto"/>
            <w:right w:val="none" w:sz="0" w:space="0" w:color="auto"/>
          </w:divBdr>
          <w:divsChild>
            <w:div w:id="1275749537">
              <w:marLeft w:val="0"/>
              <w:marRight w:val="0"/>
              <w:marTop w:val="0"/>
              <w:marBottom w:val="0"/>
              <w:divBdr>
                <w:top w:val="none" w:sz="0" w:space="0" w:color="auto"/>
                <w:left w:val="none" w:sz="0" w:space="0" w:color="auto"/>
                <w:bottom w:val="none" w:sz="0" w:space="0" w:color="auto"/>
                <w:right w:val="none" w:sz="0" w:space="0" w:color="auto"/>
              </w:divBdr>
            </w:div>
          </w:divsChild>
        </w:div>
        <w:div w:id="699668440">
          <w:marLeft w:val="0"/>
          <w:marRight w:val="0"/>
          <w:marTop w:val="0"/>
          <w:marBottom w:val="0"/>
          <w:divBdr>
            <w:top w:val="none" w:sz="0" w:space="0" w:color="auto"/>
            <w:left w:val="none" w:sz="0" w:space="0" w:color="auto"/>
            <w:bottom w:val="none" w:sz="0" w:space="0" w:color="auto"/>
            <w:right w:val="none" w:sz="0" w:space="0" w:color="auto"/>
          </w:divBdr>
          <w:divsChild>
            <w:div w:id="1968122614">
              <w:marLeft w:val="0"/>
              <w:marRight w:val="0"/>
              <w:marTop w:val="0"/>
              <w:marBottom w:val="0"/>
              <w:divBdr>
                <w:top w:val="none" w:sz="0" w:space="0" w:color="auto"/>
                <w:left w:val="none" w:sz="0" w:space="0" w:color="auto"/>
                <w:bottom w:val="none" w:sz="0" w:space="0" w:color="auto"/>
                <w:right w:val="none" w:sz="0" w:space="0" w:color="auto"/>
              </w:divBdr>
            </w:div>
          </w:divsChild>
        </w:div>
        <w:div w:id="1472792099">
          <w:marLeft w:val="0"/>
          <w:marRight w:val="0"/>
          <w:marTop w:val="0"/>
          <w:marBottom w:val="0"/>
          <w:divBdr>
            <w:top w:val="none" w:sz="0" w:space="0" w:color="auto"/>
            <w:left w:val="none" w:sz="0" w:space="0" w:color="auto"/>
            <w:bottom w:val="none" w:sz="0" w:space="0" w:color="auto"/>
            <w:right w:val="none" w:sz="0" w:space="0" w:color="auto"/>
          </w:divBdr>
          <w:divsChild>
            <w:div w:id="3848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7064">
      <w:bodyDiv w:val="1"/>
      <w:marLeft w:val="0"/>
      <w:marRight w:val="0"/>
      <w:marTop w:val="0"/>
      <w:marBottom w:val="0"/>
      <w:divBdr>
        <w:top w:val="none" w:sz="0" w:space="0" w:color="auto"/>
        <w:left w:val="none" w:sz="0" w:space="0" w:color="auto"/>
        <w:bottom w:val="none" w:sz="0" w:space="0" w:color="auto"/>
        <w:right w:val="none" w:sz="0" w:space="0" w:color="auto"/>
      </w:divBdr>
      <w:divsChild>
        <w:div w:id="140081270">
          <w:marLeft w:val="0"/>
          <w:marRight w:val="0"/>
          <w:marTop w:val="0"/>
          <w:marBottom w:val="0"/>
          <w:divBdr>
            <w:top w:val="none" w:sz="0" w:space="0" w:color="auto"/>
            <w:left w:val="none" w:sz="0" w:space="0" w:color="auto"/>
            <w:bottom w:val="none" w:sz="0" w:space="0" w:color="auto"/>
            <w:right w:val="none" w:sz="0" w:space="0" w:color="auto"/>
          </w:divBdr>
          <w:divsChild>
            <w:div w:id="266086346">
              <w:marLeft w:val="0"/>
              <w:marRight w:val="0"/>
              <w:marTop w:val="0"/>
              <w:marBottom w:val="0"/>
              <w:divBdr>
                <w:top w:val="none" w:sz="0" w:space="0" w:color="auto"/>
                <w:left w:val="none" w:sz="0" w:space="0" w:color="auto"/>
                <w:bottom w:val="none" w:sz="0" w:space="0" w:color="auto"/>
                <w:right w:val="none" w:sz="0" w:space="0" w:color="auto"/>
              </w:divBdr>
              <w:divsChild>
                <w:div w:id="44062616">
                  <w:marLeft w:val="0"/>
                  <w:marRight w:val="0"/>
                  <w:marTop w:val="0"/>
                  <w:marBottom w:val="0"/>
                  <w:divBdr>
                    <w:top w:val="none" w:sz="0" w:space="0" w:color="auto"/>
                    <w:left w:val="none" w:sz="0" w:space="0" w:color="auto"/>
                    <w:bottom w:val="none" w:sz="0" w:space="0" w:color="auto"/>
                    <w:right w:val="none" w:sz="0" w:space="0" w:color="auto"/>
                  </w:divBdr>
                  <w:divsChild>
                    <w:div w:id="1364135884">
                      <w:marLeft w:val="0"/>
                      <w:marRight w:val="0"/>
                      <w:marTop w:val="0"/>
                      <w:marBottom w:val="0"/>
                      <w:divBdr>
                        <w:top w:val="none" w:sz="0" w:space="0" w:color="auto"/>
                        <w:left w:val="none" w:sz="0" w:space="0" w:color="auto"/>
                        <w:bottom w:val="none" w:sz="0" w:space="0" w:color="auto"/>
                        <w:right w:val="none" w:sz="0" w:space="0" w:color="auto"/>
                      </w:divBdr>
                      <w:divsChild>
                        <w:div w:id="42028550">
                          <w:marLeft w:val="0"/>
                          <w:marRight w:val="0"/>
                          <w:marTop w:val="0"/>
                          <w:marBottom w:val="0"/>
                          <w:divBdr>
                            <w:top w:val="none" w:sz="0" w:space="0" w:color="auto"/>
                            <w:left w:val="none" w:sz="0" w:space="0" w:color="auto"/>
                            <w:bottom w:val="none" w:sz="0" w:space="0" w:color="auto"/>
                            <w:right w:val="none" w:sz="0" w:space="0" w:color="auto"/>
                          </w:divBdr>
                          <w:divsChild>
                            <w:div w:id="995493787">
                              <w:marLeft w:val="0"/>
                              <w:marRight w:val="0"/>
                              <w:marTop w:val="120"/>
                              <w:marBottom w:val="0"/>
                              <w:divBdr>
                                <w:top w:val="none" w:sz="0" w:space="0" w:color="auto"/>
                                <w:left w:val="none" w:sz="0" w:space="0" w:color="auto"/>
                                <w:bottom w:val="none" w:sz="0" w:space="0" w:color="auto"/>
                                <w:right w:val="none" w:sz="0" w:space="0" w:color="auto"/>
                              </w:divBdr>
                            </w:div>
                            <w:div w:id="1384252419">
                              <w:marLeft w:val="0"/>
                              <w:marRight w:val="0"/>
                              <w:marTop w:val="0"/>
                              <w:marBottom w:val="0"/>
                              <w:divBdr>
                                <w:top w:val="none" w:sz="0" w:space="0" w:color="auto"/>
                                <w:left w:val="none" w:sz="0" w:space="0" w:color="auto"/>
                                <w:bottom w:val="none" w:sz="0" w:space="0" w:color="auto"/>
                                <w:right w:val="none" w:sz="0" w:space="0" w:color="auto"/>
                              </w:divBdr>
                            </w:div>
                          </w:divsChild>
                        </w:div>
                        <w:div w:id="801845835">
                          <w:marLeft w:val="0"/>
                          <w:marRight w:val="0"/>
                          <w:marTop w:val="0"/>
                          <w:marBottom w:val="0"/>
                          <w:divBdr>
                            <w:top w:val="none" w:sz="0" w:space="0" w:color="auto"/>
                            <w:left w:val="none" w:sz="0" w:space="0" w:color="auto"/>
                            <w:bottom w:val="none" w:sz="0" w:space="0" w:color="auto"/>
                            <w:right w:val="none" w:sz="0" w:space="0" w:color="auto"/>
                          </w:divBdr>
                          <w:divsChild>
                            <w:div w:id="451751383">
                              <w:marLeft w:val="0"/>
                              <w:marRight w:val="0"/>
                              <w:marTop w:val="0"/>
                              <w:marBottom w:val="0"/>
                              <w:divBdr>
                                <w:top w:val="none" w:sz="0" w:space="0" w:color="auto"/>
                                <w:left w:val="none" w:sz="0" w:space="0" w:color="auto"/>
                                <w:bottom w:val="none" w:sz="0" w:space="0" w:color="auto"/>
                                <w:right w:val="none" w:sz="0" w:space="0" w:color="auto"/>
                              </w:divBdr>
                            </w:div>
                            <w:div w:id="1900288396">
                              <w:marLeft w:val="0"/>
                              <w:marRight w:val="0"/>
                              <w:marTop w:val="120"/>
                              <w:marBottom w:val="0"/>
                              <w:divBdr>
                                <w:top w:val="none" w:sz="0" w:space="0" w:color="auto"/>
                                <w:left w:val="none" w:sz="0" w:space="0" w:color="auto"/>
                                <w:bottom w:val="none" w:sz="0" w:space="0" w:color="auto"/>
                                <w:right w:val="none" w:sz="0" w:space="0" w:color="auto"/>
                              </w:divBdr>
                            </w:div>
                          </w:divsChild>
                        </w:div>
                        <w:div w:id="1010570733">
                          <w:marLeft w:val="0"/>
                          <w:marRight w:val="0"/>
                          <w:marTop w:val="0"/>
                          <w:marBottom w:val="0"/>
                          <w:divBdr>
                            <w:top w:val="none" w:sz="0" w:space="0" w:color="auto"/>
                            <w:left w:val="none" w:sz="0" w:space="0" w:color="auto"/>
                            <w:bottom w:val="none" w:sz="0" w:space="0" w:color="auto"/>
                            <w:right w:val="none" w:sz="0" w:space="0" w:color="auto"/>
                          </w:divBdr>
                          <w:divsChild>
                            <w:div w:id="269629077">
                              <w:marLeft w:val="0"/>
                              <w:marRight w:val="0"/>
                              <w:marTop w:val="120"/>
                              <w:marBottom w:val="0"/>
                              <w:divBdr>
                                <w:top w:val="none" w:sz="0" w:space="0" w:color="auto"/>
                                <w:left w:val="none" w:sz="0" w:space="0" w:color="auto"/>
                                <w:bottom w:val="none" w:sz="0" w:space="0" w:color="auto"/>
                                <w:right w:val="none" w:sz="0" w:space="0" w:color="auto"/>
                              </w:divBdr>
                            </w:div>
                            <w:div w:id="304088983">
                              <w:marLeft w:val="0"/>
                              <w:marRight w:val="0"/>
                              <w:marTop w:val="0"/>
                              <w:marBottom w:val="0"/>
                              <w:divBdr>
                                <w:top w:val="none" w:sz="0" w:space="0" w:color="auto"/>
                                <w:left w:val="none" w:sz="0" w:space="0" w:color="auto"/>
                                <w:bottom w:val="none" w:sz="0" w:space="0" w:color="auto"/>
                                <w:right w:val="none" w:sz="0" w:space="0" w:color="auto"/>
                              </w:divBdr>
                            </w:div>
                          </w:divsChild>
                        </w:div>
                        <w:div w:id="1491756169">
                          <w:marLeft w:val="0"/>
                          <w:marRight w:val="0"/>
                          <w:marTop w:val="0"/>
                          <w:marBottom w:val="0"/>
                          <w:divBdr>
                            <w:top w:val="none" w:sz="0" w:space="0" w:color="auto"/>
                            <w:left w:val="none" w:sz="0" w:space="0" w:color="auto"/>
                            <w:bottom w:val="none" w:sz="0" w:space="0" w:color="auto"/>
                            <w:right w:val="none" w:sz="0" w:space="0" w:color="auto"/>
                          </w:divBdr>
                          <w:divsChild>
                            <w:div w:id="423646726">
                              <w:marLeft w:val="0"/>
                              <w:marRight w:val="0"/>
                              <w:marTop w:val="0"/>
                              <w:marBottom w:val="0"/>
                              <w:divBdr>
                                <w:top w:val="none" w:sz="0" w:space="0" w:color="auto"/>
                                <w:left w:val="none" w:sz="0" w:space="0" w:color="auto"/>
                                <w:bottom w:val="none" w:sz="0" w:space="0" w:color="auto"/>
                                <w:right w:val="none" w:sz="0" w:space="0" w:color="auto"/>
                              </w:divBdr>
                            </w:div>
                            <w:div w:id="511802280">
                              <w:marLeft w:val="0"/>
                              <w:marRight w:val="0"/>
                              <w:marTop w:val="120"/>
                              <w:marBottom w:val="0"/>
                              <w:divBdr>
                                <w:top w:val="none" w:sz="0" w:space="0" w:color="auto"/>
                                <w:left w:val="none" w:sz="0" w:space="0" w:color="auto"/>
                                <w:bottom w:val="none" w:sz="0" w:space="0" w:color="auto"/>
                                <w:right w:val="none" w:sz="0" w:space="0" w:color="auto"/>
                              </w:divBdr>
                            </w:div>
                          </w:divsChild>
                        </w:div>
                        <w:div w:id="1727100027">
                          <w:marLeft w:val="0"/>
                          <w:marRight w:val="0"/>
                          <w:marTop w:val="0"/>
                          <w:marBottom w:val="0"/>
                          <w:divBdr>
                            <w:top w:val="none" w:sz="0" w:space="0" w:color="auto"/>
                            <w:left w:val="none" w:sz="0" w:space="0" w:color="auto"/>
                            <w:bottom w:val="none" w:sz="0" w:space="0" w:color="auto"/>
                            <w:right w:val="none" w:sz="0" w:space="0" w:color="auto"/>
                          </w:divBdr>
                          <w:divsChild>
                            <w:div w:id="962928215">
                              <w:marLeft w:val="0"/>
                              <w:marRight w:val="0"/>
                              <w:marTop w:val="120"/>
                              <w:marBottom w:val="0"/>
                              <w:divBdr>
                                <w:top w:val="none" w:sz="0" w:space="0" w:color="auto"/>
                                <w:left w:val="none" w:sz="0" w:space="0" w:color="auto"/>
                                <w:bottom w:val="none" w:sz="0" w:space="0" w:color="auto"/>
                                <w:right w:val="none" w:sz="0" w:space="0" w:color="auto"/>
                              </w:divBdr>
                            </w:div>
                            <w:div w:id="2099211504">
                              <w:marLeft w:val="0"/>
                              <w:marRight w:val="0"/>
                              <w:marTop w:val="0"/>
                              <w:marBottom w:val="0"/>
                              <w:divBdr>
                                <w:top w:val="none" w:sz="0" w:space="0" w:color="auto"/>
                                <w:left w:val="none" w:sz="0" w:space="0" w:color="auto"/>
                                <w:bottom w:val="none" w:sz="0" w:space="0" w:color="auto"/>
                                <w:right w:val="none" w:sz="0" w:space="0" w:color="auto"/>
                              </w:divBdr>
                            </w:div>
                          </w:divsChild>
                        </w:div>
                        <w:div w:id="2003004867">
                          <w:marLeft w:val="0"/>
                          <w:marRight w:val="0"/>
                          <w:marTop w:val="0"/>
                          <w:marBottom w:val="0"/>
                          <w:divBdr>
                            <w:top w:val="none" w:sz="0" w:space="0" w:color="auto"/>
                            <w:left w:val="none" w:sz="0" w:space="0" w:color="auto"/>
                            <w:bottom w:val="none" w:sz="0" w:space="0" w:color="auto"/>
                            <w:right w:val="none" w:sz="0" w:space="0" w:color="auto"/>
                          </w:divBdr>
                          <w:divsChild>
                            <w:div w:id="114837666">
                              <w:marLeft w:val="0"/>
                              <w:marRight w:val="0"/>
                              <w:marTop w:val="120"/>
                              <w:marBottom w:val="0"/>
                              <w:divBdr>
                                <w:top w:val="none" w:sz="0" w:space="0" w:color="auto"/>
                                <w:left w:val="none" w:sz="0" w:space="0" w:color="auto"/>
                                <w:bottom w:val="none" w:sz="0" w:space="0" w:color="auto"/>
                                <w:right w:val="none" w:sz="0" w:space="0" w:color="auto"/>
                              </w:divBdr>
                            </w:div>
                            <w:div w:id="1438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24480">
                      <w:marLeft w:val="0"/>
                      <w:marRight w:val="0"/>
                      <w:marTop w:val="120"/>
                      <w:marBottom w:val="0"/>
                      <w:divBdr>
                        <w:top w:val="none" w:sz="0" w:space="0" w:color="auto"/>
                        <w:left w:val="none" w:sz="0" w:space="0" w:color="auto"/>
                        <w:bottom w:val="none" w:sz="0" w:space="0" w:color="auto"/>
                        <w:right w:val="none" w:sz="0" w:space="0" w:color="auto"/>
                      </w:divBdr>
                    </w:div>
                  </w:divsChild>
                </w:div>
                <w:div w:id="879899795">
                  <w:marLeft w:val="0"/>
                  <w:marRight w:val="0"/>
                  <w:marTop w:val="0"/>
                  <w:marBottom w:val="0"/>
                  <w:divBdr>
                    <w:top w:val="none" w:sz="0" w:space="0" w:color="auto"/>
                    <w:left w:val="none" w:sz="0" w:space="0" w:color="auto"/>
                    <w:bottom w:val="none" w:sz="0" w:space="0" w:color="auto"/>
                    <w:right w:val="none" w:sz="0" w:space="0" w:color="auto"/>
                  </w:divBdr>
                  <w:divsChild>
                    <w:div w:id="1499035504">
                      <w:marLeft w:val="0"/>
                      <w:marRight w:val="0"/>
                      <w:marTop w:val="0"/>
                      <w:marBottom w:val="0"/>
                      <w:divBdr>
                        <w:top w:val="none" w:sz="0" w:space="0" w:color="auto"/>
                        <w:left w:val="none" w:sz="0" w:space="0" w:color="auto"/>
                        <w:bottom w:val="none" w:sz="0" w:space="0" w:color="auto"/>
                        <w:right w:val="none" w:sz="0" w:space="0" w:color="auto"/>
                      </w:divBdr>
                      <w:divsChild>
                        <w:div w:id="172308854">
                          <w:marLeft w:val="0"/>
                          <w:marRight w:val="0"/>
                          <w:marTop w:val="0"/>
                          <w:marBottom w:val="0"/>
                          <w:divBdr>
                            <w:top w:val="none" w:sz="0" w:space="0" w:color="auto"/>
                            <w:left w:val="none" w:sz="0" w:space="0" w:color="auto"/>
                            <w:bottom w:val="none" w:sz="0" w:space="0" w:color="auto"/>
                            <w:right w:val="none" w:sz="0" w:space="0" w:color="auto"/>
                          </w:divBdr>
                          <w:divsChild>
                            <w:div w:id="360714191">
                              <w:marLeft w:val="0"/>
                              <w:marRight w:val="0"/>
                              <w:marTop w:val="0"/>
                              <w:marBottom w:val="0"/>
                              <w:divBdr>
                                <w:top w:val="none" w:sz="0" w:space="0" w:color="auto"/>
                                <w:left w:val="none" w:sz="0" w:space="0" w:color="auto"/>
                                <w:bottom w:val="none" w:sz="0" w:space="0" w:color="auto"/>
                                <w:right w:val="none" w:sz="0" w:space="0" w:color="auto"/>
                              </w:divBdr>
                            </w:div>
                            <w:div w:id="661393169">
                              <w:marLeft w:val="0"/>
                              <w:marRight w:val="0"/>
                              <w:marTop w:val="120"/>
                              <w:marBottom w:val="0"/>
                              <w:divBdr>
                                <w:top w:val="none" w:sz="0" w:space="0" w:color="auto"/>
                                <w:left w:val="none" w:sz="0" w:space="0" w:color="auto"/>
                                <w:bottom w:val="none" w:sz="0" w:space="0" w:color="auto"/>
                                <w:right w:val="none" w:sz="0" w:space="0" w:color="auto"/>
                              </w:divBdr>
                            </w:div>
                          </w:divsChild>
                        </w:div>
                        <w:div w:id="245843735">
                          <w:marLeft w:val="0"/>
                          <w:marRight w:val="0"/>
                          <w:marTop w:val="0"/>
                          <w:marBottom w:val="0"/>
                          <w:divBdr>
                            <w:top w:val="none" w:sz="0" w:space="0" w:color="auto"/>
                            <w:left w:val="none" w:sz="0" w:space="0" w:color="auto"/>
                            <w:bottom w:val="none" w:sz="0" w:space="0" w:color="auto"/>
                            <w:right w:val="none" w:sz="0" w:space="0" w:color="auto"/>
                          </w:divBdr>
                          <w:divsChild>
                            <w:div w:id="59712852">
                              <w:marLeft w:val="0"/>
                              <w:marRight w:val="0"/>
                              <w:marTop w:val="120"/>
                              <w:marBottom w:val="0"/>
                              <w:divBdr>
                                <w:top w:val="none" w:sz="0" w:space="0" w:color="auto"/>
                                <w:left w:val="none" w:sz="0" w:space="0" w:color="auto"/>
                                <w:bottom w:val="none" w:sz="0" w:space="0" w:color="auto"/>
                                <w:right w:val="none" w:sz="0" w:space="0" w:color="auto"/>
                              </w:divBdr>
                            </w:div>
                            <w:div w:id="4291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4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72085808">
          <w:marLeft w:val="0"/>
          <w:marRight w:val="0"/>
          <w:marTop w:val="0"/>
          <w:marBottom w:val="0"/>
          <w:divBdr>
            <w:top w:val="none" w:sz="0" w:space="0" w:color="auto"/>
            <w:left w:val="none" w:sz="0" w:space="0" w:color="auto"/>
            <w:bottom w:val="none" w:sz="0" w:space="0" w:color="auto"/>
            <w:right w:val="none" w:sz="0" w:space="0" w:color="auto"/>
          </w:divBdr>
          <w:divsChild>
            <w:div w:id="541866960">
              <w:marLeft w:val="0"/>
              <w:marRight w:val="0"/>
              <w:marTop w:val="0"/>
              <w:marBottom w:val="0"/>
              <w:divBdr>
                <w:top w:val="none" w:sz="0" w:space="0" w:color="auto"/>
                <w:left w:val="none" w:sz="0" w:space="0" w:color="auto"/>
                <w:bottom w:val="none" w:sz="0" w:space="0" w:color="auto"/>
                <w:right w:val="none" w:sz="0" w:space="0" w:color="auto"/>
              </w:divBdr>
            </w:div>
          </w:divsChild>
        </w:div>
        <w:div w:id="771316766">
          <w:marLeft w:val="0"/>
          <w:marRight w:val="0"/>
          <w:marTop w:val="0"/>
          <w:marBottom w:val="0"/>
          <w:divBdr>
            <w:top w:val="none" w:sz="0" w:space="0" w:color="auto"/>
            <w:left w:val="none" w:sz="0" w:space="0" w:color="auto"/>
            <w:bottom w:val="none" w:sz="0" w:space="0" w:color="auto"/>
            <w:right w:val="none" w:sz="0" w:space="0" w:color="auto"/>
          </w:divBdr>
          <w:divsChild>
            <w:div w:id="355011909">
              <w:marLeft w:val="0"/>
              <w:marRight w:val="0"/>
              <w:marTop w:val="0"/>
              <w:marBottom w:val="0"/>
              <w:divBdr>
                <w:top w:val="none" w:sz="0" w:space="0" w:color="auto"/>
                <w:left w:val="none" w:sz="0" w:space="0" w:color="auto"/>
                <w:bottom w:val="none" w:sz="0" w:space="0" w:color="auto"/>
                <w:right w:val="none" w:sz="0" w:space="0" w:color="auto"/>
              </w:divBdr>
            </w:div>
          </w:divsChild>
        </w:div>
        <w:div w:id="1363282386">
          <w:marLeft w:val="0"/>
          <w:marRight w:val="0"/>
          <w:marTop w:val="0"/>
          <w:marBottom w:val="0"/>
          <w:divBdr>
            <w:top w:val="none" w:sz="0" w:space="0" w:color="auto"/>
            <w:left w:val="none" w:sz="0" w:space="0" w:color="auto"/>
            <w:bottom w:val="none" w:sz="0" w:space="0" w:color="auto"/>
            <w:right w:val="none" w:sz="0" w:space="0" w:color="auto"/>
          </w:divBdr>
          <w:divsChild>
            <w:div w:id="74790104">
              <w:marLeft w:val="0"/>
              <w:marRight w:val="0"/>
              <w:marTop w:val="0"/>
              <w:marBottom w:val="0"/>
              <w:divBdr>
                <w:top w:val="none" w:sz="0" w:space="0" w:color="auto"/>
                <w:left w:val="none" w:sz="0" w:space="0" w:color="auto"/>
                <w:bottom w:val="none" w:sz="0" w:space="0" w:color="auto"/>
                <w:right w:val="none" w:sz="0" w:space="0" w:color="auto"/>
              </w:divBdr>
              <w:divsChild>
                <w:div w:id="1174998439">
                  <w:marLeft w:val="0"/>
                  <w:marRight w:val="0"/>
                  <w:marTop w:val="0"/>
                  <w:marBottom w:val="0"/>
                  <w:divBdr>
                    <w:top w:val="none" w:sz="0" w:space="0" w:color="auto"/>
                    <w:left w:val="none" w:sz="0" w:space="0" w:color="auto"/>
                    <w:bottom w:val="none" w:sz="0" w:space="0" w:color="auto"/>
                    <w:right w:val="none" w:sz="0" w:space="0" w:color="auto"/>
                  </w:divBdr>
                  <w:divsChild>
                    <w:div w:id="1884637432">
                      <w:marLeft w:val="0"/>
                      <w:marRight w:val="0"/>
                      <w:marTop w:val="120"/>
                      <w:marBottom w:val="0"/>
                      <w:divBdr>
                        <w:top w:val="none" w:sz="0" w:space="0" w:color="auto"/>
                        <w:left w:val="none" w:sz="0" w:space="0" w:color="auto"/>
                        <w:bottom w:val="none" w:sz="0" w:space="0" w:color="auto"/>
                        <w:right w:val="none" w:sz="0" w:space="0" w:color="auto"/>
                      </w:divBdr>
                    </w:div>
                    <w:div w:id="1920552790">
                      <w:marLeft w:val="0"/>
                      <w:marRight w:val="0"/>
                      <w:marTop w:val="0"/>
                      <w:marBottom w:val="0"/>
                      <w:divBdr>
                        <w:top w:val="none" w:sz="0" w:space="0" w:color="auto"/>
                        <w:left w:val="none" w:sz="0" w:space="0" w:color="auto"/>
                        <w:bottom w:val="none" w:sz="0" w:space="0" w:color="auto"/>
                        <w:right w:val="none" w:sz="0" w:space="0" w:color="auto"/>
                      </w:divBdr>
                    </w:div>
                  </w:divsChild>
                </w:div>
                <w:div w:id="1623615122">
                  <w:marLeft w:val="0"/>
                  <w:marRight w:val="0"/>
                  <w:marTop w:val="0"/>
                  <w:marBottom w:val="0"/>
                  <w:divBdr>
                    <w:top w:val="none" w:sz="0" w:space="0" w:color="auto"/>
                    <w:left w:val="none" w:sz="0" w:space="0" w:color="auto"/>
                    <w:bottom w:val="none" w:sz="0" w:space="0" w:color="auto"/>
                    <w:right w:val="none" w:sz="0" w:space="0" w:color="auto"/>
                  </w:divBdr>
                  <w:divsChild>
                    <w:div w:id="960958880">
                      <w:marLeft w:val="0"/>
                      <w:marRight w:val="0"/>
                      <w:marTop w:val="120"/>
                      <w:marBottom w:val="0"/>
                      <w:divBdr>
                        <w:top w:val="none" w:sz="0" w:space="0" w:color="auto"/>
                        <w:left w:val="none" w:sz="0" w:space="0" w:color="auto"/>
                        <w:bottom w:val="none" w:sz="0" w:space="0" w:color="auto"/>
                        <w:right w:val="none" w:sz="0" w:space="0" w:color="auto"/>
                      </w:divBdr>
                    </w:div>
                    <w:div w:id="9614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57946">
          <w:marLeft w:val="0"/>
          <w:marRight w:val="0"/>
          <w:marTop w:val="0"/>
          <w:marBottom w:val="0"/>
          <w:divBdr>
            <w:top w:val="none" w:sz="0" w:space="0" w:color="auto"/>
            <w:left w:val="none" w:sz="0" w:space="0" w:color="auto"/>
            <w:bottom w:val="none" w:sz="0" w:space="0" w:color="auto"/>
            <w:right w:val="none" w:sz="0" w:space="0" w:color="auto"/>
          </w:divBdr>
          <w:divsChild>
            <w:div w:id="286932868">
              <w:marLeft w:val="0"/>
              <w:marRight w:val="0"/>
              <w:marTop w:val="0"/>
              <w:marBottom w:val="0"/>
              <w:divBdr>
                <w:top w:val="none" w:sz="0" w:space="0" w:color="auto"/>
                <w:left w:val="none" w:sz="0" w:space="0" w:color="auto"/>
                <w:bottom w:val="none" w:sz="0" w:space="0" w:color="auto"/>
                <w:right w:val="none" w:sz="0" w:space="0" w:color="auto"/>
              </w:divBdr>
              <w:divsChild>
                <w:div w:id="429393015">
                  <w:marLeft w:val="0"/>
                  <w:marRight w:val="0"/>
                  <w:marTop w:val="0"/>
                  <w:marBottom w:val="0"/>
                  <w:divBdr>
                    <w:top w:val="none" w:sz="0" w:space="0" w:color="auto"/>
                    <w:left w:val="none" w:sz="0" w:space="0" w:color="auto"/>
                    <w:bottom w:val="none" w:sz="0" w:space="0" w:color="auto"/>
                    <w:right w:val="none" w:sz="0" w:space="0" w:color="auto"/>
                  </w:divBdr>
                  <w:divsChild>
                    <w:div w:id="446199140">
                      <w:marLeft w:val="0"/>
                      <w:marRight w:val="0"/>
                      <w:marTop w:val="0"/>
                      <w:marBottom w:val="0"/>
                      <w:divBdr>
                        <w:top w:val="none" w:sz="0" w:space="0" w:color="auto"/>
                        <w:left w:val="none" w:sz="0" w:space="0" w:color="auto"/>
                        <w:bottom w:val="none" w:sz="0" w:space="0" w:color="auto"/>
                        <w:right w:val="none" w:sz="0" w:space="0" w:color="auto"/>
                      </w:divBdr>
                    </w:div>
                    <w:div w:id="1210338290">
                      <w:marLeft w:val="0"/>
                      <w:marRight w:val="0"/>
                      <w:marTop w:val="120"/>
                      <w:marBottom w:val="0"/>
                      <w:divBdr>
                        <w:top w:val="none" w:sz="0" w:space="0" w:color="auto"/>
                        <w:left w:val="none" w:sz="0" w:space="0" w:color="auto"/>
                        <w:bottom w:val="none" w:sz="0" w:space="0" w:color="auto"/>
                        <w:right w:val="none" w:sz="0" w:space="0" w:color="auto"/>
                      </w:divBdr>
                    </w:div>
                  </w:divsChild>
                </w:div>
                <w:div w:id="897399068">
                  <w:marLeft w:val="0"/>
                  <w:marRight w:val="0"/>
                  <w:marTop w:val="0"/>
                  <w:marBottom w:val="0"/>
                  <w:divBdr>
                    <w:top w:val="none" w:sz="0" w:space="0" w:color="auto"/>
                    <w:left w:val="none" w:sz="0" w:space="0" w:color="auto"/>
                    <w:bottom w:val="none" w:sz="0" w:space="0" w:color="auto"/>
                    <w:right w:val="none" w:sz="0" w:space="0" w:color="auto"/>
                  </w:divBdr>
                  <w:divsChild>
                    <w:div w:id="164322765">
                      <w:marLeft w:val="0"/>
                      <w:marRight w:val="0"/>
                      <w:marTop w:val="0"/>
                      <w:marBottom w:val="0"/>
                      <w:divBdr>
                        <w:top w:val="none" w:sz="0" w:space="0" w:color="auto"/>
                        <w:left w:val="none" w:sz="0" w:space="0" w:color="auto"/>
                        <w:bottom w:val="none" w:sz="0" w:space="0" w:color="auto"/>
                        <w:right w:val="none" w:sz="0" w:space="0" w:color="auto"/>
                      </w:divBdr>
                    </w:div>
                    <w:div w:id="1270701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61022442">
          <w:marLeft w:val="0"/>
          <w:marRight w:val="0"/>
          <w:marTop w:val="0"/>
          <w:marBottom w:val="0"/>
          <w:divBdr>
            <w:top w:val="none" w:sz="0" w:space="0" w:color="auto"/>
            <w:left w:val="none" w:sz="0" w:space="0" w:color="auto"/>
            <w:bottom w:val="none" w:sz="0" w:space="0" w:color="auto"/>
            <w:right w:val="none" w:sz="0" w:space="0" w:color="auto"/>
          </w:divBdr>
          <w:divsChild>
            <w:div w:id="117771247">
              <w:marLeft w:val="0"/>
              <w:marRight w:val="0"/>
              <w:marTop w:val="0"/>
              <w:marBottom w:val="0"/>
              <w:divBdr>
                <w:top w:val="none" w:sz="0" w:space="0" w:color="auto"/>
                <w:left w:val="none" w:sz="0" w:space="0" w:color="auto"/>
                <w:bottom w:val="none" w:sz="0" w:space="0" w:color="auto"/>
                <w:right w:val="none" w:sz="0" w:space="0" w:color="auto"/>
              </w:divBdr>
              <w:divsChild>
                <w:div w:id="732045109">
                  <w:marLeft w:val="0"/>
                  <w:marRight w:val="0"/>
                  <w:marTop w:val="0"/>
                  <w:marBottom w:val="0"/>
                  <w:divBdr>
                    <w:top w:val="none" w:sz="0" w:space="0" w:color="auto"/>
                    <w:left w:val="none" w:sz="0" w:space="0" w:color="auto"/>
                    <w:bottom w:val="none" w:sz="0" w:space="0" w:color="auto"/>
                    <w:right w:val="none" w:sz="0" w:space="0" w:color="auto"/>
                  </w:divBdr>
                  <w:divsChild>
                    <w:div w:id="1361010824">
                      <w:marLeft w:val="0"/>
                      <w:marRight w:val="0"/>
                      <w:marTop w:val="120"/>
                      <w:marBottom w:val="0"/>
                      <w:divBdr>
                        <w:top w:val="none" w:sz="0" w:space="0" w:color="auto"/>
                        <w:left w:val="none" w:sz="0" w:space="0" w:color="auto"/>
                        <w:bottom w:val="none" w:sz="0" w:space="0" w:color="auto"/>
                        <w:right w:val="none" w:sz="0" w:space="0" w:color="auto"/>
                      </w:divBdr>
                    </w:div>
                    <w:div w:id="2002587336">
                      <w:marLeft w:val="0"/>
                      <w:marRight w:val="0"/>
                      <w:marTop w:val="0"/>
                      <w:marBottom w:val="0"/>
                      <w:divBdr>
                        <w:top w:val="none" w:sz="0" w:space="0" w:color="auto"/>
                        <w:left w:val="none" w:sz="0" w:space="0" w:color="auto"/>
                        <w:bottom w:val="none" w:sz="0" w:space="0" w:color="auto"/>
                        <w:right w:val="none" w:sz="0" w:space="0" w:color="auto"/>
                      </w:divBdr>
                    </w:div>
                  </w:divsChild>
                </w:div>
                <w:div w:id="790588252">
                  <w:marLeft w:val="0"/>
                  <w:marRight w:val="0"/>
                  <w:marTop w:val="0"/>
                  <w:marBottom w:val="0"/>
                  <w:divBdr>
                    <w:top w:val="none" w:sz="0" w:space="0" w:color="auto"/>
                    <w:left w:val="none" w:sz="0" w:space="0" w:color="auto"/>
                    <w:bottom w:val="none" w:sz="0" w:space="0" w:color="auto"/>
                    <w:right w:val="none" w:sz="0" w:space="0" w:color="auto"/>
                  </w:divBdr>
                  <w:divsChild>
                    <w:div w:id="555555019">
                      <w:marLeft w:val="0"/>
                      <w:marRight w:val="0"/>
                      <w:marTop w:val="120"/>
                      <w:marBottom w:val="0"/>
                      <w:divBdr>
                        <w:top w:val="none" w:sz="0" w:space="0" w:color="auto"/>
                        <w:left w:val="none" w:sz="0" w:space="0" w:color="auto"/>
                        <w:bottom w:val="none" w:sz="0" w:space="0" w:color="auto"/>
                        <w:right w:val="none" w:sz="0" w:space="0" w:color="auto"/>
                      </w:divBdr>
                    </w:div>
                    <w:div w:id="674570530">
                      <w:marLeft w:val="0"/>
                      <w:marRight w:val="0"/>
                      <w:marTop w:val="0"/>
                      <w:marBottom w:val="0"/>
                      <w:divBdr>
                        <w:top w:val="none" w:sz="0" w:space="0" w:color="auto"/>
                        <w:left w:val="none" w:sz="0" w:space="0" w:color="auto"/>
                        <w:bottom w:val="none" w:sz="0" w:space="0" w:color="auto"/>
                        <w:right w:val="none" w:sz="0" w:space="0" w:color="auto"/>
                      </w:divBdr>
                    </w:div>
                  </w:divsChild>
                </w:div>
                <w:div w:id="816412706">
                  <w:marLeft w:val="0"/>
                  <w:marRight w:val="0"/>
                  <w:marTop w:val="0"/>
                  <w:marBottom w:val="0"/>
                  <w:divBdr>
                    <w:top w:val="none" w:sz="0" w:space="0" w:color="auto"/>
                    <w:left w:val="none" w:sz="0" w:space="0" w:color="auto"/>
                    <w:bottom w:val="none" w:sz="0" w:space="0" w:color="auto"/>
                    <w:right w:val="none" w:sz="0" w:space="0" w:color="auto"/>
                  </w:divBdr>
                  <w:divsChild>
                    <w:div w:id="933829819">
                      <w:marLeft w:val="0"/>
                      <w:marRight w:val="0"/>
                      <w:marTop w:val="0"/>
                      <w:marBottom w:val="0"/>
                      <w:divBdr>
                        <w:top w:val="none" w:sz="0" w:space="0" w:color="auto"/>
                        <w:left w:val="none" w:sz="0" w:space="0" w:color="auto"/>
                        <w:bottom w:val="none" w:sz="0" w:space="0" w:color="auto"/>
                        <w:right w:val="none" w:sz="0" w:space="0" w:color="auto"/>
                      </w:divBdr>
                    </w:div>
                    <w:div w:id="1109935667">
                      <w:marLeft w:val="0"/>
                      <w:marRight w:val="0"/>
                      <w:marTop w:val="120"/>
                      <w:marBottom w:val="0"/>
                      <w:divBdr>
                        <w:top w:val="none" w:sz="0" w:space="0" w:color="auto"/>
                        <w:left w:val="none" w:sz="0" w:space="0" w:color="auto"/>
                        <w:bottom w:val="none" w:sz="0" w:space="0" w:color="auto"/>
                        <w:right w:val="none" w:sz="0" w:space="0" w:color="auto"/>
                      </w:divBdr>
                    </w:div>
                  </w:divsChild>
                </w:div>
                <w:div w:id="939798391">
                  <w:marLeft w:val="0"/>
                  <w:marRight w:val="0"/>
                  <w:marTop w:val="0"/>
                  <w:marBottom w:val="0"/>
                  <w:divBdr>
                    <w:top w:val="none" w:sz="0" w:space="0" w:color="auto"/>
                    <w:left w:val="none" w:sz="0" w:space="0" w:color="auto"/>
                    <w:bottom w:val="none" w:sz="0" w:space="0" w:color="auto"/>
                    <w:right w:val="none" w:sz="0" w:space="0" w:color="auto"/>
                  </w:divBdr>
                  <w:divsChild>
                    <w:div w:id="301006860">
                      <w:marLeft w:val="0"/>
                      <w:marRight w:val="0"/>
                      <w:marTop w:val="120"/>
                      <w:marBottom w:val="0"/>
                      <w:divBdr>
                        <w:top w:val="none" w:sz="0" w:space="0" w:color="auto"/>
                        <w:left w:val="none" w:sz="0" w:space="0" w:color="auto"/>
                        <w:bottom w:val="none" w:sz="0" w:space="0" w:color="auto"/>
                        <w:right w:val="none" w:sz="0" w:space="0" w:color="auto"/>
                      </w:divBdr>
                    </w:div>
                    <w:div w:id="1540127574">
                      <w:marLeft w:val="0"/>
                      <w:marRight w:val="0"/>
                      <w:marTop w:val="0"/>
                      <w:marBottom w:val="0"/>
                      <w:divBdr>
                        <w:top w:val="none" w:sz="0" w:space="0" w:color="auto"/>
                        <w:left w:val="none" w:sz="0" w:space="0" w:color="auto"/>
                        <w:bottom w:val="none" w:sz="0" w:space="0" w:color="auto"/>
                        <w:right w:val="none" w:sz="0" w:space="0" w:color="auto"/>
                      </w:divBdr>
                    </w:div>
                  </w:divsChild>
                </w:div>
                <w:div w:id="1011637642">
                  <w:marLeft w:val="0"/>
                  <w:marRight w:val="0"/>
                  <w:marTop w:val="0"/>
                  <w:marBottom w:val="0"/>
                  <w:divBdr>
                    <w:top w:val="none" w:sz="0" w:space="0" w:color="auto"/>
                    <w:left w:val="none" w:sz="0" w:space="0" w:color="auto"/>
                    <w:bottom w:val="none" w:sz="0" w:space="0" w:color="auto"/>
                    <w:right w:val="none" w:sz="0" w:space="0" w:color="auto"/>
                  </w:divBdr>
                  <w:divsChild>
                    <w:div w:id="253513839">
                      <w:marLeft w:val="0"/>
                      <w:marRight w:val="0"/>
                      <w:marTop w:val="120"/>
                      <w:marBottom w:val="0"/>
                      <w:divBdr>
                        <w:top w:val="none" w:sz="0" w:space="0" w:color="auto"/>
                        <w:left w:val="none" w:sz="0" w:space="0" w:color="auto"/>
                        <w:bottom w:val="none" w:sz="0" w:space="0" w:color="auto"/>
                        <w:right w:val="none" w:sz="0" w:space="0" w:color="auto"/>
                      </w:divBdr>
                    </w:div>
                    <w:div w:id="1423377186">
                      <w:marLeft w:val="0"/>
                      <w:marRight w:val="0"/>
                      <w:marTop w:val="0"/>
                      <w:marBottom w:val="0"/>
                      <w:divBdr>
                        <w:top w:val="none" w:sz="0" w:space="0" w:color="auto"/>
                        <w:left w:val="none" w:sz="0" w:space="0" w:color="auto"/>
                        <w:bottom w:val="none" w:sz="0" w:space="0" w:color="auto"/>
                        <w:right w:val="none" w:sz="0" w:space="0" w:color="auto"/>
                      </w:divBdr>
                    </w:div>
                  </w:divsChild>
                </w:div>
                <w:div w:id="1046877533">
                  <w:marLeft w:val="0"/>
                  <w:marRight w:val="0"/>
                  <w:marTop w:val="0"/>
                  <w:marBottom w:val="0"/>
                  <w:divBdr>
                    <w:top w:val="none" w:sz="0" w:space="0" w:color="auto"/>
                    <w:left w:val="none" w:sz="0" w:space="0" w:color="auto"/>
                    <w:bottom w:val="none" w:sz="0" w:space="0" w:color="auto"/>
                    <w:right w:val="none" w:sz="0" w:space="0" w:color="auto"/>
                  </w:divBdr>
                  <w:divsChild>
                    <w:div w:id="599527106">
                      <w:marLeft w:val="0"/>
                      <w:marRight w:val="0"/>
                      <w:marTop w:val="120"/>
                      <w:marBottom w:val="0"/>
                      <w:divBdr>
                        <w:top w:val="none" w:sz="0" w:space="0" w:color="auto"/>
                        <w:left w:val="none" w:sz="0" w:space="0" w:color="auto"/>
                        <w:bottom w:val="none" w:sz="0" w:space="0" w:color="auto"/>
                        <w:right w:val="none" w:sz="0" w:space="0" w:color="auto"/>
                      </w:divBdr>
                    </w:div>
                    <w:div w:id="796722581">
                      <w:marLeft w:val="0"/>
                      <w:marRight w:val="0"/>
                      <w:marTop w:val="0"/>
                      <w:marBottom w:val="0"/>
                      <w:divBdr>
                        <w:top w:val="none" w:sz="0" w:space="0" w:color="auto"/>
                        <w:left w:val="none" w:sz="0" w:space="0" w:color="auto"/>
                        <w:bottom w:val="none" w:sz="0" w:space="0" w:color="auto"/>
                        <w:right w:val="none" w:sz="0" w:space="0" w:color="auto"/>
                      </w:divBdr>
                    </w:div>
                  </w:divsChild>
                </w:div>
                <w:div w:id="1063603901">
                  <w:marLeft w:val="0"/>
                  <w:marRight w:val="0"/>
                  <w:marTop w:val="0"/>
                  <w:marBottom w:val="0"/>
                  <w:divBdr>
                    <w:top w:val="none" w:sz="0" w:space="0" w:color="auto"/>
                    <w:left w:val="none" w:sz="0" w:space="0" w:color="auto"/>
                    <w:bottom w:val="none" w:sz="0" w:space="0" w:color="auto"/>
                    <w:right w:val="none" w:sz="0" w:space="0" w:color="auto"/>
                  </w:divBdr>
                  <w:divsChild>
                    <w:div w:id="901719616">
                      <w:marLeft w:val="0"/>
                      <w:marRight w:val="0"/>
                      <w:marTop w:val="120"/>
                      <w:marBottom w:val="0"/>
                      <w:divBdr>
                        <w:top w:val="none" w:sz="0" w:space="0" w:color="auto"/>
                        <w:left w:val="none" w:sz="0" w:space="0" w:color="auto"/>
                        <w:bottom w:val="none" w:sz="0" w:space="0" w:color="auto"/>
                        <w:right w:val="none" w:sz="0" w:space="0" w:color="auto"/>
                      </w:divBdr>
                    </w:div>
                    <w:div w:id="1910537143">
                      <w:marLeft w:val="0"/>
                      <w:marRight w:val="0"/>
                      <w:marTop w:val="0"/>
                      <w:marBottom w:val="0"/>
                      <w:divBdr>
                        <w:top w:val="none" w:sz="0" w:space="0" w:color="auto"/>
                        <w:left w:val="none" w:sz="0" w:space="0" w:color="auto"/>
                        <w:bottom w:val="none" w:sz="0" w:space="0" w:color="auto"/>
                        <w:right w:val="none" w:sz="0" w:space="0" w:color="auto"/>
                      </w:divBdr>
                    </w:div>
                  </w:divsChild>
                </w:div>
                <w:div w:id="1313605726">
                  <w:marLeft w:val="0"/>
                  <w:marRight w:val="0"/>
                  <w:marTop w:val="0"/>
                  <w:marBottom w:val="0"/>
                  <w:divBdr>
                    <w:top w:val="none" w:sz="0" w:space="0" w:color="auto"/>
                    <w:left w:val="none" w:sz="0" w:space="0" w:color="auto"/>
                    <w:bottom w:val="none" w:sz="0" w:space="0" w:color="auto"/>
                    <w:right w:val="none" w:sz="0" w:space="0" w:color="auto"/>
                  </w:divBdr>
                  <w:divsChild>
                    <w:div w:id="263929505">
                      <w:marLeft w:val="0"/>
                      <w:marRight w:val="0"/>
                      <w:marTop w:val="0"/>
                      <w:marBottom w:val="0"/>
                      <w:divBdr>
                        <w:top w:val="none" w:sz="0" w:space="0" w:color="auto"/>
                        <w:left w:val="none" w:sz="0" w:space="0" w:color="auto"/>
                        <w:bottom w:val="none" w:sz="0" w:space="0" w:color="auto"/>
                        <w:right w:val="none" w:sz="0" w:space="0" w:color="auto"/>
                      </w:divBdr>
                    </w:div>
                    <w:div w:id="1303538102">
                      <w:marLeft w:val="0"/>
                      <w:marRight w:val="0"/>
                      <w:marTop w:val="120"/>
                      <w:marBottom w:val="0"/>
                      <w:divBdr>
                        <w:top w:val="none" w:sz="0" w:space="0" w:color="auto"/>
                        <w:left w:val="none" w:sz="0" w:space="0" w:color="auto"/>
                        <w:bottom w:val="none" w:sz="0" w:space="0" w:color="auto"/>
                        <w:right w:val="none" w:sz="0" w:space="0" w:color="auto"/>
                      </w:divBdr>
                    </w:div>
                  </w:divsChild>
                </w:div>
                <w:div w:id="1335301602">
                  <w:marLeft w:val="0"/>
                  <w:marRight w:val="0"/>
                  <w:marTop w:val="0"/>
                  <w:marBottom w:val="0"/>
                  <w:divBdr>
                    <w:top w:val="none" w:sz="0" w:space="0" w:color="auto"/>
                    <w:left w:val="none" w:sz="0" w:space="0" w:color="auto"/>
                    <w:bottom w:val="none" w:sz="0" w:space="0" w:color="auto"/>
                    <w:right w:val="none" w:sz="0" w:space="0" w:color="auto"/>
                  </w:divBdr>
                  <w:divsChild>
                    <w:div w:id="67926490">
                      <w:marLeft w:val="0"/>
                      <w:marRight w:val="0"/>
                      <w:marTop w:val="0"/>
                      <w:marBottom w:val="0"/>
                      <w:divBdr>
                        <w:top w:val="none" w:sz="0" w:space="0" w:color="auto"/>
                        <w:left w:val="none" w:sz="0" w:space="0" w:color="auto"/>
                        <w:bottom w:val="none" w:sz="0" w:space="0" w:color="auto"/>
                        <w:right w:val="none" w:sz="0" w:space="0" w:color="auto"/>
                      </w:divBdr>
                    </w:div>
                    <w:div w:id="10723931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06391295">
      <w:bodyDiv w:val="1"/>
      <w:marLeft w:val="0"/>
      <w:marRight w:val="0"/>
      <w:marTop w:val="0"/>
      <w:marBottom w:val="0"/>
      <w:divBdr>
        <w:top w:val="none" w:sz="0" w:space="0" w:color="auto"/>
        <w:left w:val="none" w:sz="0" w:space="0" w:color="auto"/>
        <w:bottom w:val="none" w:sz="0" w:space="0" w:color="auto"/>
        <w:right w:val="none" w:sz="0" w:space="0" w:color="auto"/>
      </w:divBdr>
      <w:divsChild>
        <w:div w:id="1338969487">
          <w:marLeft w:val="0"/>
          <w:marRight w:val="0"/>
          <w:marTop w:val="0"/>
          <w:marBottom w:val="0"/>
          <w:divBdr>
            <w:top w:val="none" w:sz="0" w:space="0" w:color="auto"/>
            <w:left w:val="none" w:sz="0" w:space="0" w:color="auto"/>
            <w:bottom w:val="none" w:sz="0" w:space="0" w:color="auto"/>
            <w:right w:val="none" w:sz="0" w:space="0" w:color="auto"/>
          </w:divBdr>
          <w:divsChild>
            <w:div w:id="1243492207">
              <w:marLeft w:val="0"/>
              <w:marRight w:val="0"/>
              <w:marTop w:val="0"/>
              <w:marBottom w:val="0"/>
              <w:divBdr>
                <w:top w:val="none" w:sz="0" w:space="0" w:color="auto"/>
                <w:left w:val="none" w:sz="0" w:space="0" w:color="auto"/>
                <w:bottom w:val="none" w:sz="0" w:space="0" w:color="auto"/>
                <w:right w:val="none" w:sz="0" w:space="0" w:color="auto"/>
              </w:divBdr>
              <w:divsChild>
                <w:div w:id="637954215">
                  <w:marLeft w:val="0"/>
                  <w:marRight w:val="0"/>
                  <w:marTop w:val="0"/>
                  <w:marBottom w:val="0"/>
                  <w:divBdr>
                    <w:top w:val="none" w:sz="0" w:space="0" w:color="auto"/>
                    <w:left w:val="none" w:sz="0" w:space="0" w:color="auto"/>
                    <w:bottom w:val="none" w:sz="0" w:space="0" w:color="auto"/>
                    <w:right w:val="none" w:sz="0" w:space="0" w:color="auto"/>
                  </w:divBdr>
                  <w:divsChild>
                    <w:div w:id="1055472532">
                      <w:marLeft w:val="0"/>
                      <w:marRight w:val="0"/>
                      <w:marTop w:val="0"/>
                      <w:marBottom w:val="0"/>
                      <w:divBdr>
                        <w:top w:val="none" w:sz="0" w:space="0" w:color="auto"/>
                        <w:left w:val="none" w:sz="0" w:space="0" w:color="auto"/>
                        <w:bottom w:val="none" w:sz="0" w:space="0" w:color="auto"/>
                        <w:right w:val="none" w:sz="0" w:space="0" w:color="auto"/>
                      </w:divBdr>
                    </w:div>
                    <w:div w:id="1211309670">
                      <w:marLeft w:val="0"/>
                      <w:marRight w:val="0"/>
                      <w:marTop w:val="120"/>
                      <w:marBottom w:val="0"/>
                      <w:divBdr>
                        <w:top w:val="none" w:sz="0" w:space="0" w:color="auto"/>
                        <w:left w:val="none" w:sz="0" w:space="0" w:color="auto"/>
                        <w:bottom w:val="none" w:sz="0" w:space="0" w:color="auto"/>
                        <w:right w:val="none" w:sz="0" w:space="0" w:color="auto"/>
                      </w:divBdr>
                    </w:div>
                  </w:divsChild>
                </w:div>
                <w:div w:id="829904514">
                  <w:marLeft w:val="0"/>
                  <w:marRight w:val="0"/>
                  <w:marTop w:val="0"/>
                  <w:marBottom w:val="0"/>
                  <w:divBdr>
                    <w:top w:val="none" w:sz="0" w:space="0" w:color="auto"/>
                    <w:left w:val="none" w:sz="0" w:space="0" w:color="auto"/>
                    <w:bottom w:val="none" w:sz="0" w:space="0" w:color="auto"/>
                    <w:right w:val="none" w:sz="0" w:space="0" w:color="auto"/>
                  </w:divBdr>
                  <w:divsChild>
                    <w:div w:id="526676854">
                      <w:marLeft w:val="0"/>
                      <w:marRight w:val="0"/>
                      <w:marTop w:val="0"/>
                      <w:marBottom w:val="0"/>
                      <w:divBdr>
                        <w:top w:val="none" w:sz="0" w:space="0" w:color="auto"/>
                        <w:left w:val="none" w:sz="0" w:space="0" w:color="auto"/>
                        <w:bottom w:val="none" w:sz="0" w:space="0" w:color="auto"/>
                        <w:right w:val="none" w:sz="0" w:space="0" w:color="auto"/>
                      </w:divBdr>
                    </w:div>
                    <w:div w:id="20971649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88257818">
          <w:marLeft w:val="0"/>
          <w:marRight w:val="0"/>
          <w:marTop w:val="0"/>
          <w:marBottom w:val="0"/>
          <w:divBdr>
            <w:top w:val="none" w:sz="0" w:space="0" w:color="auto"/>
            <w:left w:val="none" w:sz="0" w:space="0" w:color="auto"/>
            <w:bottom w:val="none" w:sz="0" w:space="0" w:color="auto"/>
            <w:right w:val="none" w:sz="0" w:space="0" w:color="auto"/>
          </w:divBdr>
          <w:divsChild>
            <w:div w:id="1989047803">
              <w:marLeft w:val="0"/>
              <w:marRight w:val="0"/>
              <w:marTop w:val="0"/>
              <w:marBottom w:val="0"/>
              <w:divBdr>
                <w:top w:val="none" w:sz="0" w:space="0" w:color="auto"/>
                <w:left w:val="none" w:sz="0" w:space="0" w:color="auto"/>
                <w:bottom w:val="none" w:sz="0" w:space="0" w:color="auto"/>
                <w:right w:val="none" w:sz="0" w:space="0" w:color="auto"/>
              </w:divBdr>
              <w:divsChild>
                <w:div w:id="1334380590">
                  <w:marLeft w:val="0"/>
                  <w:marRight w:val="0"/>
                  <w:marTop w:val="0"/>
                  <w:marBottom w:val="0"/>
                  <w:divBdr>
                    <w:top w:val="none" w:sz="0" w:space="0" w:color="auto"/>
                    <w:left w:val="none" w:sz="0" w:space="0" w:color="auto"/>
                    <w:bottom w:val="none" w:sz="0" w:space="0" w:color="auto"/>
                    <w:right w:val="none" w:sz="0" w:space="0" w:color="auto"/>
                  </w:divBdr>
                  <w:divsChild>
                    <w:div w:id="614219208">
                      <w:marLeft w:val="0"/>
                      <w:marRight w:val="0"/>
                      <w:marTop w:val="120"/>
                      <w:marBottom w:val="0"/>
                      <w:divBdr>
                        <w:top w:val="none" w:sz="0" w:space="0" w:color="auto"/>
                        <w:left w:val="none" w:sz="0" w:space="0" w:color="auto"/>
                        <w:bottom w:val="none" w:sz="0" w:space="0" w:color="auto"/>
                        <w:right w:val="none" w:sz="0" w:space="0" w:color="auto"/>
                      </w:divBdr>
                    </w:div>
                    <w:div w:id="984578442">
                      <w:marLeft w:val="0"/>
                      <w:marRight w:val="0"/>
                      <w:marTop w:val="0"/>
                      <w:marBottom w:val="0"/>
                      <w:divBdr>
                        <w:top w:val="none" w:sz="0" w:space="0" w:color="auto"/>
                        <w:left w:val="none" w:sz="0" w:space="0" w:color="auto"/>
                        <w:bottom w:val="none" w:sz="0" w:space="0" w:color="auto"/>
                        <w:right w:val="none" w:sz="0" w:space="0" w:color="auto"/>
                      </w:divBdr>
                    </w:div>
                  </w:divsChild>
                </w:div>
                <w:div w:id="1708873802">
                  <w:marLeft w:val="0"/>
                  <w:marRight w:val="0"/>
                  <w:marTop w:val="0"/>
                  <w:marBottom w:val="0"/>
                  <w:divBdr>
                    <w:top w:val="none" w:sz="0" w:space="0" w:color="auto"/>
                    <w:left w:val="none" w:sz="0" w:space="0" w:color="auto"/>
                    <w:bottom w:val="none" w:sz="0" w:space="0" w:color="auto"/>
                    <w:right w:val="none" w:sz="0" w:space="0" w:color="auto"/>
                  </w:divBdr>
                  <w:divsChild>
                    <w:div w:id="710767352">
                      <w:marLeft w:val="0"/>
                      <w:marRight w:val="0"/>
                      <w:marTop w:val="120"/>
                      <w:marBottom w:val="0"/>
                      <w:divBdr>
                        <w:top w:val="none" w:sz="0" w:space="0" w:color="auto"/>
                        <w:left w:val="none" w:sz="0" w:space="0" w:color="auto"/>
                        <w:bottom w:val="none" w:sz="0" w:space="0" w:color="auto"/>
                        <w:right w:val="none" w:sz="0" w:space="0" w:color="auto"/>
                      </w:divBdr>
                    </w:div>
                    <w:div w:id="1286350957">
                      <w:marLeft w:val="0"/>
                      <w:marRight w:val="0"/>
                      <w:marTop w:val="0"/>
                      <w:marBottom w:val="0"/>
                      <w:divBdr>
                        <w:top w:val="none" w:sz="0" w:space="0" w:color="auto"/>
                        <w:left w:val="none" w:sz="0" w:space="0" w:color="auto"/>
                        <w:bottom w:val="none" w:sz="0" w:space="0" w:color="auto"/>
                        <w:right w:val="none" w:sz="0" w:space="0" w:color="auto"/>
                      </w:divBdr>
                    </w:div>
                  </w:divsChild>
                </w:div>
                <w:div w:id="1766343528">
                  <w:marLeft w:val="0"/>
                  <w:marRight w:val="0"/>
                  <w:marTop w:val="0"/>
                  <w:marBottom w:val="0"/>
                  <w:divBdr>
                    <w:top w:val="none" w:sz="0" w:space="0" w:color="auto"/>
                    <w:left w:val="none" w:sz="0" w:space="0" w:color="auto"/>
                    <w:bottom w:val="none" w:sz="0" w:space="0" w:color="auto"/>
                    <w:right w:val="none" w:sz="0" w:space="0" w:color="auto"/>
                  </w:divBdr>
                  <w:divsChild>
                    <w:div w:id="1644919606">
                      <w:marLeft w:val="0"/>
                      <w:marRight w:val="0"/>
                      <w:marTop w:val="120"/>
                      <w:marBottom w:val="0"/>
                      <w:divBdr>
                        <w:top w:val="none" w:sz="0" w:space="0" w:color="auto"/>
                        <w:left w:val="none" w:sz="0" w:space="0" w:color="auto"/>
                        <w:bottom w:val="none" w:sz="0" w:space="0" w:color="auto"/>
                        <w:right w:val="none" w:sz="0" w:space="0" w:color="auto"/>
                      </w:divBdr>
                    </w:div>
                    <w:div w:id="17337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460054">
          <w:marLeft w:val="0"/>
          <w:marRight w:val="0"/>
          <w:marTop w:val="0"/>
          <w:marBottom w:val="0"/>
          <w:divBdr>
            <w:top w:val="none" w:sz="0" w:space="0" w:color="auto"/>
            <w:left w:val="none" w:sz="0" w:space="0" w:color="auto"/>
            <w:bottom w:val="none" w:sz="0" w:space="0" w:color="auto"/>
            <w:right w:val="none" w:sz="0" w:space="0" w:color="auto"/>
          </w:divBdr>
          <w:divsChild>
            <w:div w:id="13915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8331">
      <w:bodyDiv w:val="1"/>
      <w:marLeft w:val="0"/>
      <w:marRight w:val="0"/>
      <w:marTop w:val="0"/>
      <w:marBottom w:val="0"/>
      <w:divBdr>
        <w:top w:val="none" w:sz="0" w:space="0" w:color="auto"/>
        <w:left w:val="none" w:sz="0" w:space="0" w:color="auto"/>
        <w:bottom w:val="none" w:sz="0" w:space="0" w:color="auto"/>
        <w:right w:val="none" w:sz="0" w:space="0" w:color="auto"/>
      </w:divBdr>
    </w:div>
    <w:div w:id="433598289">
      <w:bodyDiv w:val="1"/>
      <w:marLeft w:val="0"/>
      <w:marRight w:val="0"/>
      <w:marTop w:val="0"/>
      <w:marBottom w:val="0"/>
      <w:divBdr>
        <w:top w:val="none" w:sz="0" w:space="0" w:color="auto"/>
        <w:left w:val="none" w:sz="0" w:space="0" w:color="auto"/>
        <w:bottom w:val="none" w:sz="0" w:space="0" w:color="auto"/>
        <w:right w:val="none" w:sz="0" w:space="0" w:color="auto"/>
      </w:divBdr>
    </w:div>
    <w:div w:id="443423130">
      <w:bodyDiv w:val="1"/>
      <w:marLeft w:val="0"/>
      <w:marRight w:val="0"/>
      <w:marTop w:val="0"/>
      <w:marBottom w:val="0"/>
      <w:divBdr>
        <w:top w:val="none" w:sz="0" w:space="0" w:color="auto"/>
        <w:left w:val="none" w:sz="0" w:space="0" w:color="auto"/>
        <w:bottom w:val="none" w:sz="0" w:space="0" w:color="auto"/>
        <w:right w:val="none" w:sz="0" w:space="0" w:color="auto"/>
      </w:divBdr>
      <w:divsChild>
        <w:div w:id="1027412890">
          <w:marLeft w:val="0"/>
          <w:marRight w:val="0"/>
          <w:marTop w:val="0"/>
          <w:marBottom w:val="0"/>
          <w:divBdr>
            <w:top w:val="none" w:sz="0" w:space="0" w:color="auto"/>
            <w:left w:val="none" w:sz="0" w:space="0" w:color="auto"/>
            <w:bottom w:val="none" w:sz="0" w:space="0" w:color="auto"/>
            <w:right w:val="none" w:sz="0" w:space="0" w:color="auto"/>
          </w:divBdr>
          <w:divsChild>
            <w:div w:id="1862206471">
              <w:marLeft w:val="0"/>
              <w:marRight w:val="0"/>
              <w:marTop w:val="0"/>
              <w:marBottom w:val="0"/>
              <w:divBdr>
                <w:top w:val="none" w:sz="0" w:space="0" w:color="auto"/>
                <w:left w:val="none" w:sz="0" w:space="0" w:color="auto"/>
                <w:bottom w:val="none" w:sz="0" w:space="0" w:color="auto"/>
                <w:right w:val="none" w:sz="0" w:space="0" w:color="auto"/>
              </w:divBdr>
            </w:div>
            <w:div w:id="1614750855">
              <w:marLeft w:val="0"/>
              <w:marRight w:val="0"/>
              <w:marTop w:val="0"/>
              <w:marBottom w:val="0"/>
              <w:divBdr>
                <w:top w:val="none" w:sz="0" w:space="0" w:color="auto"/>
                <w:left w:val="none" w:sz="0" w:space="0" w:color="auto"/>
                <w:bottom w:val="none" w:sz="0" w:space="0" w:color="auto"/>
                <w:right w:val="none" w:sz="0" w:space="0" w:color="auto"/>
              </w:divBdr>
              <w:divsChild>
                <w:div w:id="127282745">
                  <w:marLeft w:val="0"/>
                  <w:marRight w:val="0"/>
                  <w:marTop w:val="0"/>
                  <w:marBottom w:val="0"/>
                  <w:divBdr>
                    <w:top w:val="none" w:sz="0" w:space="0" w:color="auto"/>
                    <w:left w:val="none" w:sz="0" w:space="0" w:color="auto"/>
                    <w:bottom w:val="none" w:sz="0" w:space="0" w:color="auto"/>
                    <w:right w:val="none" w:sz="0" w:space="0" w:color="auto"/>
                  </w:divBdr>
                  <w:divsChild>
                    <w:div w:id="2046053430">
                      <w:marLeft w:val="0"/>
                      <w:marRight w:val="0"/>
                      <w:marTop w:val="0"/>
                      <w:marBottom w:val="0"/>
                      <w:divBdr>
                        <w:top w:val="none" w:sz="0" w:space="0" w:color="auto"/>
                        <w:left w:val="none" w:sz="0" w:space="0" w:color="auto"/>
                        <w:bottom w:val="none" w:sz="0" w:space="0" w:color="auto"/>
                        <w:right w:val="none" w:sz="0" w:space="0" w:color="auto"/>
                      </w:divBdr>
                      <w:divsChild>
                        <w:div w:id="1984431119">
                          <w:marLeft w:val="0"/>
                          <w:marRight w:val="0"/>
                          <w:marTop w:val="120"/>
                          <w:marBottom w:val="0"/>
                          <w:divBdr>
                            <w:top w:val="none" w:sz="0" w:space="0" w:color="auto"/>
                            <w:left w:val="none" w:sz="0" w:space="0" w:color="auto"/>
                            <w:bottom w:val="none" w:sz="0" w:space="0" w:color="auto"/>
                            <w:right w:val="none" w:sz="0" w:space="0" w:color="auto"/>
                          </w:divBdr>
                        </w:div>
                        <w:div w:id="936720247">
                          <w:marLeft w:val="0"/>
                          <w:marRight w:val="0"/>
                          <w:marTop w:val="0"/>
                          <w:marBottom w:val="0"/>
                          <w:divBdr>
                            <w:top w:val="none" w:sz="0" w:space="0" w:color="auto"/>
                            <w:left w:val="none" w:sz="0" w:space="0" w:color="auto"/>
                            <w:bottom w:val="none" w:sz="0" w:space="0" w:color="auto"/>
                            <w:right w:val="none" w:sz="0" w:space="0" w:color="auto"/>
                          </w:divBdr>
                        </w:div>
                      </w:divsChild>
                    </w:div>
                    <w:div w:id="1628925522">
                      <w:marLeft w:val="0"/>
                      <w:marRight w:val="0"/>
                      <w:marTop w:val="0"/>
                      <w:marBottom w:val="0"/>
                      <w:divBdr>
                        <w:top w:val="none" w:sz="0" w:space="0" w:color="auto"/>
                        <w:left w:val="none" w:sz="0" w:space="0" w:color="auto"/>
                        <w:bottom w:val="none" w:sz="0" w:space="0" w:color="auto"/>
                        <w:right w:val="none" w:sz="0" w:space="0" w:color="auto"/>
                      </w:divBdr>
                      <w:divsChild>
                        <w:div w:id="1201672140">
                          <w:marLeft w:val="0"/>
                          <w:marRight w:val="0"/>
                          <w:marTop w:val="120"/>
                          <w:marBottom w:val="0"/>
                          <w:divBdr>
                            <w:top w:val="none" w:sz="0" w:space="0" w:color="auto"/>
                            <w:left w:val="none" w:sz="0" w:space="0" w:color="auto"/>
                            <w:bottom w:val="none" w:sz="0" w:space="0" w:color="auto"/>
                            <w:right w:val="none" w:sz="0" w:space="0" w:color="auto"/>
                          </w:divBdr>
                        </w:div>
                        <w:div w:id="5008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59480">
              <w:marLeft w:val="0"/>
              <w:marRight w:val="0"/>
              <w:marTop w:val="0"/>
              <w:marBottom w:val="0"/>
              <w:divBdr>
                <w:top w:val="none" w:sz="0" w:space="0" w:color="auto"/>
                <w:left w:val="none" w:sz="0" w:space="0" w:color="auto"/>
                <w:bottom w:val="none" w:sz="0" w:space="0" w:color="auto"/>
                <w:right w:val="none" w:sz="0" w:space="0" w:color="auto"/>
              </w:divBdr>
              <w:divsChild>
                <w:div w:id="1949703472">
                  <w:marLeft w:val="0"/>
                  <w:marRight w:val="0"/>
                  <w:marTop w:val="0"/>
                  <w:marBottom w:val="0"/>
                  <w:divBdr>
                    <w:top w:val="none" w:sz="0" w:space="0" w:color="auto"/>
                    <w:left w:val="none" w:sz="0" w:space="0" w:color="auto"/>
                    <w:bottom w:val="none" w:sz="0" w:space="0" w:color="auto"/>
                    <w:right w:val="none" w:sz="0" w:space="0" w:color="auto"/>
                  </w:divBdr>
                  <w:divsChild>
                    <w:div w:id="470632998">
                      <w:marLeft w:val="0"/>
                      <w:marRight w:val="0"/>
                      <w:marTop w:val="0"/>
                      <w:marBottom w:val="0"/>
                      <w:divBdr>
                        <w:top w:val="none" w:sz="0" w:space="0" w:color="auto"/>
                        <w:left w:val="none" w:sz="0" w:space="0" w:color="auto"/>
                        <w:bottom w:val="none" w:sz="0" w:space="0" w:color="auto"/>
                        <w:right w:val="none" w:sz="0" w:space="0" w:color="auto"/>
                      </w:divBdr>
                      <w:divsChild>
                        <w:div w:id="1794862388">
                          <w:marLeft w:val="0"/>
                          <w:marRight w:val="0"/>
                          <w:marTop w:val="120"/>
                          <w:marBottom w:val="0"/>
                          <w:divBdr>
                            <w:top w:val="none" w:sz="0" w:space="0" w:color="auto"/>
                            <w:left w:val="none" w:sz="0" w:space="0" w:color="auto"/>
                            <w:bottom w:val="none" w:sz="0" w:space="0" w:color="auto"/>
                            <w:right w:val="none" w:sz="0" w:space="0" w:color="auto"/>
                          </w:divBdr>
                        </w:div>
                        <w:div w:id="235668234">
                          <w:marLeft w:val="0"/>
                          <w:marRight w:val="0"/>
                          <w:marTop w:val="0"/>
                          <w:marBottom w:val="0"/>
                          <w:divBdr>
                            <w:top w:val="none" w:sz="0" w:space="0" w:color="auto"/>
                            <w:left w:val="none" w:sz="0" w:space="0" w:color="auto"/>
                            <w:bottom w:val="none" w:sz="0" w:space="0" w:color="auto"/>
                            <w:right w:val="none" w:sz="0" w:space="0" w:color="auto"/>
                          </w:divBdr>
                        </w:div>
                      </w:divsChild>
                    </w:div>
                    <w:div w:id="534851523">
                      <w:marLeft w:val="0"/>
                      <w:marRight w:val="0"/>
                      <w:marTop w:val="0"/>
                      <w:marBottom w:val="0"/>
                      <w:divBdr>
                        <w:top w:val="none" w:sz="0" w:space="0" w:color="auto"/>
                        <w:left w:val="none" w:sz="0" w:space="0" w:color="auto"/>
                        <w:bottom w:val="none" w:sz="0" w:space="0" w:color="auto"/>
                        <w:right w:val="none" w:sz="0" w:space="0" w:color="auto"/>
                      </w:divBdr>
                      <w:divsChild>
                        <w:div w:id="826749211">
                          <w:marLeft w:val="0"/>
                          <w:marRight w:val="0"/>
                          <w:marTop w:val="120"/>
                          <w:marBottom w:val="0"/>
                          <w:divBdr>
                            <w:top w:val="none" w:sz="0" w:space="0" w:color="auto"/>
                            <w:left w:val="none" w:sz="0" w:space="0" w:color="auto"/>
                            <w:bottom w:val="none" w:sz="0" w:space="0" w:color="auto"/>
                            <w:right w:val="none" w:sz="0" w:space="0" w:color="auto"/>
                          </w:divBdr>
                        </w:div>
                        <w:div w:id="1827474500">
                          <w:marLeft w:val="0"/>
                          <w:marRight w:val="0"/>
                          <w:marTop w:val="0"/>
                          <w:marBottom w:val="0"/>
                          <w:divBdr>
                            <w:top w:val="none" w:sz="0" w:space="0" w:color="auto"/>
                            <w:left w:val="none" w:sz="0" w:space="0" w:color="auto"/>
                            <w:bottom w:val="none" w:sz="0" w:space="0" w:color="auto"/>
                            <w:right w:val="none" w:sz="0" w:space="0" w:color="auto"/>
                          </w:divBdr>
                        </w:div>
                      </w:divsChild>
                    </w:div>
                    <w:div w:id="1107847956">
                      <w:marLeft w:val="0"/>
                      <w:marRight w:val="0"/>
                      <w:marTop w:val="0"/>
                      <w:marBottom w:val="0"/>
                      <w:divBdr>
                        <w:top w:val="none" w:sz="0" w:space="0" w:color="auto"/>
                        <w:left w:val="none" w:sz="0" w:space="0" w:color="auto"/>
                        <w:bottom w:val="none" w:sz="0" w:space="0" w:color="auto"/>
                        <w:right w:val="none" w:sz="0" w:space="0" w:color="auto"/>
                      </w:divBdr>
                      <w:divsChild>
                        <w:div w:id="1437139969">
                          <w:marLeft w:val="0"/>
                          <w:marRight w:val="0"/>
                          <w:marTop w:val="120"/>
                          <w:marBottom w:val="0"/>
                          <w:divBdr>
                            <w:top w:val="none" w:sz="0" w:space="0" w:color="auto"/>
                            <w:left w:val="none" w:sz="0" w:space="0" w:color="auto"/>
                            <w:bottom w:val="none" w:sz="0" w:space="0" w:color="auto"/>
                            <w:right w:val="none" w:sz="0" w:space="0" w:color="auto"/>
                          </w:divBdr>
                        </w:div>
                        <w:div w:id="8083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735449">
      <w:bodyDiv w:val="1"/>
      <w:marLeft w:val="0"/>
      <w:marRight w:val="0"/>
      <w:marTop w:val="0"/>
      <w:marBottom w:val="0"/>
      <w:divBdr>
        <w:top w:val="none" w:sz="0" w:space="0" w:color="auto"/>
        <w:left w:val="none" w:sz="0" w:space="0" w:color="auto"/>
        <w:bottom w:val="none" w:sz="0" w:space="0" w:color="auto"/>
        <w:right w:val="none" w:sz="0" w:space="0" w:color="auto"/>
      </w:divBdr>
      <w:divsChild>
        <w:div w:id="923799831">
          <w:marLeft w:val="0"/>
          <w:marRight w:val="0"/>
          <w:marTop w:val="0"/>
          <w:marBottom w:val="0"/>
          <w:divBdr>
            <w:top w:val="none" w:sz="0" w:space="0" w:color="auto"/>
            <w:left w:val="none" w:sz="0" w:space="0" w:color="auto"/>
            <w:bottom w:val="none" w:sz="0" w:space="0" w:color="auto"/>
            <w:right w:val="none" w:sz="0" w:space="0" w:color="auto"/>
          </w:divBdr>
          <w:divsChild>
            <w:div w:id="2083914827">
              <w:marLeft w:val="0"/>
              <w:marRight w:val="0"/>
              <w:marTop w:val="0"/>
              <w:marBottom w:val="0"/>
              <w:divBdr>
                <w:top w:val="none" w:sz="0" w:space="0" w:color="auto"/>
                <w:left w:val="none" w:sz="0" w:space="0" w:color="auto"/>
                <w:bottom w:val="none" w:sz="0" w:space="0" w:color="auto"/>
                <w:right w:val="none" w:sz="0" w:space="0" w:color="auto"/>
              </w:divBdr>
              <w:divsChild>
                <w:div w:id="1325671506">
                  <w:marLeft w:val="0"/>
                  <w:marRight w:val="0"/>
                  <w:marTop w:val="0"/>
                  <w:marBottom w:val="0"/>
                  <w:divBdr>
                    <w:top w:val="none" w:sz="0" w:space="0" w:color="auto"/>
                    <w:left w:val="none" w:sz="0" w:space="0" w:color="auto"/>
                    <w:bottom w:val="none" w:sz="0" w:space="0" w:color="auto"/>
                    <w:right w:val="none" w:sz="0" w:space="0" w:color="auto"/>
                  </w:divBdr>
                  <w:divsChild>
                    <w:div w:id="1233924806">
                      <w:marLeft w:val="0"/>
                      <w:marRight w:val="0"/>
                      <w:marTop w:val="120"/>
                      <w:marBottom w:val="0"/>
                      <w:divBdr>
                        <w:top w:val="none" w:sz="0" w:space="0" w:color="auto"/>
                        <w:left w:val="none" w:sz="0" w:space="0" w:color="auto"/>
                        <w:bottom w:val="none" w:sz="0" w:space="0" w:color="auto"/>
                        <w:right w:val="none" w:sz="0" w:space="0" w:color="auto"/>
                      </w:divBdr>
                    </w:div>
                    <w:div w:id="18161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84035">
      <w:bodyDiv w:val="1"/>
      <w:marLeft w:val="0"/>
      <w:marRight w:val="0"/>
      <w:marTop w:val="0"/>
      <w:marBottom w:val="0"/>
      <w:divBdr>
        <w:top w:val="none" w:sz="0" w:space="0" w:color="auto"/>
        <w:left w:val="none" w:sz="0" w:space="0" w:color="auto"/>
        <w:bottom w:val="none" w:sz="0" w:space="0" w:color="auto"/>
        <w:right w:val="none" w:sz="0" w:space="0" w:color="auto"/>
      </w:divBdr>
      <w:divsChild>
        <w:div w:id="754396170">
          <w:marLeft w:val="0"/>
          <w:marRight w:val="0"/>
          <w:marTop w:val="0"/>
          <w:marBottom w:val="0"/>
          <w:divBdr>
            <w:top w:val="none" w:sz="0" w:space="0" w:color="auto"/>
            <w:left w:val="none" w:sz="0" w:space="0" w:color="auto"/>
            <w:bottom w:val="none" w:sz="0" w:space="0" w:color="auto"/>
            <w:right w:val="none" w:sz="0" w:space="0" w:color="auto"/>
          </w:divBdr>
        </w:div>
        <w:div w:id="1060060362">
          <w:marLeft w:val="0"/>
          <w:marRight w:val="0"/>
          <w:marTop w:val="120"/>
          <w:marBottom w:val="0"/>
          <w:divBdr>
            <w:top w:val="none" w:sz="0" w:space="0" w:color="auto"/>
            <w:left w:val="none" w:sz="0" w:space="0" w:color="auto"/>
            <w:bottom w:val="none" w:sz="0" w:space="0" w:color="auto"/>
            <w:right w:val="none" w:sz="0" w:space="0" w:color="auto"/>
          </w:divBdr>
        </w:div>
      </w:divsChild>
    </w:div>
    <w:div w:id="448670657">
      <w:bodyDiv w:val="1"/>
      <w:marLeft w:val="0"/>
      <w:marRight w:val="0"/>
      <w:marTop w:val="0"/>
      <w:marBottom w:val="0"/>
      <w:divBdr>
        <w:top w:val="none" w:sz="0" w:space="0" w:color="auto"/>
        <w:left w:val="none" w:sz="0" w:space="0" w:color="auto"/>
        <w:bottom w:val="none" w:sz="0" w:space="0" w:color="auto"/>
        <w:right w:val="none" w:sz="0" w:space="0" w:color="auto"/>
      </w:divBdr>
    </w:div>
    <w:div w:id="455178362">
      <w:bodyDiv w:val="1"/>
      <w:marLeft w:val="0"/>
      <w:marRight w:val="0"/>
      <w:marTop w:val="0"/>
      <w:marBottom w:val="0"/>
      <w:divBdr>
        <w:top w:val="none" w:sz="0" w:space="0" w:color="auto"/>
        <w:left w:val="none" w:sz="0" w:space="0" w:color="auto"/>
        <w:bottom w:val="none" w:sz="0" w:space="0" w:color="auto"/>
        <w:right w:val="none" w:sz="0" w:space="0" w:color="auto"/>
      </w:divBdr>
      <w:divsChild>
        <w:div w:id="1042317215">
          <w:marLeft w:val="0"/>
          <w:marRight w:val="0"/>
          <w:marTop w:val="0"/>
          <w:marBottom w:val="0"/>
          <w:divBdr>
            <w:top w:val="none" w:sz="0" w:space="0" w:color="auto"/>
            <w:left w:val="none" w:sz="0" w:space="0" w:color="auto"/>
            <w:bottom w:val="none" w:sz="0" w:space="0" w:color="auto"/>
            <w:right w:val="none" w:sz="0" w:space="0" w:color="auto"/>
          </w:divBdr>
          <w:divsChild>
            <w:div w:id="614215707">
              <w:marLeft w:val="0"/>
              <w:marRight w:val="0"/>
              <w:marTop w:val="0"/>
              <w:marBottom w:val="0"/>
              <w:divBdr>
                <w:top w:val="none" w:sz="0" w:space="0" w:color="auto"/>
                <w:left w:val="none" w:sz="0" w:space="0" w:color="auto"/>
                <w:bottom w:val="none" w:sz="0" w:space="0" w:color="auto"/>
                <w:right w:val="none" w:sz="0" w:space="0" w:color="auto"/>
              </w:divBdr>
              <w:divsChild>
                <w:div w:id="1004629369">
                  <w:marLeft w:val="0"/>
                  <w:marRight w:val="0"/>
                  <w:marTop w:val="120"/>
                  <w:marBottom w:val="0"/>
                  <w:divBdr>
                    <w:top w:val="none" w:sz="0" w:space="0" w:color="auto"/>
                    <w:left w:val="none" w:sz="0" w:space="0" w:color="auto"/>
                    <w:bottom w:val="none" w:sz="0" w:space="0" w:color="auto"/>
                    <w:right w:val="none" w:sz="0" w:space="0" w:color="auto"/>
                  </w:divBdr>
                </w:div>
                <w:div w:id="1778214086">
                  <w:marLeft w:val="0"/>
                  <w:marRight w:val="0"/>
                  <w:marTop w:val="0"/>
                  <w:marBottom w:val="0"/>
                  <w:divBdr>
                    <w:top w:val="none" w:sz="0" w:space="0" w:color="auto"/>
                    <w:left w:val="none" w:sz="0" w:space="0" w:color="auto"/>
                    <w:bottom w:val="none" w:sz="0" w:space="0" w:color="auto"/>
                    <w:right w:val="none" w:sz="0" w:space="0" w:color="auto"/>
                  </w:divBdr>
                </w:div>
              </w:divsChild>
            </w:div>
            <w:div w:id="1903176105">
              <w:marLeft w:val="0"/>
              <w:marRight w:val="0"/>
              <w:marTop w:val="0"/>
              <w:marBottom w:val="0"/>
              <w:divBdr>
                <w:top w:val="none" w:sz="0" w:space="0" w:color="auto"/>
                <w:left w:val="none" w:sz="0" w:space="0" w:color="auto"/>
                <w:bottom w:val="none" w:sz="0" w:space="0" w:color="auto"/>
                <w:right w:val="none" w:sz="0" w:space="0" w:color="auto"/>
              </w:divBdr>
              <w:divsChild>
                <w:div w:id="31224356">
                  <w:marLeft w:val="0"/>
                  <w:marRight w:val="0"/>
                  <w:marTop w:val="120"/>
                  <w:marBottom w:val="0"/>
                  <w:divBdr>
                    <w:top w:val="none" w:sz="0" w:space="0" w:color="auto"/>
                    <w:left w:val="none" w:sz="0" w:space="0" w:color="auto"/>
                    <w:bottom w:val="none" w:sz="0" w:space="0" w:color="auto"/>
                    <w:right w:val="none" w:sz="0" w:space="0" w:color="auto"/>
                  </w:divBdr>
                </w:div>
                <w:div w:id="18391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98194">
      <w:bodyDiv w:val="1"/>
      <w:marLeft w:val="0"/>
      <w:marRight w:val="0"/>
      <w:marTop w:val="0"/>
      <w:marBottom w:val="0"/>
      <w:divBdr>
        <w:top w:val="none" w:sz="0" w:space="0" w:color="auto"/>
        <w:left w:val="none" w:sz="0" w:space="0" w:color="auto"/>
        <w:bottom w:val="none" w:sz="0" w:space="0" w:color="auto"/>
        <w:right w:val="none" w:sz="0" w:space="0" w:color="auto"/>
      </w:divBdr>
      <w:divsChild>
        <w:div w:id="60520957">
          <w:marLeft w:val="0"/>
          <w:marRight w:val="0"/>
          <w:marTop w:val="0"/>
          <w:marBottom w:val="0"/>
          <w:divBdr>
            <w:top w:val="none" w:sz="0" w:space="0" w:color="auto"/>
            <w:left w:val="none" w:sz="0" w:space="0" w:color="auto"/>
            <w:bottom w:val="none" w:sz="0" w:space="0" w:color="auto"/>
            <w:right w:val="none" w:sz="0" w:space="0" w:color="auto"/>
          </w:divBdr>
          <w:divsChild>
            <w:div w:id="758713663">
              <w:marLeft w:val="0"/>
              <w:marRight w:val="0"/>
              <w:marTop w:val="120"/>
              <w:marBottom w:val="0"/>
              <w:divBdr>
                <w:top w:val="none" w:sz="0" w:space="0" w:color="auto"/>
                <w:left w:val="none" w:sz="0" w:space="0" w:color="auto"/>
                <w:bottom w:val="none" w:sz="0" w:space="0" w:color="auto"/>
                <w:right w:val="none" w:sz="0" w:space="0" w:color="auto"/>
              </w:divBdr>
            </w:div>
            <w:div w:id="900361264">
              <w:marLeft w:val="0"/>
              <w:marRight w:val="0"/>
              <w:marTop w:val="0"/>
              <w:marBottom w:val="0"/>
              <w:divBdr>
                <w:top w:val="none" w:sz="0" w:space="0" w:color="auto"/>
                <w:left w:val="none" w:sz="0" w:space="0" w:color="auto"/>
                <w:bottom w:val="none" w:sz="0" w:space="0" w:color="auto"/>
                <w:right w:val="none" w:sz="0" w:space="0" w:color="auto"/>
              </w:divBdr>
            </w:div>
          </w:divsChild>
        </w:div>
        <w:div w:id="1655447152">
          <w:marLeft w:val="0"/>
          <w:marRight w:val="0"/>
          <w:marTop w:val="0"/>
          <w:marBottom w:val="0"/>
          <w:divBdr>
            <w:top w:val="none" w:sz="0" w:space="0" w:color="auto"/>
            <w:left w:val="none" w:sz="0" w:space="0" w:color="auto"/>
            <w:bottom w:val="none" w:sz="0" w:space="0" w:color="auto"/>
            <w:right w:val="none" w:sz="0" w:space="0" w:color="auto"/>
          </w:divBdr>
          <w:divsChild>
            <w:div w:id="1050374751">
              <w:marLeft w:val="0"/>
              <w:marRight w:val="0"/>
              <w:marTop w:val="0"/>
              <w:marBottom w:val="0"/>
              <w:divBdr>
                <w:top w:val="none" w:sz="0" w:space="0" w:color="auto"/>
                <w:left w:val="none" w:sz="0" w:space="0" w:color="auto"/>
                <w:bottom w:val="none" w:sz="0" w:space="0" w:color="auto"/>
                <w:right w:val="none" w:sz="0" w:space="0" w:color="auto"/>
              </w:divBdr>
            </w:div>
            <w:div w:id="14493956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1389401">
      <w:bodyDiv w:val="1"/>
      <w:marLeft w:val="0"/>
      <w:marRight w:val="0"/>
      <w:marTop w:val="0"/>
      <w:marBottom w:val="0"/>
      <w:divBdr>
        <w:top w:val="none" w:sz="0" w:space="0" w:color="auto"/>
        <w:left w:val="none" w:sz="0" w:space="0" w:color="auto"/>
        <w:bottom w:val="none" w:sz="0" w:space="0" w:color="auto"/>
        <w:right w:val="none" w:sz="0" w:space="0" w:color="auto"/>
      </w:divBdr>
      <w:divsChild>
        <w:div w:id="1675257647">
          <w:marLeft w:val="0"/>
          <w:marRight w:val="0"/>
          <w:marTop w:val="0"/>
          <w:marBottom w:val="0"/>
          <w:divBdr>
            <w:top w:val="none" w:sz="0" w:space="0" w:color="auto"/>
            <w:left w:val="none" w:sz="0" w:space="0" w:color="auto"/>
            <w:bottom w:val="none" w:sz="0" w:space="0" w:color="auto"/>
            <w:right w:val="none" w:sz="0" w:space="0" w:color="auto"/>
          </w:divBdr>
          <w:divsChild>
            <w:div w:id="1343969640">
              <w:marLeft w:val="0"/>
              <w:marRight w:val="0"/>
              <w:marTop w:val="0"/>
              <w:marBottom w:val="0"/>
              <w:divBdr>
                <w:top w:val="none" w:sz="0" w:space="0" w:color="auto"/>
                <w:left w:val="none" w:sz="0" w:space="0" w:color="auto"/>
                <w:bottom w:val="none" w:sz="0" w:space="0" w:color="auto"/>
                <w:right w:val="none" w:sz="0" w:space="0" w:color="auto"/>
              </w:divBdr>
              <w:divsChild>
                <w:div w:id="494607901">
                  <w:marLeft w:val="0"/>
                  <w:marRight w:val="0"/>
                  <w:marTop w:val="120"/>
                  <w:marBottom w:val="0"/>
                  <w:divBdr>
                    <w:top w:val="none" w:sz="0" w:space="0" w:color="auto"/>
                    <w:left w:val="none" w:sz="0" w:space="0" w:color="auto"/>
                    <w:bottom w:val="none" w:sz="0" w:space="0" w:color="auto"/>
                    <w:right w:val="none" w:sz="0" w:space="0" w:color="auto"/>
                  </w:divBdr>
                </w:div>
                <w:div w:id="1516109849">
                  <w:marLeft w:val="0"/>
                  <w:marRight w:val="0"/>
                  <w:marTop w:val="0"/>
                  <w:marBottom w:val="0"/>
                  <w:divBdr>
                    <w:top w:val="none" w:sz="0" w:space="0" w:color="auto"/>
                    <w:left w:val="none" w:sz="0" w:space="0" w:color="auto"/>
                    <w:bottom w:val="none" w:sz="0" w:space="0" w:color="auto"/>
                    <w:right w:val="none" w:sz="0" w:space="0" w:color="auto"/>
                  </w:divBdr>
                </w:div>
              </w:divsChild>
            </w:div>
            <w:div w:id="1930771903">
              <w:marLeft w:val="0"/>
              <w:marRight w:val="0"/>
              <w:marTop w:val="0"/>
              <w:marBottom w:val="0"/>
              <w:divBdr>
                <w:top w:val="none" w:sz="0" w:space="0" w:color="auto"/>
                <w:left w:val="none" w:sz="0" w:space="0" w:color="auto"/>
                <w:bottom w:val="none" w:sz="0" w:space="0" w:color="auto"/>
                <w:right w:val="none" w:sz="0" w:space="0" w:color="auto"/>
              </w:divBdr>
              <w:divsChild>
                <w:div w:id="138766257">
                  <w:marLeft w:val="0"/>
                  <w:marRight w:val="0"/>
                  <w:marTop w:val="120"/>
                  <w:marBottom w:val="0"/>
                  <w:divBdr>
                    <w:top w:val="none" w:sz="0" w:space="0" w:color="auto"/>
                    <w:left w:val="none" w:sz="0" w:space="0" w:color="auto"/>
                    <w:bottom w:val="none" w:sz="0" w:space="0" w:color="auto"/>
                    <w:right w:val="none" w:sz="0" w:space="0" w:color="auto"/>
                  </w:divBdr>
                </w:div>
                <w:div w:id="4363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41375">
      <w:bodyDiv w:val="1"/>
      <w:marLeft w:val="0"/>
      <w:marRight w:val="0"/>
      <w:marTop w:val="0"/>
      <w:marBottom w:val="0"/>
      <w:divBdr>
        <w:top w:val="none" w:sz="0" w:space="0" w:color="auto"/>
        <w:left w:val="none" w:sz="0" w:space="0" w:color="auto"/>
        <w:bottom w:val="none" w:sz="0" w:space="0" w:color="auto"/>
        <w:right w:val="none" w:sz="0" w:space="0" w:color="auto"/>
      </w:divBdr>
      <w:divsChild>
        <w:div w:id="220792033">
          <w:marLeft w:val="0"/>
          <w:marRight w:val="0"/>
          <w:marTop w:val="0"/>
          <w:marBottom w:val="0"/>
          <w:divBdr>
            <w:top w:val="none" w:sz="0" w:space="0" w:color="auto"/>
            <w:left w:val="none" w:sz="0" w:space="0" w:color="auto"/>
            <w:bottom w:val="none" w:sz="0" w:space="0" w:color="auto"/>
            <w:right w:val="none" w:sz="0" w:space="0" w:color="auto"/>
          </w:divBdr>
          <w:divsChild>
            <w:div w:id="985547601">
              <w:marLeft w:val="0"/>
              <w:marRight w:val="0"/>
              <w:marTop w:val="0"/>
              <w:marBottom w:val="0"/>
              <w:divBdr>
                <w:top w:val="none" w:sz="0" w:space="0" w:color="auto"/>
                <w:left w:val="none" w:sz="0" w:space="0" w:color="auto"/>
                <w:bottom w:val="none" w:sz="0" w:space="0" w:color="auto"/>
                <w:right w:val="none" w:sz="0" w:space="0" w:color="auto"/>
              </w:divBdr>
              <w:divsChild>
                <w:div w:id="30738479">
                  <w:marLeft w:val="0"/>
                  <w:marRight w:val="0"/>
                  <w:marTop w:val="0"/>
                  <w:marBottom w:val="0"/>
                  <w:divBdr>
                    <w:top w:val="none" w:sz="0" w:space="0" w:color="auto"/>
                    <w:left w:val="none" w:sz="0" w:space="0" w:color="auto"/>
                    <w:bottom w:val="none" w:sz="0" w:space="0" w:color="auto"/>
                    <w:right w:val="none" w:sz="0" w:space="0" w:color="auto"/>
                  </w:divBdr>
                  <w:divsChild>
                    <w:div w:id="872840376">
                      <w:marLeft w:val="0"/>
                      <w:marRight w:val="0"/>
                      <w:marTop w:val="120"/>
                      <w:marBottom w:val="0"/>
                      <w:divBdr>
                        <w:top w:val="none" w:sz="0" w:space="0" w:color="auto"/>
                        <w:left w:val="none" w:sz="0" w:space="0" w:color="auto"/>
                        <w:bottom w:val="none" w:sz="0" w:space="0" w:color="auto"/>
                        <w:right w:val="none" w:sz="0" w:space="0" w:color="auto"/>
                      </w:divBdr>
                    </w:div>
                    <w:div w:id="1049765931">
                      <w:marLeft w:val="0"/>
                      <w:marRight w:val="0"/>
                      <w:marTop w:val="0"/>
                      <w:marBottom w:val="0"/>
                      <w:divBdr>
                        <w:top w:val="none" w:sz="0" w:space="0" w:color="auto"/>
                        <w:left w:val="none" w:sz="0" w:space="0" w:color="auto"/>
                        <w:bottom w:val="none" w:sz="0" w:space="0" w:color="auto"/>
                        <w:right w:val="none" w:sz="0" w:space="0" w:color="auto"/>
                      </w:divBdr>
                    </w:div>
                  </w:divsChild>
                </w:div>
                <w:div w:id="132412345">
                  <w:marLeft w:val="0"/>
                  <w:marRight w:val="0"/>
                  <w:marTop w:val="0"/>
                  <w:marBottom w:val="0"/>
                  <w:divBdr>
                    <w:top w:val="none" w:sz="0" w:space="0" w:color="auto"/>
                    <w:left w:val="none" w:sz="0" w:space="0" w:color="auto"/>
                    <w:bottom w:val="none" w:sz="0" w:space="0" w:color="auto"/>
                    <w:right w:val="none" w:sz="0" w:space="0" w:color="auto"/>
                  </w:divBdr>
                  <w:divsChild>
                    <w:div w:id="577836065">
                      <w:marLeft w:val="0"/>
                      <w:marRight w:val="0"/>
                      <w:marTop w:val="120"/>
                      <w:marBottom w:val="0"/>
                      <w:divBdr>
                        <w:top w:val="none" w:sz="0" w:space="0" w:color="auto"/>
                        <w:left w:val="none" w:sz="0" w:space="0" w:color="auto"/>
                        <w:bottom w:val="none" w:sz="0" w:space="0" w:color="auto"/>
                        <w:right w:val="none" w:sz="0" w:space="0" w:color="auto"/>
                      </w:divBdr>
                    </w:div>
                    <w:div w:id="1447775124">
                      <w:marLeft w:val="0"/>
                      <w:marRight w:val="0"/>
                      <w:marTop w:val="0"/>
                      <w:marBottom w:val="0"/>
                      <w:divBdr>
                        <w:top w:val="none" w:sz="0" w:space="0" w:color="auto"/>
                        <w:left w:val="none" w:sz="0" w:space="0" w:color="auto"/>
                        <w:bottom w:val="none" w:sz="0" w:space="0" w:color="auto"/>
                        <w:right w:val="none" w:sz="0" w:space="0" w:color="auto"/>
                      </w:divBdr>
                    </w:div>
                  </w:divsChild>
                </w:div>
                <w:div w:id="299726862">
                  <w:marLeft w:val="0"/>
                  <w:marRight w:val="0"/>
                  <w:marTop w:val="0"/>
                  <w:marBottom w:val="0"/>
                  <w:divBdr>
                    <w:top w:val="none" w:sz="0" w:space="0" w:color="auto"/>
                    <w:left w:val="none" w:sz="0" w:space="0" w:color="auto"/>
                    <w:bottom w:val="none" w:sz="0" w:space="0" w:color="auto"/>
                    <w:right w:val="none" w:sz="0" w:space="0" w:color="auto"/>
                  </w:divBdr>
                  <w:divsChild>
                    <w:div w:id="1860124220">
                      <w:marLeft w:val="0"/>
                      <w:marRight w:val="0"/>
                      <w:marTop w:val="0"/>
                      <w:marBottom w:val="0"/>
                      <w:divBdr>
                        <w:top w:val="none" w:sz="0" w:space="0" w:color="auto"/>
                        <w:left w:val="none" w:sz="0" w:space="0" w:color="auto"/>
                        <w:bottom w:val="none" w:sz="0" w:space="0" w:color="auto"/>
                        <w:right w:val="none" w:sz="0" w:space="0" w:color="auto"/>
                      </w:divBdr>
                    </w:div>
                    <w:div w:id="2101026294">
                      <w:marLeft w:val="0"/>
                      <w:marRight w:val="0"/>
                      <w:marTop w:val="120"/>
                      <w:marBottom w:val="0"/>
                      <w:divBdr>
                        <w:top w:val="none" w:sz="0" w:space="0" w:color="auto"/>
                        <w:left w:val="none" w:sz="0" w:space="0" w:color="auto"/>
                        <w:bottom w:val="none" w:sz="0" w:space="0" w:color="auto"/>
                        <w:right w:val="none" w:sz="0" w:space="0" w:color="auto"/>
                      </w:divBdr>
                    </w:div>
                  </w:divsChild>
                </w:div>
                <w:div w:id="895746692">
                  <w:marLeft w:val="0"/>
                  <w:marRight w:val="0"/>
                  <w:marTop w:val="0"/>
                  <w:marBottom w:val="0"/>
                  <w:divBdr>
                    <w:top w:val="none" w:sz="0" w:space="0" w:color="auto"/>
                    <w:left w:val="none" w:sz="0" w:space="0" w:color="auto"/>
                    <w:bottom w:val="none" w:sz="0" w:space="0" w:color="auto"/>
                    <w:right w:val="none" w:sz="0" w:space="0" w:color="auto"/>
                  </w:divBdr>
                  <w:divsChild>
                    <w:div w:id="862672607">
                      <w:marLeft w:val="0"/>
                      <w:marRight w:val="0"/>
                      <w:marTop w:val="120"/>
                      <w:marBottom w:val="0"/>
                      <w:divBdr>
                        <w:top w:val="none" w:sz="0" w:space="0" w:color="auto"/>
                        <w:left w:val="none" w:sz="0" w:space="0" w:color="auto"/>
                        <w:bottom w:val="none" w:sz="0" w:space="0" w:color="auto"/>
                        <w:right w:val="none" w:sz="0" w:space="0" w:color="auto"/>
                      </w:divBdr>
                    </w:div>
                    <w:div w:id="1057700039">
                      <w:marLeft w:val="0"/>
                      <w:marRight w:val="0"/>
                      <w:marTop w:val="0"/>
                      <w:marBottom w:val="0"/>
                      <w:divBdr>
                        <w:top w:val="none" w:sz="0" w:space="0" w:color="auto"/>
                        <w:left w:val="none" w:sz="0" w:space="0" w:color="auto"/>
                        <w:bottom w:val="none" w:sz="0" w:space="0" w:color="auto"/>
                        <w:right w:val="none" w:sz="0" w:space="0" w:color="auto"/>
                      </w:divBdr>
                    </w:div>
                  </w:divsChild>
                </w:div>
                <w:div w:id="1363551589">
                  <w:marLeft w:val="0"/>
                  <w:marRight w:val="0"/>
                  <w:marTop w:val="0"/>
                  <w:marBottom w:val="0"/>
                  <w:divBdr>
                    <w:top w:val="none" w:sz="0" w:space="0" w:color="auto"/>
                    <w:left w:val="none" w:sz="0" w:space="0" w:color="auto"/>
                    <w:bottom w:val="none" w:sz="0" w:space="0" w:color="auto"/>
                    <w:right w:val="none" w:sz="0" w:space="0" w:color="auto"/>
                  </w:divBdr>
                  <w:divsChild>
                    <w:div w:id="320933657">
                      <w:marLeft w:val="0"/>
                      <w:marRight w:val="0"/>
                      <w:marTop w:val="0"/>
                      <w:marBottom w:val="0"/>
                      <w:divBdr>
                        <w:top w:val="none" w:sz="0" w:space="0" w:color="auto"/>
                        <w:left w:val="none" w:sz="0" w:space="0" w:color="auto"/>
                        <w:bottom w:val="none" w:sz="0" w:space="0" w:color="auto"/>
                        <w:right w:val="none" w:sz="0" w:space="0" w:color="auto"/>
                      </w:divBdr>
                      <w:divsChild>
                        <w:div w:id="100614253">
                          <w:marLeft w:val="0"/>
                          <w:marRight w:val="0"/>
                          <w:marTop w:val="0"/>
                          <w:marBottom w:val="0"/>
                          <w:divBdr>
                            <w:top w:val="none" w:sz="0" w:space="0" w:color="auto"/>
                            <w:left w:val="none" w:sz="0" w:space="0" w:color="auto"/>
                            <w:bottom w:val="none" w:sz="0" w:space="0" w:color="auto"/>
                            <w:right w:val="none" w:sz="0" w:space="0" w:color="auto"/>
                          </w:divBdr>
                          <w:divsChild>
                            <w:div w:id="961809485">
                              <w:marLeft w:val="0"/>
                              <w:marRight w:val="0"/>
                              <w:marTop w:val="120"/>
                              <w:marBottom w:val="0"/>
                              <w:divBdr>
                                <w:top w:val="none" w:sz="0" w:space="0" w:color="auto"/>
                                <w:left w:val="none" w:sz="0" w:space="0" w:color="auto"/>
                                <w:bottom w:val="none" w:sz="0" w:space="0" w:color="auto"/>
                                <w:right w:val="none" w:sz="0" w:space="0" w:color="auto"/>
                              </w:divBdr>
                            </w:div>
                            <w:div w:id="2129809110">
                              <w:marLeft w:val="0"/>
                              <w:marRight w:val="0"/>
                              <w:marTop w:val="0"/>
                              <w:marBottom w:val="0"/>
                              <w:divBdr>
                                <w:top w:val="none" w:sz="0" w:space="0" w:color="auto"/>
                                <w:left w:val="none" w:sz="0" w:space="0" w:color="auto"/>
                                <w:bottom w:val="none" w:sz="0" w:space="0" w:color="auto"/>
                                <w:right w:val="none" w:sz="0" w:space="0" w:color="auto"/>
                              </w:divBdr>
                            </w:div>
                          </w:divsChild>
                        </w:div>
                        <w:div w:id="322855511">
                          <w:marLeft w:val="0"/>
                          <w:marRight w:val="0"/>
                          <w:marTop w:val="0"/>
                          <w:marBottom w:val="0"/>
                          <w:divBdr>
                            <w:top w:val="none" w:sz="0" w:space="0" w:color="auto"/>
                            <w:left w:val="none" w:sz="0" w:space="0" w:color="auto"/>
                            <w:bottom w:val="none" w:sz="0" w:space="0" w:color="auto"/>
                            <w:right w:val="none" w:sz="0" w:space="0" w:color="auto"/>
                          </w:divBdr>
                          <w:divsChild>
                            <w:div w:id="90593647">
                              <w:marLeft w:val="0"/>
                              <w:marRight w:val="0"/>
                              <w:marTop w:val="0"/>
                              <w:marBottom w:val="0"/>
                              <w:divBdr>
                                <w:top w:val="none" w:sz="0" w:space="0" w:color="auto"/>
                                <w:left w:val="none" w:sz="0" w:space="0" w:color="auto"/>
                                <w:bottom w:val="none" w:sz="0" w:space="0" w:color="auto"/>
                                <w:right w:val="none" w:sz="0" w:space="0" w:color="auto"/>
                              </w:divBdr>
                            </w:div>
                            <w:div w:id="730155320">
                              <w:marLeft w:val="0"/>
                              <w:marRight w:val="0"/>
                              <w:marTop w:val="120"/>
                              <w:marBottom w:val="0"/>
                              <w:divBdr>
                                <w:top w:val="none" w:sz="0" w:space="0" w:color="auto"/>
                                <w:left w:val="none" w:sz="0" w:space="0" w:color="auto"/>
                                <w:bottom w:val="none" w:sz="0" w:space="0" w:color="auto"/>
                                <w:right w:val="none" w:sz="0" w:space="0" w:color="auto"/>
                              </w:divBdr>
                            </w:div>
                          </w:divsChild>
                        </w:div>
                        <w:div w:id="733043956">
                          <w:marLeft w:val="0"/>
                          <w:marRight w:val="0"/>
                          <w:marTop w:val="0"/>
                          <w:marBottom w:val="0"/>
                          <w:divBdr>
                            <w:top w:val="none" w:sz="0" w:space="0" w:color="auto"/>
                            <w:left w:val="none" w:sz="0" w:space="0" w:color="auto"/>
                            <w:bottom w:val="none" w:sz="0" w:space="0" w:color="auto"/>
                            <w:right w:val="none" w:sz="0" w:space="0" w:color="auto"/>
                          </w:divBdr>
                          <w:divsChild>
                            <w:div w:id="628778776">
                              <w:marLeft w:val="0"/>
                              <w:marRight w:val="0"/>
                              <w:marTop w:val="120"/>
                              <w:marBottom w:val="0"/>
                              <w:divBdr>
                                <w:top w:val="none" w:sz="0" w:space="0" w:color="auto"/>
                                <w:left w:val="none" w:sz="0" w:space="0" w:color="auto"/>
                                <w:bottom w:val="none" w:sz="0" w:space="0" w:color="auto"/>
                                <w:right w:val="none" w:sz="0" w:space="0" w:color="auto"/>
                              </w:divBdr>
                            </w:div>
                            <w:div w:id="913319740">
                              <w:marLeft w:val="0"/>
                              <w:marRight w:val="0"/>
                              <w:marTop w:val="0"/>
                              <w:marBottom w:val="0"/>
                              <w:divBdr>
                                <w:top w:val="none" w:sz="0" w:space="0" w:color="auto"/>
                                <w:left w:val="none" w:sz="0" w:space="0" w:color="auto"/>
                                <w:bottom w:val="none" w:sz="0" w:space="0" w:color="auto"/>
                                <w:right w:val="none" w:sz="0" w:space="0" w:color="auto"/>
                              </w:divBdr>
                            </w:div>
                          </w:divsChild>
                        </w:div>
                        <w:div w:id="1088772590">
                          <w:marLeft w:val="0"/>
                          <w:marRight w:val="0"/>
                          <w:marTop w:val="0"/>
                          <w:marBottom w:val="0"/>
                          <w:divBdr>
                            <w:top w:val="none" w:sz="0" w:space="0" w:color="auto"/>
                            <w:left w:val="none" w:sz="0" w:space="0" w:color="auto"/>
                            <w:bottom w:val="none" w:sz="0" w:space="0" w:color="auto"/>
                            <w:right w:val="none" w:sz="0" w:space="0" w:color="auto"/>
                          </w:divBdr>
                          <w:divsChild>
                            <w:div w:id="655457581">
                              <w:marLeft w:val="0"/>
                              <w:marRight w:val="0"/>
                              <w:marTop w:val="120"/>
                              <w:marBottom w:val="0"/>
                              <w:divBdr>
                                <w:top w:val="none" w:sz="0" w:space="0" w:color="auto"/>
                                <w:left w:val="none" w:sz="0" w:space="0" w:color="auto"/>
                                <w:bottom w:val="none" w:sz="0" w:space="0" w:color="auto"/>
                                <w:right w:val="none" w:sz="0" w:space="0" w:color="auto"/>
                              </w:divBdr>
                            </w:div>
                            <w:div w:id="1726105230">
                              <w:marLeft w:val="0"/>
                              <w:marRight w:val="0"/>
                              <w:marTop w:val="0"/>
                              <w:marBottom w:val="0"/>
                              <w:divBdr>
                                <w:top w:val="none" w:sz="0" w:space="0" w:color="auto"/>
                                <w:left w:val="none" w:sz="0" w:space="0" w:color="auto"/>
                                <w:bottom w:val="none" w:sz="0" w:space="0" w:color="auto"/>
                                <w:right w:val="none" w:sz="0" w:space="0" w:color="auto"/>
                              </w:divBdr>
                            </w:div>
                          </w:divsChild>
                        </w:div>
                        <w:div w:id="1323000637">
                          <w:marLeft w:val="0"/>
                          <w:marRight w:val="0"/>
                          <w:marTop w:val="0"/>
                          <w:marBottom w:val="0"/>
                          <w:divBdr>
                            <w:top w:val="none" w:sz="0" w:space="0" w:color="auto"/>
                            <w:left w:val="none" w:sz="0" w:space="0" w:color="auto"/>
                            <w:bottom w:val="none" w:sz="0" w:space="0" w:color="auto"/>
                            <w:right w:val="none" w:sz="0" w:space="0" w:color="auto"/>
                          </w:divBdr>
                          <w:divsChild>
                            <w:div w:id="946697383">
                              <w:marLeft w:val="0"/>
                              <w:marRight w:val="0"/>
                              <w:marTop w:val="120"/>
                              <w:marBottom w:val="0"/>
                              <w:divBdr>
                                <w:top w:val="none" w:sz="0" w:space="0" w:color="auto"/>
                                <w:left w:val="none" w:sz="0" w:space="0" w:color="auto"/>
                                <w:bottom w:val="none" w:sz="0" w:space="0" w:color="auto"/>
                                <w:right w:val="none" w:sz="0" w:space="0" w:color="auto"/>
                              </w:divBdr>
                            </w:div>
                            <w:div w:id="16333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6676">
                      <w:marLeft w:val="0"/>
                      <w:marRight w:val="0"/>
                      <w:marTop w:val="120"/>
                      <w:marBottom w:val="0"/>
                      <w:divBdr>
                        <w:top w:val="none" w:sz="0" w:space="0" w:color="auto"/>
                        <w:left w:val="none" w:sz="0" w:space="0" w:color="auto"/>
                        <w:bottom w:val="none" w:sz="0" w:space="0" w:color="auto"/>
                        <w:right w:val="none" w:sz="0" w:space="0" w:color="auto"/>
                      </w:divBdr>
                    </w:div>
                  </w:divsChild>
                </w:div>
                <w:div w:id="1446118392">
                  <w:marLeft w:val="0"/>
                  <w:marRight w:val="0"/>
                  <w:marTop w:val="0"/>
                  <w:marBottom w:val="0"/>
                  <w:divBdr>
                    <w:top w:val="none" w:sz="0" w:space="0" w:color="auto"/>
                    <w:left w:val="none" w:sz="0" w:space="0" w:color="auto"/>
                    <w:bottom w:val="none" w:sz="0" w:space="0" w:color="auto"/>
                    <w:right w:val="none" w:sz="0" w:space="0" w:color="auto"/>
                  </w:divBdr>
                  <w:divsChild>
                    <w:div w:id="121077048">
                      <w:marLeft w:val="0"/>
                      <w:marRight w:val="0"/>
                      <w:marTop w:val="120"/>
                      <w:marBottom w:val="0"/>
                      <w:divBdr>
                        <w:top w:val="none" w:sz="0" w:space="0" w:color="auto"/>
                        <w:left w:val="none" w:sz="0" w:space="0" w:color="auto"/>
                        <w:bottom w:val="none" w:sz="0" w:space="0" w:color="auto"/>
                        <w:right w:val="none" w:sz="0" w:space="0" w:color="auto"/>
                      </w:divBdr>
                    </w:div>
                    <w:div w:id="2125613911">
                      <w:marLeft w:val="0"/>
                      <w:marRight w:val="0"/>
                      <w:marTop w:val="0"/>
                      <w:marBottom w:val="0"/>
                      <w:divBdr>
                        <w:top w:val="none" w:sz="0" w:space="0" w:color="auto"/>
                        <w:left w:val="none" w:sz="0" w:space="0" w:color="auto"/>
                        <w:bottom w:val="none" w:sz="0" w:space="0" w:color="auto"/>
                        <w:right w:val="none" w:sz="0" w:space="0" w:color="auto"/>
                      </w:divBdr>
                    </w:div>
                  </w:divsChild>
                </w:div>
                <w:div w:id="2117556131">
                  <w:marLeft w:val="0"/>
                  <w:marRight w:val="0"/>
                  <w:marTop w:val="0"/>
                  <w:marBottom w:val="0"/>
                  <w:divBdr>
                    <w:top w:val="none" w:sz="0" w:space="0" w:color="auto"/>
                    <w:left w:val="none" w:sz="0" w:space="0" w:color="auto"/>
                    <w:bottom w:val="none" w:sz="0" w:space="0" w:color="auto"/>
                    <w:right w:val="none" w:sz="0" w:space="0" w:color="auto"/>
                  </w:divBdr>
                  <w:divsChild>
                    <w:div w:id="407925317">
                      <w:marLeft w:val="0"/>
                      <w:marRight w:val="0"/>
                      <w:marTop w:val="0"/>
                      <w:marBottom w:val="0"/>
                      <w:divBdr>
                        <w:top w:val="none" w:sz="0" w:space="0" w:color="auto"/>
                        <w:left w:val="none" w:sz="0" w:space="0" w:color="auto"/>
                        <w:bottom w:val="none" w:sz="0" w:space="0" w:color="auto"/>
                        <w:right w:val="none" w:sz="0" w:space="0" w:color="auto"/>
                      </w:divBdr>
                    </w:div>
                    <w:div w:id="161455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64477929">
          <w:marLeft w:val="0"/>
          <w:marRight w:val="0"/>
          <w:marTop w:val="0"/>
          <w:marBottom w:val="0"/>
          <w:divBdr>
            <w:top w:val="none" w:sz="0" w:space="0" w:color="auto"/>
            <w:left w:val="none" w:sz="0" w:space="0" w:color="auto"/>
            <w:bottom w:val="none" w:sz="0" w:space="0" w:color="auto"/>
            <w:right w:val="none" w:sz="0" w:space="0" w:color="auto"/>
          </w:divBdr>
          <w:divsChild>
            <w:div w:id="11683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4390">
      <w:bodyDiv w:val="1"/>
      <w:marLeft w:val="0"/>
      <w:marRight w:val="0"/>
      <w:marTop w:val="0"/>
      <w:marBottom w:val="0"/>
      <w:divBdr>
        <w:top w:val="none" w:sz="0" w:space="0" w:color="auto"/>
        <w:left w:val="none" w:sz="0" w:space="0" w:color="auto"/>
        <w:bottom w:val="none" w:sz="0" w:space="0" w:color="auto"/>
        <w:right w:val="none" w:sz="0" w:space="0" w:color="auto"/>
      </w:divBdr>
    </w:div>
    <w:div w:id="468548958">
      <w:bodyDiv w:val="1"/>
      <w:marLeft w:val="0"/>
      <w:marRight w:val="0"/>
      <w:marTop w:val="0"/>
      <w:marBottom w:val="0"/>
      <w:divBdr>
        <w:top w:val="none" w:sz="0" w:space="0" w:color="auto"/>
        <w:left w:val="none" w:sz="0" w:space="0" w:color="auto"/>
        <w:bottom w:val="none" w:sz="0" w:space="0" w:color="auto"/>
        <w:right w:val="none" w:sz="0" w:space="0" w:color="auto"/>
      </w:divBdr>
      <w:divsChild>
        <w:div w:id="869301965">
          <w:marLeft w:val="0"/>
          <w:marRight w:val="0"/>
          <w:marTop w:val="0"/>
          <w:marBottom w:val="0"/>
          <w:divBdr>
            <w:top w:val="none" w:sz="0" w:space="0" w:color="auto"/>
            <w:left w:val="none" w:sz="0" w:space="0" w:color="auto"/>
            <w:bottom w:val="none" w:sz="0" w:space="0" w:color="auto"/>
            <w:right w:val="none" w:sz="0" w:space="0" w:color="auto"/>
          </w:divBdr>
          <w:divsChild>
            <w:div w:id="751121061">
              <w:marLeft w:val="0"/>
              <w:marRight w:val="0"/>
              <w:marTop w:val="0"/>
              <w:marBottom w:val="0"/>
              <w:divBdr>
                <w:top w:val="none" w:sz="0" w:space="0" w:color="auto"/>
                <w:left w:val="none" w:sz="0" w:space="0" w:color="auto"/>
                <w:bottom w:val="none" w:sz="0" w:space="0" w:color="auto"/>
                <w:right w:val="none" w:sz="0" w:space="0" w:color="auto"/>
              </w:divBdr>
              <w:divsChild>
                <w:div w:id="19280026">
                  <w:marLeft w:val="0"/>
                  <w:marRight w:val="0"/>
                  <w:marTop w:val="0"/>
                  <w:marBottom w:val="0"/>
                  <w:divBdr>
                    <w:top w:val="none" w:sz="0" w:space="0" w:color="auto"/>
                    <w:left w:val="none" w:sz="0" w:space="0" w:color="auto"/>
                    <w:bottom w:val="none" w:sz="0" w:space="0" w:color="auto"/>
                    <w:right w:val="none" w:sz="0" w:space="0" w:color="auto"/>
                  </w:divBdr>
                </w:div>
                <w:div w:id="1587416709">
                  <w:marLeft w:val="0"/>
                  <w:marRight w:val="0"/>
                  <w:marTop w:val="120"/>
                  <w:marBottom w:val="0"/>
                  <w:divBdr>
                    <w:top w:val="none" w:sz="0" w:space="0" w:color="auto"/>
                    <w:left w:val="none" w:sz="0" w:space="0" w:color="auto"/>
                    <w:bottom w:val="none" w:sz="0" w:space="0" w:color="auto"/>
                    <w:right w:val="none" w:sz="0" w:space="0" w:color="auto"/>
                  </w:divBdr>
                </w:div>
              </w:divsChild>
            </w:div>
            <w:div w:id="1117675813">
              <w:marLeft w:val="0"/>
              <w:marRight w:val="0"/>
              <w:marTop w:val="0"/>
              <w:marBottom w:val="0"/>
              <w:divBdr>
                <w:top w:val="none" w:sz="0" w:space="0" w:color="auto"/>
                <w:left w:val="none" w:sz="0" w:space="0" w:color="auto"/>
                <w:bottom w:val="none" w:sz="0" w:space="0" w:color="auto"/>
                <w:right w:val="none" w:sz="0" w:space="0" w:color="auto"/>
              </w:divBdr>
              <w:divsChild>
                <w:div w:id="1673795784">
                  <w:marLeft w:val="0"/>
                  <w:marRight w:val="0"/>
                  <w:marTop w:val="0"/>
                  <w:marBottom w:val="0"/>
                  <w:divBdr>
                    <w:top w:val="none" w:sz="0" w:space="0" w:color="auto"/>
                    <w:left w:val="none" w:sz="0" w:space="0" w:color="auto"/>
                    <w:bottom w:val="none" w:sz="0" w:space="0" w:color="auto"/>
                    <w:right w:val="none" w:sz="0" w:space="0" w:color="auto"/>
                  </w:divBdr>
                </w:div>
                <w:div w:id="1742866585">
                  <w:marLeft w:val="0"/>
                  <w:marRight w:val="0"/>
                  <w:marTop w:val="120"/>
                  <w:marBottom w:val="0"/>
                  <w:divBdr>
                    <w:top w:val="none" w:sz="0" w:space="0" w:color="auto"/>
                    <w:left w:val="none" w:sz="0" w:space="0" w:color="auto"/>
                    <w:bottom w:val="none" w:sz="0" w:space="0" w:color="auto"/>
                    <w:right w:val="none" w:sz="0" w:space="0" w:color="auto"/>
                  </w:divBdr>
                </w:div>
              </w:divsChild>
            </w:div>
            <w:div w:id="1925913293">
              <w:marLeft w:val="0"/>
              <w:marRight w:val="0"/>
              <w:marTop w:val="0"/>
              <w:marBottom w:val="0"/>
              <w:divBdr>
                <w:top w:val="none" w:sz="0" w:space="0" w:color="auto"/>
                <w:left w:val="none" w:sz="0" w:space="0" w:color="auto"/>
                <w:bottom w:val="none" w:sz="0" w:space="0" w:color="auto"/>
                <w:right w:val="none" w:sz="0" w:space="0" w:color="auto"/>
              </w:divBdr>
              <w:divsChild>
                <w:div w:id="180823964">
                  <w:marLeft w:val="0"/>
                  <w:marRight w:val="0"/>
                  <w:marTop w:val="120"/>
                  <w:marBottom w:val="0"/>
                  <w:divBdr>
                    <w:top w:val="none" w:sz="0" w:space="0" w:color="auto"/>
                    <w:left w:val="none" w:sz="0" w:space="0" w:color="auto"/>
                    <w:bottom w:val="none" w:sz="0" w:space="0" w:color="auto"/>
                    <w:right w:val="none" w:sz="0" w:space="0" w:color="auto"/>
                  </w:divBdr>
                </w:div>
                <w:div w:id="3316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40315">
      <w:bodyDiv w:val="1"/>
      <w:marLeft w:val="0"/>
      <w:marRight w:val="0"/>
      <w:marTop w:val="0"/>
      <w:marBottom w:val="0"/>
      <w:divBdr>
        <w:top w:val="none" w:sz="0" w:space="0" w:color="auto"/>
        <w:left w:val="none" w:sz="0" w:space="0" w:color="auto"/>
        <w:bottom w:val="none" w:sz="0" w:space="0" w:color="auto"/>
        <w:right w:val="none" w:sz="0" w:space="0" w:color="auto"/>
      </w:divBdr>
      <w:divsChild>
        <w:div w:id="1945461247">
          <w:marLeft w:val="0"/>
          <w:marRight w:val="0"/>
          <w:marTop w:val="0"/>
          <w:marBottom w:val="0"/>
          <w:divBdr>
            <w:top w:val="none" w:sz="0" w:space="0" w:color="auto"/>
            <w:left w:val="none" w:sz="0" w:space="0" w:color="auto"/>
            <w:bottom w:val="none" w:sz="0" w:space="0" w:color="auto"/>
            <w:right w:val="none" w:sz="0" w:space="0" w:color="auto"/>
          </w:divBdr>
        </w:div>
      </w:divsChild>
    </w:div>
    <w:div w:id="472986546">
      <w:bodyDiv w:val="1"/>
      <w:marLeft w:val="0"/>
      <w:marRight w:val="0"/>
      <w:marTop w:val="0"/>
      <w:marBottom w:val="0"/>
      <w:divBdr>
        <w:top w:val="none" w:sz="0" w:space="0" w:color="auto"/>
        <w:left w:val="none" w:sz="0" w:space="0" w:color="auto"/>
        <w:bottom w:val="none" w:sz="0" w:space="0" w:color="auto"/>
        <w:right w:val="none" w:sz="0" w:space="0" w:color="auto"/>
      </w:divBdr>
    </w:div>
    <w:div w:id="474831879">
      <w:bodyDiv w:val="1"/>
      <w:marLeft w:val="0"/>
      <w:marRight w:val="0"/>
      <w:marTop w:val="0"/>
      <w:marBottom w:val="0"/>
      <w:divBdr>
        <w:top w:val="none" w:sz="0" w:space="0" w:color="auto"/>
        <w:left w:val="none" w:sz="0" w:space="0" w:color="auto"/>
        <w:bottom w:val="none" w:sz="0" w:space="0" w:color="auto"/>
        <w:right w:val="none" w:sz="0" w:space="0" w:color="auto"/>
      </w:divBdr>
      <w:divsChild>
        <w:div w:id="775640484">
          <w:marLeft w:val="0"/>
          <w:marRight w:val="0"/>
          <w:marTop w:val="0"/>
          <w:marBottom w:val="0"/>
          <w:divBdr>
            <w:top w:val="none" w:sz="0" w:space="0" w:color="auto"/>
            <w:left w:val="none" w:sz="0" w:space="0" w:color="auto"/>
            <w:bottom w:val="none" w:sz="0" w:space="0" w:color="auto"/>
            <w:right w:val="none" w:sz="0" w:space="0" w:color="auto"/>
          </w:divBdr>
          <w:divsChild>
            <w:div w:id="259870333">
              <w:marLeft w:val="0"/>
              <w:marRight w:val="0"/>
              <w:marTop w:val="0"/>
              <w:marBottom w:val="0"/>
              <w:divBdr>
                <w:top w:val="none" w:sz="0" w:space="0" w:color="auto"/>
                <w:left w:val="none" w:sz="0" w:space="0" w:color="auto"/>
                <w:bottom w:val="none" w:sz="0" w:space="0" w:color="auto"/>
                <w:right w:val="none" w:sz="0" w:space="0" w:color="auto"/>
              </w:divBdr>
              <w:divsChild>
                <w:div w:id="692003439">
                  <w:marLeft w:val="0"/>
                  <w:marRight w:val="0"/>
                  <w:marTop w:val="0"/>
                  <w:marBottom w:val="0"/>
                  <w:divBdr>
                    <w:top w:val="none" w:sz="0" w:space="0" w:color="auto"/>
                    <w:left w:val="none" w:sz="0" w:space="0" w:color="auto"/>
                    <w:bottom w:val="none" w:sz="0" w:space="0" w:color="auto"/>
                    <w:right w:val="none" w:sz="0" w:space="0" w:color="auto"/>
                  </w:divBdr>
                  <w:divsChild>
                    <w:div w:id="957644036">
                      <w:marLeft w:val="0"/>
                      <w:marRight w:val="0"/>
                      <w:marTop w:val="0"/>
                      <w:marBottom w:val="0"/>
                      <w:divBdr>
                        <w:top w:val="none" w:sz="0" w:space="0" w:color="auto"/>
                        <w:left w:val="none" w:sz="0" w:space="0" w:color="auto"/>
                        <w:bottom w:val="none" w:sz="0" w:space="0" w:color="auto"/>
                        <w:right w:val="none" w:sz="0" w:space="0" w:color="auto"/>
                      </w:divBdr>
                    </w:div>
                    <w:div w:id="15553904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7987717">
      <w:bodyDiv w:val="1"/>
      <w:marLeft w:val="0"/>
      <w:marRight w:val="0"/>
      <w:marTop w:val="0"/>
      <w:marBottom w:val="0"/>
      <w:divBdr>
        <w:top w:val="none" w:sz="0" w:space="0" w:color="auto"/>
        <w:left w:val="none" w:sz="0" w:space="0" w:color="auto"/>
        <w:bottom w:val="none" w:sz="0" w:space="0" w:color="auto"/>
        <w:right w:val="none" w:sz="0" w:space="0" w:color="auto"/>
      </w:divBdr>
      <w:divsChild>
        <w:div w:id="405497670">
          <w:marLeft w:val="0"/>
          <w:marRight w:val="0"/>
          <w:marTop w:val="0"/>
          <w:marBottom w:val="0"/>
          <w:divBdr>
            <w:top w:val="none" w:sz="0" w:space="0" w:color="auto"/>
            <w:left w:val="none" w:sz="0" w:space="0" w:color="auto"/>
            <w:bottom w:val="none" w:sz="0" w:space="0" w:color="auto"/>
            <w:right w:val="none" w:sz="0" w:space="0" w:color="auto"/>
          </w:divBdr>
          <w:divsChild>
            <w:div w:id="8951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25724">
      <w:bodyDiv w:val="1"/>
      <w:marLeft w:val="0"/>
      <w:marRight w:val="0"/>
      <w:marTop w:val="0"/>
      <w:marBottom w:val="0"/>
      <w:divBdr>
        <w:top w:val="none" w:sz="0" w:space="0" w:color="auto"/>
        <w:left w:val="none" w:sz="0" w:space="0" w:color="auto"/>
        <w:bottom w:val="none" w:sz="0" w:space="0" w:color="auto"/>
        <w:right w:val="none" w:sz="0" w:space="0" w:color="auto"/>
      </w:divBdr>
      <w:divsChild>
        <w:div w:id="775950720">
          <w:marLeft w:val="0"/>
          <w:marRight w:val="0"/>
          <w:marTop w:val="0"/>
          <w:marBottom w:val="0"/>
          <w:divBdr>
            <w:top w:val="none" w:sz="0" w:space="0" w:color="auto"/>
            <w:left w:val="none" w:sz="0" w:space="0" w:color="auto"/>
            <w:bottom w:val="none" w:sz="0" w:space="0" w:color="auto"/>
            <w:right w:val="none" w:sz="0" w:space="0" w:color="auto"/>
          </w:divBdr>
          <w:divsChild>
            <w:div w:id="20434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3682">
      <w:bodyDiv w:val="1"/>
      <w:marLeft w:val="0"/>
      <w:marRight w:val="0"/>
      <w:marTop w:val="0"/>
      <w:marBottom w:val="0"/>
      <w:divBdr>
        <w:top w:val="none" w:sz="0" w:space="0" w:color="auto"/>
        <w:left w:val="none" w:sz="0" w:space="0" w:color="auto"/>
        <w:bottom w:val="none" w:sz="0" w:space="0" w:color="auto"/>
        <w:right w:val="none" w:sz="0" w:space="0" w:color="auto"/>
      </w:divBdr>
    </w:div>
    <w:div w:id="507526383">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sChild>
        <w:div w:id="322126299">
          <w:marLeft w:val="0"/>
          <w:marRight w:val="0"/>
          <w:marTop w:val="0"/>
          <w:marBottom w:val="0"/>
          <w:divBdr>
            <w:top w:val="none" w:sz="0" w:space="0" w:color="auto"/>
            <w:left w:val="none" w:sz="0" w:space="0" w:color="auto"/>
            <w:bottom w:val="none" w:sz="0" w:space="0" w:color="auto"/>
            <w:right w:val="none" w:sz="0" w:space="0" w:color="auto"/>
          </w:divBdr>
          <w:divsChild>
            <w:div w:id="540017858">
              <w:marLeft w:val="0"/>
              <w:marRight w:val="0"/>
              <w:marTop w:val="0"/>
              <w:marBottom w:val="0"/>
              <w:divBdr>
                <w:top w:val="none" w:sz="0" w:space="0" w:color="auto"/>
                <w:left w:val="none" w:sz="0" w:space="0" w:color="auto"/>
                <w:bottom w:val="none" w:sz="0" w:space="0" w:color="auto"/>
                <w:right w:val="none" w:sz="0" w:space="0" w:color="auto"/>
              </w:divBdr>
              <w:divsChild>
                <w:div w:id="12071373">
                  <w:marLeft w:val="0"/>
                  <w:marRight w:val="0"/>
                  <w:marTop w:val="0"/>
                  <w:marBottom w:val="0"/>
                  <w:divBdr>
                    <w:top w:val="none" w:sz="0" w:space="0" w:color="auto"/>
                    <w:left w:val="none" w:sz="0" w:space="0" w:color="auto"/>
                    <w:bottom w:val="none" w:sz="0" w:space="0" w:color="auto"/>
                    <w:right w:val="none" w:sz="0" w:space="0" w:color="auto"/>
                  </w:divBdr>
                  <w:divsChild>
                    <w:div w:id="1106581439">
                      <w:marLeft w:val="0"/>
                      <w:marRight w:val="0"/>
                      <w:marTop w:val="0"/>
                      <w:marBottom w:val="0"/>
                      <w:divBdr>
                        <w:top w:val="none" w:sz="0" w:space="0" w:color="auto"/>
                        <w:left w:val="none" w:sz="0" w:space="0" w:color="auto"/>
                        <w:bottom w:val="none" w:sz="0" w:space="0" w:color="auto"/>
                        <w:right w:val="none" w:sz="0" w:space="0" w:color="auto"/>
                      </w:divBdr>
                    </w:div>
                    <w:div w:id="1281952624">
                      <w:marLeft w:val="0"/>
                      <w:marRight w:val="0"/>
                      <w:marTop w:val="120"/>
                      <w:marBottom w:val="0"/>
                      <w:divBdr>
                        <w:top w:val="none" w:sz="0" w:space="0" w:color="auto"/>
                        <w:left w:val="none" w:sz="0" w:space="0" w:color="auto"/>
                        <w:bottom w:val="none" w:sz="0" w:space="0" w:color="auto"/>
                        <w:right w:val="none" w:sz="0" w:space="0" w:color="auto"/>
                      </w:divBdr>
                    </w:div>
                  </w:divsChild>
                </w:div>
                <w:div w:id="198737157">
                  <w:marLeft w:val="0"/>
                  <w:marRight w:val="0"/>
                  <w:marTop w:val="0"/>
                  <w:marBottom w:val="0"/>
                  <w:divBdr>
                    <w:top w:val="none" w:sz="0" w:space="0" w:color="auto"/>
                    <w:left w:val="none" w:sz="0" w:space="0" w:color="auto"/>
                    <w:bottom w:val="none" w:sz="0" w:space="0" w:color="auto"/>
                    <w:right w:val="none" w:sz="0" w:space="0" w:color="auto"/>
                  </w:divBdr>
                  <w:divsChild>
                    <w:div w:id="1218055936">
                      <w:marLeft w:val="0"/>
                      <w:marRight w:val="0"/>
                      <w:marTop w:val="0"/>
                      <w:marBottom w:val="0"/>
                      <w:divBdr>
                        <w:top w:val="none" w:sz="0" w:space="0" w:color="auto"/>
                        <w:left w:val="none" w:sz="0" w:space="0" w:color="auto"/>
                        <w:bottom w:val="none" w:sz="0" w:space="0" w:color="auto"/>
                        <w:right w:val="none" w:sz="0" w:space="0" w:color="auto"/>
                      </w:divBdr>
                    </w:div>
                    <w:div w:id="13886065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52602892">
          <w:marLeft w:val="0"/>
          <w:marRight w:val="0"/>
          <w:marTop w:val="0"/>
          <w:marBottom w:val="0"/>
          <w:divBdr>
            <w:top w:val="none" w:sz="0" w:space="0" w:color="auto"/>
            <w:left w:val="none" w:sz="0" w:space="0" w:color="auto"/>
            <w:bottom w:val="none" w:sz="0" w:space="0" w:color="auto"/>
            <w:right w:val="none" w:sz="0" w:space="0" w:color="auto"/>
          </w:divBdr>
          <w:divsChild>
            <w:div w:id="21519000">
              <w:marLeft w:val="0"/>
              <w:marRight w:val="0"/>
              <w:marTop w:val="0"/>
              <w:marBottom w:val="0"/>
              <w:divBdr>
                <w:top w:val="none" w:sz="0" w:space="0" w:color="auto"/>
                <w:left w:val="none" w:sz="0" w:space="0" w:color="auto"/>
                <w:bottom w:val="none" w:sz="0" w:space="0" w:color="auto"/>
                <w:right w:val="none" w:sz="0" w:space="0" w:color="auto"/>
              </w:divBdr>
            </w:div>
          </w:divsChild>
        </w:div>
        <w:div w:id="658461428">
          <w:marLeft w:val="0"/>
          <w:marRight w:val="0"/>
          <w:marTop w:val="0"/>
          <w:marBottom w:val="0"/>
          <w:divBdr>
            <w:top w:val="none" w:sz="0" w:space="0" w:color="auto"/>
            <w:left w:val="none" w:sz="0" w:space="0" w:color="auto"/>
            <w:bottom w:val="none" w:sz="0" w:space="0" w:color="auto"/>
            <w:right w:val="none" w:sz="0" w:space="0" w:color="auto"/>
          </w:divBdr>
          <w:divsChild>
            <w:div w:id="9110806">
              <w:marLeft w:val="0"/>
              <w:marRight w:val="0"/>
              <w:marTop w:val="0"/>
              <w:marBottom w:val="0"/>
              <w:divBdr>
                <w:top w:val="none" w:sz="0" w:space="0" w:color="auto"/>
                <w:left w:val="none" w:sz="0" w:space="0" w:color="auto"/>
                <w:bottom w:val="none" w:sz="0" w:space="0" w:color="auto"/>
                <w:right w:val="none" w:sz="0" w:space="0" w:color="auto"/>
              </w:divBdr>
              <w:divsChild>
                <w:div w:id="91972386">
                  <w:marLeft w:val="0"/>
                  <w:marRight w:val="0"/>
                  <w:marTop w:val="0"/>
                  <w:marBottom w:val="0"/>
                  <w:divBdr>
                    <w:top w:val="none" w:sz="0" w:space="0" w:color="auto"/>
                    <w:left w:val="none" w:sz="0" w:space="0" w:color="auto"/>
                    <w:bottom w:val="none" w:sz="0" w:space="0" w:color="auto"/>
                    <w:right w:val="none" w:sz="0" w:space="0" w:color="auto"/>
                  </w:divBdr>
                  <w:divsChild>
                    <w:div w:id="1110321385">
                      <w:marLeft w:val="0"/>
                      <w:marRight w:val="0"/>
                      <w:marTop w:val="0"/>
                      <w:marBottom w:val="0"/>
                      <w:divBdr>
                        <w:top w:val="none" w:sz="0" w:space="0" w:color="auto"/>
                        <w:left w:val="none" w:sz="0" w:space="0" w:color="auto"/>
                        <w:bottom w:val="none" w:sz="0" w:space="0" w:color="auto"/>
                        <w:right w:val="none" w:sz="0" w:space="0" w:color="auto"/>
                      </w:divBdr>
                      <w:divsChild>
                        <w:div w:id="1074744733">
                          <w:marLeft w:val="0"/>
                          <w:marRight w:val="0"/>
                          <w:marTop w:val="0"/>
                          <w:marBottom w:val="0"/>
                          <w:divBdr>
                            <w:top w:val="none" w:sz="0" w:space="0" w:color="auto"/>
                            <w:left w:val="none" w:sz="0" w:space="0" w:color="auto"/>
                            <w:bottom w:val="none" w:sz="0" w:space="0" w:color="auto"/>
                            <w:right w:val="none" w:sz="0" w:space="0" w:color="auto"/>
                          </w:divBdr>
                          <w:divsChild>
                            <w:div w:id="1291475973">
                              <w:marLeft w:val="0"/>
                              <w:marRight w:val="0"/>
                              <w:marTop w:val="120"/>
                              <w:marBottom w:val="0"/>
                              <w:divBdr>
                                <w:top w:val="none" w:sz="0" w:space="0" w:color="auto"/>
                                <w:left w:val="none" w:sz="0" w:space="0" w:color="auto"/>
                                <w:bottom w:val="none" w:sz="0" w:space="0" w:color="auto"/>
                                <w:right w:val="none" w:sz="0" w:space="0" w:color="auto"/>
                              </w:divBdr>
                            </w:div>
                            <w:div w:id="1444154834">
                              <w:marLeft w:val="0"/>
                              <w:marRight w:val="0"/>
                              <w:marTop w:val="0"/>
                              <w:marBottom w:val="0"/>
                              <w:divBdr>
                                <w:top w:val="none" w:sz="0" w:space="0" w:color="auto"/>
                                <w:left w:val="none" w:sz="0" w:space="0" w:color="auto"/>
                                <w:bottom w:val="none" w:sz="0" w:space="0" w:color="auto"/>
                                <w:right w:val="none" w:sz="0" w:space="0" w:color="auto"/>
                              </w:divBdr>
                            </w:div>
                          </w:divsChild>
                        </w:div>
                        <w:div w:id="1259828197">
                          <w:marLeft w:val="0"/>
                          <w:marRight w:val="0"/>
                          <w:marTop w:val="0"/>
                          <w:marBottom w:val="0"/>
                          <w:divBdr>
                            <w:top w:val="none" w:sz="0" w:space="0" w:color="auto"/>
                            <w:left w:val="none" w:sz="0" w:space="0" w:color="auto"/>
                            <w:bottom w:val="none" w:sz="0" w:space="0" w:color="auto"/>
                            <w:right w:val="none" w:sz="0" w:space="0" w:color="auto"/>
                          </w:divBdr>
                          <w:divsChild>
                            <w:div w:id="737019169">
                              <w:marLeft w:val="0"/>
                              <w:marRight w:val="0"/>
                              <w:marTop w:val="0"/>
                              <w:marBottom w:val="0"/>
                              <w:divBdr>
                                <w:top w:val="none" w:sz="0" w:space="0" w:color="auto"/>
                                <w:left w:val="none" w:sz="0" w:space="0" w:color="auto"/>
                                <w:bottom w:val="none" w:sz="0" w:space="0" w:color="auto"/>
                                <w:right w:val="none" w:sz="0" w:space="0" w:color="auto"/>
                              </w:divBdr>
                            </w:div>
                            <w:div w:id="758403139">
                              <w:marLeft w:val="0"/>
                              <w:marRight w:val="0"/>
                              <w:marTop w:val="120"/>
                              <w:marBottom w:val="0"/>
                              <w:divBdr>
                                <w:top w:val="none" w:sz="0" w:space="0" w:color="auto"/>
                                <w:left w:val="none" w:sz="0" w:space="0" w:color="auto"/>
                                <w:bottom w:val="none" w:sz="0" w:space="0" w:color="auto"/>
                                <w:right w:val="none" w:sz="0" w:space="0" w:color="auto"/>
                              </w:divBdr>
                            </w:div>
                          </w:divsChild>
                        </w:div>
                        <w:div w:id="1684360092">
                          <w:marLeft w:val="0"/>
                          <w:marRight w:val="0"/>
                          <w:marTop w:val="0"/>
                          <w:marBottom w:val="0"/>
                          <w:divBdr>
                            <w:top w:val="none" w:sz="0" w:space="0" w:color="auto"/>
                            <w:left w:val="none" w:sz="0" w:space="0" w:color="auto"/>
                            <w:bottom w:val="none" w:sz="0" w:space="0" w:color="auto"/>
                            <w:right w:val="none" w:sz="0" w:space="0" w:color="auto"/>
                          </w:divBdr>
                          <w:divsChild>
                            <w:div w:id="188103620">
                              <w:marLeft w:val="0"/>
                              <w:marRight w:val="0"/>
                              <w:marTop w:val="0"/>
                              <w:marBottom w:val="0"/>
                              <w:divBdr>
                                <w:top w:val="none" w:sz="0" w:space="0" w:color="auto"/>
                                <w:left w:val="none" w:sz="0" w:space="0" w:color="auto"/>
                                <w:bottom w:val="none" w:sz="0" w:space="0" w:color="auto"/>
                                <w:right w:val="none" w:sz="0" w:space="0" w:color="auto"/>
                              </w:divBdr>
                            </w:div>
                            <w:div w:id="5139583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8124422">
                      <w:marLeft w:val="0"/>
                      <w:marRight w:val="0"/>
                      <w:marTop w:val="120"/>
                      <w:marBottom w:val="0"/>
                      <w:divBdr>
                        <w:top w:val="none" w:sz="0" w:space="0" w:color="auto"/>
                        <w:left w:val="none" w:sz="0" w:space="0" w:color="auto"/>
                        <w:bottom w:val="none" w:sz="0" w:space="0" w:color="auto"/>
                        <w:right w:val="none" w:sz="0" w:space="0" w:color="auto"/>
                      </w:divBdr>
                    </w:div>
                  </w:divsChild>
                </w:div>
                <w:div w:id="117340946">
                  <w:marLeft w:val="0"/>
                  <w:marRight w:val="0"/>
                  <w:marTop w:val="0"/>
                  <w:marBottom w:val="0"/>
                  <w:divBdr>
                    <w:top w:val="none" w:sz="0" w:space="0" w:color="auto"/>
                    <w:left w:val="none" w:sz="0" w:space="0" w:color="auto"/>
                    <w:bottom w:val="none" w:sz="0" w:space="0" w:color="auto"/>
                    <w:right w:val="none" w:sz="0" w:space="0" w:color="auto"/>
                  </w:divBdr>
                  <w:divsChild>
                    <w:div w:id="827790237">
                      <w:marLeft w:val="0"/>
                      <w:marRight w:val="0"/>
                      <w:marTop w:val="0"/>
                      <w:marBottom w:val="0"/>
                      <w:divBdr>
                        <w:top w:val="none" w:sz="0" w:space="0" w:color="auto"/>
                        <w:left w:val="none" w:sz="0" w:space="0" w:color="auto"/>
                        <w:bottom w:val="none" w:sz="0" w:space="0" w:color="auto"/>
                        <w:right w:val="none" w:sz="0" w:space="0" w:color="auto"/>
                      </w:divBdr>
                    </w:div>
                    <w:div w:id="11155650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59232698">
          <w:marLeft w:val="0"/>
          <w:marRight w:val="0"/>
          <w:marTop w:val="0"/>
          <w:marBottom w:val="0"/>
          <w:divBdr>
            <w:top w:val="none" w:sz="0" w:space="0" w:color="auto"/>
            <w:left w:val="none" w:sz="0" w:space="0" w:color="auto"/>
            <w:bottom w:val="none" w:sz="0" w:space="0" w:color="auto"/>
            <w:right w:val="none" w:sz="0" w:space="0" w:color="auto"/>
          </w:divBdr>
          <w:divsChild>
            <w:div w:id="1766145480">
              <w:marLeft w:val="0"/>
              <w:marRight w:val="0"/>
              <w:marTop w:val="0"/>
              <w:marBottom w:val="0"/>
              <w:divBdr>
                <w:top w:val="none" w:sz="0" w:space="0" w:color="auto"/>
                <w:left w:val="none" w:sz="0" w:space="0" w:color="auto"/>
                <w:bottom w:val="none" w:sz="0" w:space="0" w:color="auto"/>
                <w:right w:val="none" w:sz="0" w:space="0" w:color="auto"/>
              </w:divBdr>
            </w:div>
          </w:divsChild>
        </w:div>
        <w:div w:id="2089957433">
          <w:marLeft w:val="0"/>
          <w:marRight w:val="0"/>
          <w:marTop w:val="0"/>
          <w:marBottom w:val="0"/>
          <w:divBdr>
            <w:top w:val="none" w:sz="0" w:space="0" w:color="auto"/>
            <w:left w:val="none" w:sz="0" w:space="0" w:color="auto"/>
            <w:bottom w:val="none" w:sz="0" w:space="0" w:color="auto"/>
            <w:right w:val="none" w:sz="0" w:space="0" w:color="auto"/>
          </w:divBdr>
          <w:divsChild>
            <w:div w:id="157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2849">
      <w:bodyDiv w:val="1"/>
      <w:marLeft w:val="0"/>
      <w:marRight w:val="0"/>
      <w:marTop w:val="0"/>
      <w:marBottom w:val="0"/>
      <w:divBdr>
        <w:top w:val="none" w:sz="0" w:space="0" w:color="auto"/>
        <w:left w:val="none" w:sz="0" w:space="0" w:color="auto"/>
        <w:bottom w:val="none" w:sz="0" w:space="0" w:color="auto"/>
        <w:right w:val="none" w:sz="0" w:space="0" w:color="auto"/>
      </w:divBdr>
      <w:divsChild>
        <w:div w:id="1604191513">
          <w:marLeft w:val="0"/>
          <w:marRight w:val="0"/>
          <w:marTop w:val="0"/>
          <w:marBottom w:val="0"/>
          <w:divBdr>
            <w:top w:val="none" w:sz="0" w:space="0" w:color="auto"/>
            <w:left w:val="none" w:sz="0" w:space="0" w:color="auto"/>
            <w:bottom w:val="none" w:sz="0" w:space="0" w:color="auto"/>
            <w:right w:val="none" w:sz="0" w:space="0" w:color="auto"/>
          </w:divBdr>
          <w:divsChild>
            <w:div w:id="4554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91242">
      <w:bodyDiv w:val="1"/>
      <w:marLeft w:val="0"/>
      <w:marRight w:val="0"/>
      <w:marTop w:val="0"/>
      <w:marBottom w:val="0"/>
      <w:divBdr>
        <w:top w:val="none" w:sz="0" w:space="0" w:color="auto"/>
        <w:left w:val="none" w:sz="0" w:space="0" w:color="auto"/>
        <w:bottom w:val="none" w:sz="0" w:space="0" w:color="auto"/>
        <w:right w:val="none" w:sz="0" w:space="0" w:color="auto"/>
      </w:divBdr>
      <w:divsChild>
        <w:div w:id="95904204">
          <w:marLeft w:val="0"/>
          <w:marRight w:val="0"/>
          <w:marTop w:val="0"/>
          <w:marBottom w:val="0"/>
          <w:divBdr>
            <w:top w:val="none" w:sz="0" w:space="0" w:color="auto"/>
            <w:left w:val="none" w:sz="0" w:space="0" w:color="auto"/>
            <w:bottom w:val="none" w:sz="0" w:space="0" w:color="auto"/>
            <w:right w:val="none" w:sz="0" w:space="0" w:color="auto"/>
          </w:divBdr>
          <w:divsChild>
            <w:div w:id="325744405">
              <w:marLeft w:val="0"/>
              <w:marRight w:val="0"/>
              <w:marTop w:val="0"/>
              <w:marBottom w:val="0"/>
              <w:divBdr>
                <w:top w:val="none" w:sz="0" w:space="0" w:color="auto"/>
                <w:left w:val="none" w:sz="0" w:space="0" w:color="auto"/>
                <w:bottom w:val="none" w:sz="0" w:space="0" w:color="auto"/>
                <w:right w:val="none" w:sz="0" w:space="0" w:color="auto"/>
              </w:divBdr>
              <w:divsChild>
                <w:div w:id="290091231">
                  <w:marLeft w:val="0"/>
                  <w:marRight w:val="0"/>
                  <w:marTop w:val="0"/>
                  <w:marBottom w:val="0"/>
                  <w:divBdr>
                    <w:top w:val="none" w:sz="0" w:space="0" w:color="auto"/>
                    <w:left w:val="none" w:sz="0" w:space="0" w:color="auto"/>
                    <w:bottom w:val="none" w:sz="0" w:space="0" w:color="auto"/>
                    <w:right w:val="none" w:sz="0" w:space="0" w:color="auto"/>
                  </w:divBdr>
                  <w:divsChild>
                    <w:div w:id="149637480">
                      <w:marLeft w:val="0"/>
                      <w:marRight w:val="0"/>
                      <w:marTop w:val="120"/>
                      <w:marBottom w:val="0"/>
                      <w:divBdr>
                        <w:top w:val="none" w:sz="0" w:space="0" w:color="auto"/>
                        <w:left w:val="none" w:sz="0" w:space="0" w:color="auto"/>
                        <w:bottom w:val="none" w:sz="0" w:space="0" w:color="auto"/>
                        <w:right w:val="none" w:sz="0" w:space="0" w:color="auto"/>
                      </w:divBdr>
                    </w:div>
                    <w:div w:id="1121413461">
                      <w:marLeft w:val="0"/>
                      <w:marRight w:val="0"/>
                      <w:marTop w:val="0"/>
                      <w:marBottom w:val="0"/>
                      <w:divBdr>
                        <w:top w:val="none" w:sz="0" w:space="0" w:color="auto"/>
                        <w:left w:val="none" w:sz="0" w:space="0" w:color="auto"/>
                        <w:bottom w:val="none" w:sz="0" w:space="0" w:color="auto"/>
                        <w:right w:val="none" w:sz="0" w:space="0" w:color="auto"/>
                      </w:divBdr>
                    </w:div>
                  </w:divsChild>
                </w:div>
                <w:div w:id="1000541666">
                  <w:marLeft w:val="0"/>
                  <w:marRight w:val="0"/>
                  <w:marTop w:val="0"/>
                  <w:marBottom w:val="0"/>
                  <w:divBdr>
                    <w:top w:val="none" w:sz="0" w:space="0" w:color="auto"/>
                    <w:left w:val="none" w:sz="0" w:space="0" w:color="auto"/>
                    <w:bottom w:val="none" w:sz="0" w:space="0" w:color="auto"/>
                    <w:right w:val="none" w:sz="0" w:space="0" w:color="auto"/>
                  </w:divBdr>
                  <w:divsChild>
                    <w:div w:id="1117942977">
                      <w:marLeft w:val="0"/>
                      <w:marRight w:val="0"/>
                      <w:marTop w:val="0"/>
                      <w:marBottom w:val="0"/>
                      <w:divBdr>
                        <w:top w:val="none" w:sz="0" w:space="0" w:color="auto"/>
                        <w:left w:val="none" w:sz="0" w:space="0" w:color="auto"/>
                        <w:bottom w:val="none" w:sz="0" w:space="0" w:color="auto"/>
                        <w:right w:val="none" w:sz="0" w:space="0" w:color="auto"/>
                      </w:divBdr>
                    </w:div>
                    <w:div w:id="11761168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06596979">
          <w:marLeft w:val="0"/>
          <w:marRight w:val="0"/>
          <w:marTop w:val="0"/>
          <w:marBottom w:val="0"/>
          <w:divBdr>
            <w:top w:val="none" w:sz="0" w:space="0" w:color="auto"/>
            <w:left w:val="none" w:sz="0" w:space="0" w:color="auto"/>
            <w:bottom w:val="none" w:sz="0" w:space="0" w:color="auto"/>
            <w:right w:val="none" w:sz="0" w:space="0" w:color="auto"/>
          </w:divBdr>
          <w:divsChild>
            <w:div w:id="2095736423">
              <w:marLeft w:val="0"/>
              <w:marRight w:val="0"/>
              <w:marTop w:val="0"/>
              <w:marBottom w:val="0"/>
              <w:divBdr>
                <w:top w:val="none" w:sz="0" w:space="0" w:color="auto"/>
                <w:left w:val="none" w:sz="0" w:space="0" w:color="auto"/>
                <w:bottom w:val="none" w:sz="0" w:space="0" w:color="auto"/>
                <w:right w:val="none" w:sz="0" w:space="0" w:color="auto"/>
              </w:divBdr>
            </w:div>
          </w:divsChild>
        </w:div>
        <w:div w:id="1503819401">
          <w:marLeft w:val="0"/>
          <w:marRight w:val="0"/>
          <w:marTop w:val="0"/>
          <w:marBottom w:val="0"/>
          <w:divBdr>
            <w:top w:val="none" w:sz="0" w:space="0" w:color="auto"/>
            <w:left w:val="none" w:sz="0" w:space="0" w:color="auto"/>
            <w:bottom w:val="none" w:sz="0" w:space="0" w:color="auto"/>
            <w:right w:val="none" w:sz="0" w:space="0" w:color="auto"/>
          </w:divBdr>
          <w:divsChild>
            <w:div w:id="141932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8609">
      <w:bodyDiv w:val="1"/>
      <w:marLeft w:val="0"/>
      <w:marRight w:val="0"/>
      <w:marTop w:val="0"/>
      <w:marBottom w:val="0"/>
      <w:divBdr>
        <w:top w:val="none" w:sz="0" w:space="0" w:color="auto"/>
        <w:left w:val="none" w:sz="0" w:space="0" w:color="auto"/>
        <w:bottom w:val="none" w:sz="0" w:space="0" w:color="auto"/>
        <w:right w:val="none" w:sz="0" w:space="0" w:color="auto"/>
      </w:divBdr>
      <w:divsChild>
        <w:div w:id="896207557">
          <w:marLeft w:val="0"/>
          <w:marRight w:val="0"/>
          <w:marTop w:val="0"/>
          <w:marBottom w:val="0"/>
          <w:divBdr>
            <w:top w:val="none" w:sz="0" w:space="0" w:color="auto"/>
            <w:left w:val="none" w:sz="0" w:space="0" w:color="auto"/>
            <w:bottom w:val="none" w:sz="0" w:space="0" w:color="auto"/>
            <w:right w:val="none" w:sz="0" w:space="0" w:color="auto"/>
          </w:divBdr>
        </w:div>
      </w:divsChild>
    </w:div>
    <w:div w:id="564417054">
      <w:bodyDiv w:val="1"/>
      <w:marLeft w:val="0"/>
      <w:marRight w:val="0"/>
      <w:marTop w:val="0"/>
      <w:marBottom w:val="0"/>
      <w:divBdr>
        <w:top w:val="none" w:sz="0" w:space="0" w:color="auto"/>
        <w:left w:val="none" w:sz="0" w:space="0" w:color="auto"/>
        <w:bottom w:val="none" w:sz="0" w:space="0" w:color="auto"/>
        <w:right w:val="none" w:sz="0" w:space="0" w:color="auto"/>
      </w:divBdr>
      <w:divsChild>
        <w:div w:id="893351281">
          <w:marLeft w:val="0"/>
          <w:marRight w:val="0"/>
          <w:marTop w:val="0"/>
          <w:marBottom w:val="0"/>
          <w:divBdr>
            <w:top w:val="none" w:sz="0" w:space="0" w:color="auto"/>
            <w:left w:val="none" w:sz="0" w:space="0" w:color="auto"/>
            <w:bottom w:val="none" w:sz="0" w:space="0" w:color="auto"/>
            <w:right w:val="none" w:sz="0" w:space="0" w:color="auto"/>
          </w:divBdr>
          <w:divsChild>
            <w:div w:id="10405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4782">
      <w:bodyDiv w:val="1"/>
      <w:marLeft w:val="0"/>
      <w:marRight w:val="0"/>
      <w:marTop w:val="0"/>
      <w:marBottom w:val="0"/>
      <w:divBdr>
        <w:top w:val="none" w:sz="0" w:space="0" w:color="auto"/>
        <w:left w:val="none" w:sz="0" w:space="0" w:color="auto"/>
        <w:bottom w:val="none" w:sz="0" w:space="0" w:color="auto"/>
        <w:right w:val="none" w:sz="0" w:space="0" w:color="auto"/>
      </w:divBdr>
      <w:divsChild>
        <w:div w:id="1924803192">
          <w:marLeft w:val="0"/>
          <w:marRight w:val="0"/>
          <w:marTop w:val="0"/>
          <w:marBottom w:val="0"/>
          <w:divBdr>
            <w:top w:val="none" w:sz="0" w:space="0" w:color="auto"/>
            <w:left w:val="none" w:sz="0" w:space="0" w:color="auto"/>
            <w:bottom w:val="none" w:sz="0" w:space="0" w:color="auto"/>
            <w:right w:val="none" w:sz="0" w:space="0" w:color="auto"/>
          </w:divBdr>
          <w:divsChild>
            <w:div w:id="1187599277">
              <w:marLeft w:val="0"/>
              <w:marRight w:val="0"/>
              <w:marTop w:val="120"/>
              <w:marBottom w:val="0"/>
              <w:divBdr>
                <w:top w:val="none" w:sz="0" w:space="0" w:color="auto"/>
                <w:left w:val="none" w:sz="0" w:space="0" w:color="auto"/>
                <w:bottom w:val="none" w:sz="0" w:space="0" w:color="auto"/>
                <w:right w:val="none" w:sz="0" w:space="0" w:color="auto"/>
              </w:divBdr>
            </w:div>
            <w:div w:id="952396427">
              <w:marLeft w:val="0"/>
              <w:marRight w:val="0"/>
              <w:marTop w:val="0"/>
              <w:marBottom w:val="0"/>
              <w:divBdr>
                <w:top w:val="none" w:sz="0" w:space="0" w:color="auto"/>
                <w:left w:val="none" w:sz="0" w:space="0" w:color="auto"/>
                <w:bottom w:val="none" w:sz="0" w:space="0" w:color="auto"/>
                <w:right w:val="none" w:sz="0" w:space="0" w:color="auto"/>
              </w:divBdr>
            </w:div>
          </w:divsChild>
        </w:div>
        <w:div w:id="889651958">
          <w:marLeft w:val="0"/>
          <w:marRight w:val="0"/>
          <w:marTop w:val="0"/>
          <w:marBottom w:val="0"/>
          <w:divBdr>
            <w:top w:val="none" w:sz="0" w:space="0" w:color="auto"/>
            <w:left w:val="none" w:sz="0" w:space="0" w:color="auto"/>
            <w:bottom w:val="none" w:sz="0" w:space="0" w:color="auto"/>
            <w:right w:val="none" w:sz="0" w:space="0" w:color="auto"/>
          </w:divBdr>
          <w:divsChild>
            <w:div w:id="1065497020">
              <w:marLeft w:val="0"/>
              <w:marRight w:val="0"/>
              <w:marTop w:val="120"/>
              <w:marBottom w:val="0"/>
              <w:divBdr>
                <w:top w:val="none" w:sz="0" w:space="0" w:color="auto"/>
                <w:left w:val="none" w:sz="0" w:space="0" w:color="auto"/>
                <w:bottom w:val="none" w:sz="0" w:space="0" w:color="auto"/>
                <w:right w:val="none" w:sz="0" w:space="0" w:color="auto"/>
              </w:divBdr>
            </w:div>
            <w:div w:id="856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60146">
      <w:bodyDiv w:val="1"/>
      <w:marLeft w:val="0"/>
      <w:marRight w:val="0"/>
      <w:marTop w:val="0"/>
      <w:marBottom w:val="0"/>
      <w:divBdr>
        <w:top w:val="none" w:sz="0" w:space="0" w:color="auto"/>
        <w:left w:val="none" w:sz="0" w:space="0" w:color="auto"/>
        <w:bottom w:val="none" w:sz="0" w:space="0" w:color="auto"/>
        <w:right w:val="none" w:sz="0" w:space="0" w:color="auto"/>
      </w:divBdr>
    </w:div>
    <w:div w:id="604268907">
      <w:bodyDiv w:val="1"/>
      <w:marLeft w:val="0"/>
      <w:marRight w:val="0"/>
      <w:marTop w:val="0"/>
      <w:marBottom w:val="0"/>
      <w:divBdr>
        <w:top w:val="none" w:sz="0" w:space="0" w:color="auto"/>
        <w:left w:val="none" w:sz="0" w:space="0" w:color="auto"/>
        <w:bottom w:val="none" w:sz="0" w:space="0" w:color="auto"/>
        <w:right w:val="none" w:sz="0" w:space="0" w:color="auto"/>
      </w:divBdr>
      <w:divsChild>
        <w:div w:id="873156075">
          <w:marLeft w:val="0"/>
          <w:marRight w:val="0"/>
          <w:marTop w:val="0"/>
          <w:marBottom w:val="0"/>
          <w:divBdr>
            <w:top w:val="none" w:sz="0" w:space="0" w:color="auto"/>
            <w:left w:val="none" w:sz="0" w:space="0" w:color="auto"/>
            <w:bottom w:val="none" w:sz="0" w:space="0" w:color="auto"/>
            <w:right w:val="none" w:sz="0" w:space="0" w:color="auto"/>
          </w:divBdr>
          <w:divsChild>
            <w:div w:id="1158839086">
              <w:marLeft w:val="0"/>
              <w:marRight w:val="0"/>
              <w:marTop w:val="0"/>
              <w:marBottom w:val="0"/>
              <w:divBdr>
                <w:top w:val="none" w:sz="0" w:space="0" w:color="auto"/>
                <w:left w:val="none" w:sz="0" w:space="0" w:color="auto"/>
                <w:bottom w:val="none" w:sz="0" w:space="0" w:color="auto"/>
                <w:right w:val="none" w:sz="0" w:space="0" w:color="auto"/>
              </w:divBdr>
              <w:divsChild>
                <w:div w:id="587075786">
                  <w:marLeft w:val="0"/>
                  <w:marRight w:val="0"/>
                  <w:marTop w:val="0"/>
                  <w:marBottom w:val="0"/>
                  <w:divBdr>
                    <w:top w:val="none" w:sz="0" w:space="0" w:color="auto"/>
                    <w:left w:val="none" w:sz="0" w:space="0" w:color="auto"/>
                    <w:bottom w:val="none" w:sz="0" w:space="0" w:color="auto"/>
                    <w:right w:val="none" w:sz="0" w:space="0" w:color="auto"/>
                  </w:divBdr>
                  <w:divsChild>
                    <w:div w:id="244924966">
                      <w:marLeft w:val="0"/>
                      <w:marRight w:val="0"/>
                      <w:marTop w:val="120"/>
                      <w:marBottom w:val="0"/>
                      <w:divBdr>
                        <w:top w:val="none" w:sz="0" w:space="0" w:color="auto"/>
                        <w:left w:val="none" w:sz="0" w:space="0" w:color="auto"/>
                        <w:bottom w:val="none" w:sz="0" w:space="0" w:color="auto"/>
                        <w:right w:val="none" w:sz="0" w:space="0" w:color="auto"/>
                      </w:divBdr>
                    </w:div>
                    <w:div w:id="1120954550">
                      <w:marLeft w:val="0"/>
                      <w:marRight w:val="0"/>
                      <w:marTop w:val="0"/>
                      <w:marBottom w:val="0"/>
                      <w:divBdr>
                        <w:top w:val="none" w:sz="0" w:space="0" w:color="auto"/>
                        <w:left w:val="none" w:sz="0" w:space="0" w:color="auto"/>
                        <w:bottom w:val="none" w:sz="0" w:space="0" w:color="auto"/>
                        <w:right w:val="none" w:sz="0" w:space="0" w:color="auto"/>
                      </w:divBdr>
                    </w:div>
                  </w:divsChild>
                </w:div>
                <w:div w:id="743913334">
                  <w:marLeft w:val="0"/>
                  <w:marRight w:val="0"/>
                  <w:marTop w:val="0"/>
                  <w:marBottom w:val="0"/>
                  <w:divBdr>
                    <w:top w:val="none" w:sz="0" w:space="0" w:color="auto"/>
                    <w:left w:val="none" w:sz="0" w:space="0" w:color="auto"/>
                    <w:bottom w:val="none" w:sz="0" w:space="0" w:color="auto"/>
                    <w:right w:val="none" w:sz="0" w:space="0" w:color="auto"/>
                  </w:divBdr>
                  <w:divsChild>
                    <w:div w:id="343244191">
                      <w:marLeft w:val="0"/>
                      <w:marRight w:val="0"/>
                      <w:marTop w:val="120"/>
                      <w:marBottom w:val="0"/>
                      <w:divBdr>
                        <w:top w:val="none" w:sz="0" w:space="0" w:color="auto"/>
                        <w:left w:val="none" w:sz="0" w:space="0" w:color="auto"/>
                        <w:bottom w:val="none" w:sz="0" w:space="0" w:color="auto"/>
                        <w:right w:val="none" w:sz="0" w:space="0" w:color="auto"/>
                      </w:divBdr>
                    </w:div>
                    <w:div w:id="168142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2225">
          <w:marLeft w:val="0"/>
          <w:marRight w:val="0"/>
          <w:marTop w:val="0"/>
          <w:marBottom w:val="0"/>
          <w:divBdr>
            <w:top w:val="none" w:sz="0" w:space="0" w:color="auto"/>
            <w:left w:val="none" w:sz="0" w:space="0" w:color="auto"/>
            <w:bottom w:val="none" w:sz="0" w:space="0" w:color="auto"/>
            <w:right w:val="none" w:sz="0" w:space="0" w:color="auto"/>
          </w:divBdr>
          <w:divsChild>
            <w:div w:id="368576819">
              <w:marLeft w:val="0"/>
              <w:marRight w:val="0"/>
              <w:marTop w:val="0"/>
              <w:marBottom w:val="0"/>
              <w:divBdr>
                <w:top w:val="none" w:sz="0" w:space="0" w:color="auto"/>
                <w:left w:val="none" w:sz="0" w:space="0" w:color="auto"/>
                <w:bottom w:val="none" w:sz="0" w:space="0" w:color="auto"/>
                <w:right w:val="none" w:sz="0" w:space="0" w:color="auto"/>
              </w:divBdr>
              <w:divsChild>
                <w:div w:id="347487640">
                  <w:marLeft w:val="0"/>
                  <w:marRight w:val="0"/>
                  <w:marTop w:val="0"/>
                  <w:marBottom w:val="0"/>
                  <w:divBdr>
                    <w:top w:val="none" w:sz="0" w:space="0" w:color="auto"/>
                    <w:left w:val="none" w:sz="0" w:space="0" w:color="auto"/>
                    <w:bottom w:val="none" w:sz="0" w:space="0" w:color="auto"/>
                    <w:right w:val="none" w:sz="0" w:space="0" w:color="auto"/>
                  </w:divBdr>
                  <w:divsChild>
                    <w:div w:id="435946261">
                      <w:marLeft w:val="0"/>
                      <w:marRight w:val="0"/>
                      <w:marTop w:val="120"/>
                      <w:marBottom w:val="0"/>
                      <w:divBdr>
                        <w:top w:val="none" w:sz="0" w:space="0" w:color="auto"/>
                        <w:left w:val="none" w:sz="0" w:space="0" w:color="auto"/>
                        <w:bottom w:val="none" w:sz="0" w:space="0" w:color="auto"/>
                        <w:right w:val="none" w:sz="0" w:space="0" w:color="auto"/>
                      </w:divBdr>
                    </w:div>
                    <w:div w:id="1244685109">
                      <w:marLeft w:val="0"/>
                      <w:marRight w:val="0"/>
                      <w:marTop w:val="0"/>
                      <w:marBottom w:val="0"/>
                      <w:divBdr>
                        <w:top w:val="none" w:sz="0" w:space="0" w:color="auto"/>
                        <w:left w:val="none" w:sz="0" w:space="0" w:color="auto"/>
                        <w:bottom w:val="none" w:sz="0" w:space="0" w:color="auto"/>
                        <w:right w:val="none" w:sz="0" w:space="0" w:color="auto"/>
                      </w:divBdr>
                    </w:div>
                  </w:divsChild>
                </w:div>
                <w:div w:id="350113471">
                  <w:marLeft w:val="0"/>
                  <w:marRight w:val="0"/>
                  <w:marTop w:val="0"/>
                  <w:marBottom w:val="0"/>
                  <w:divBdr>
                    <w:top w:val="none" w:sz="0" w:space="0" w:color="auto"/>
                    <w:left w:val="none" w:sz="0" w:space="0" w:color="auto"/>
                    <w:bottom w:val="none" w:sz="0" w:space="0" w:color="auto"/>
                    <w:right w:val="none" w:sz="0" w:space="0" w:color="auto"/>
                  </w:divBdr>
                  <w:divsChild>
                    <w:div w:id="913202603">
                      <w:marLeft w:val="0"/>
                      <w:marRight w:val="0"/>
                      <w:marTop w:val="0"/>
                      <w:marBottom w:val="0"/>
                      <w:divBdr>
                        <w:top w:val="none" w:sz="0" w:space="0" w:color="auto"/>
                        <w:left w:val="none" w:sz="0" w:space="0" w:color="auto"/>
                        <w:bottom w:val="none" w:sz="0" w:space="0" w:color="auto"/>
                        <w:right w:val="none" w:sz="0" w:space="0" w:color="auto"/>
                      </w:divBdr>
                      <w:divsChild>
                        <w:div w:id="1425876355">
                          <w:marLeft w:val="0"/>
                          <w:marRight w:val="0"/>
                          <w:marTop w:val="0"/>
                          <w:marBottom w:val="0"/>
                          <w:divBdr>
                            <w:top w:val="none" w:sz="0" w:space="0" w:color="auto"/>
                            <w:left w:val="none" w:sz="0" w:space="0" w:color="auto"/>
                            <w:bottom w:val="none" w:sz="0" w:space="0" w:color="auto"/>
                            <w:right w:val="none" w:sz="0" w:space="0" w:color="auto"/>
                          </w:divBdr>
                          <w:divsChild>
                            <w:div w:id="711878081">
                              <w:marLeft w:val="0"/>
                              <w:marRight w:val="0"/>
                              <w:marTop w:val="0"/>
                              <w:marBottom w:val="0"/>
                              <w:divBdr>
                                <w:top w:val="none" w:sz="0" w:space="0" w:color="auto"/>
                                <w:left w:val="none" w:sz="0" w:space="0" w:color="auto"/>
                                <w:bottom w:val="none" w:sz="0" w:space="0" w:color="auto"/>
                                <w:right w:val="none" w:sz="0" w:space="0" w:color="auto"/>
                              </w:divBdr>
                            </w:div>
                            <w:div w:id="1051467546">
                              <w:marLeft w:val="0"/>
                              <w:marRight w:val="0"/>
                              <w:marTop w:val="120"/>
                              <w:marBottom w:val="0"/>
                              <w:divBdr>
                                <w:top w:val="none" w:sz="0" w:space="0" w:color="auto"/>
                                <w:left w:val="none" w:sz="0" w:space="0" w:color="auto"/>
                                <w:bottom w:val="none" w:sz="0" w:space="0" w:color="auto"/>
                                <w:right w:val="none" w:sz="0" w:space="0" w:color="auto"/>
                              </w:divBdr>
                            </w:div>
                          </w:divsChild>
                        </w:div>
                        <w:div w:id="1659309355">
                          <w:marLeft w:val="0"/>
                          <w:marRight w:val="0"/>
                          <w:marTop w:val="0"/>
                          <w:marBottom w:val="0"/>
                          <w:divBdr>
                            <w:top w:val="none" w:sz="0" w:space="0" w:color="auto"/>
                            <w:left w:val="none" w:sz="0" w:space="0" w:color="auto"/>
                            <w:bottom w:val="none" w:sz="0" w:space="0" w:color="auto"/>
                            <w:right w:val="none" w:sz="0" w:space="0" w:color="auto"/>
                          </w:divBdr>
                          <w:divsChild>
                            <w:div w:id="1398623470">
                              <w:marLeft w:val="0"/>
                              <w:marRight w:val="0"/>
                              <w:marTop w:val="120"/>
                              <w:marBottom w:val="0"/>
                              <w:divBdr>
                                <w:top w:val="none" w:sz="0" w:space="0" w:color="auto"/>
                                <w:left w:val="none" w:sz="0" w:space="0" w:color="auto"/>
                                <w:bottom w:val="none" w:sz="0" w:space="0" w:color="auto"/>
                                <w:right w:val="none" w:sz="0" w:space="0" w:color="auto"/>
                              </w:divBdr>
                            </w:div>
                            <w:div w:id="1887523368">
                              <w:marLeft w:val="0"/>
                              <w:marRight w:val="0"/>
                              <w:marTop w:val="0"/>
                              <w:marBottom w:val="0"/>
                              <w:divBdr>
                                <w:top w:val="none" w:sz="0" w:space="0" w:color="auto"/>
                                <w:left w:val="none" w:sz="0" w:space="0" w:color="auto"/>
                                <w:bottom w:val="none" w:sz="0" w:space="0" w:color="auto"/>
                                <w:right w:val="none" w:sz="0" w:space="0" w:color="auto"/>
                              </w:divBdr>
                            </w:div>
                          </w:divsChild>
                        </w:div>
                        <w:div w:id="1740636528">
                          <w:marLeft w:val="0"/>
                          <w:marRight w:val="0"/>
                          <w:marTop w:val="0"/>
                          <w:marBottom w:val="0"/>
                          <w:divBdr>
                            <w:top w:val="none" w:sz="0" w:space="0" w:color="auto"/>
                            <w:left w:val="none" w:sz="0" w:space="0" w:color="auto"/>
                            <w:bottom w:val="none" w:sz="0" w:space="0" w:color="auto"/>
                            <w:right w:val="none" w:sz="0" w:space="0" w:color="auto"/>
                          </w:divBdr>
                          <w:divsChild>
                            <w:div w:id="739252731">
                              <w:marLeft w:val="0"/>
                              <w:marRight w:val="0"/>
                              <w:marTop w:val="120"/>
                              <w:marBottom w:val="0"/>
                              <w:divBdr>
                                <w:top w:val="none" w:sz="0" w:space="0" w:color="auto"/>
                                <w:left w:val="none" w:sz="0" w:space="0" w:color="auto"/>
                                <w:bottom w:val="none" w:sz="0" w:space="0" w:color="auto"/>
                                <w:right w:val="none" w:sz="0" w:space="0" w:color="auto"/>
                              </w:divBdr>
                            </w:div>
                            <w:div w:id="13632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8862">
                      <w:marLeft w:val="0"/>
                      <w:marRight w:val="0"/>
                      <w:marTop w:val="120"/>
                      <w:marBottom w:val="0"/>
                      <w:divBdr>
                        <w:top w:val="none" w:sz="0" w:space="0" w:color="auto"/>
                        <w:left w:val="none" w:sz="0" w:space="0" w:color="auto"/>
                        <w:bottom w:val="none" w:sz="0" w:space="0" w:color="auto"/>
                        <w:right w:val="none" w:sz="0" w:space="0" w:color="auto"/>
                      </w:divBdr>
                    </w:div>
                  </w:divsChild>
                </w:div>
                <w:div w:id="608515187">
                  <w:marLeft w:val="0"/>
                  <w:marRight w:val="0"/>
                  <w:marTop w:val="0"/>
                  <w:marBottom w:val="0"/>
                  <w:divBdr>
                    <w:top w:val="none" w:sz="0" w:space="0" w:color="auto"/>
                    <w:left w:val="none" w:sz="0" w:space="0" w:color="auto"/>
                    <w:bottom w:val="none" w:sz="0" w:space="0" w:color="auto"/>
                    <w:right w:val="none" w:sz="0" w:space="0" w:color="auto"/>
                  </w:divBdr>
                  <w:divsChild>
                    <w:div w:id="497158188">
                      <w:marLeft w:val="0"/>
                      <w:marRight w:val="0"/>
                      <w:marTop w:val="120"/>
                      <w:marBottom w:val="0"/>
                      <w:divBdr>
                        <w:top w:val="none" w:sz="0" w:space="0" w:color="auto"/>
                        <w:left w:val="none" w:sz="0" w:space="0" w:color="auto"/>
                        <w:bottom w:val="none" w:sz="0" w:space="0" w:color="auto"/>
                        <w:right w:val="none" w:sz="0" w:space="0" w:color="auto"/>
                      </w:divBdr>
                    </w:div>
                    <w:div w:id="2048872227">
                      <w:marLeft w:val="0"/>
                      <w:marRight w:val="0"/>
                      <w:marTop w:val="0"/>
                      <w:marBottom w:val="0"/>
                      <w:divBdr>
                        <w:top w:val="none" w:sz="0" w:space="0" w:color="auto"/>
                        <w:left w:val="none" w:sz="0" w:space="0" w:color="auto"/>
                        <w:bottom w:val="none" w:sz="0" w:space="0" w:color="auto"/>
                        <w:right w:val="none" w:sz="0" w:space="0" w:color="auto"/>
                      </w:divBdr>
                    </w:div>
                  </w:divsChild>
                </w:div>
                <w:div w:id="765078217">
                  <w:marLeft w:val="0"/>
                  <w:marRight w:val="0"/>
                  <w:marTop w:val="0"/>
                  <w:marBottom w:val="0"/>
                  <w:divBdr>
                    <w:top w:val="none" w:sz="0" w:space="0" w:color="auto"/>
                    <w:left w:val="none" w:sz="0" w:space="0" w:color="auto"/>
                    <w:bottom w:val="none" w:sz="0" w:space="0" w:color="auto"/>
                    <w:right w:val="none" w:sz="0" w:space="0" w:color="auto"/>
                  </w:divBdr>
                  <w:divsChild>
                    <w:div w:id="684788354">
                      <w:marLeft w:val="0"/>
                      <w:marRight w:val="0"/>
                      <w:marTop w:val="0"/>
                      <w:marBottom w:val="0"/>
                      <w:divBdr>
                        <w:top w:val="none" w:sz="0" w:space="0" w:color="auto"/>
                        <w:left w:val="none" w:sz="0" w:space="0" w:color="auto"/>
                        <w:bottom w:val="none" w:sz="0" w:space="0" w:color="auto"/>
                        <w:right w:val="none" w:sz="0" w:space="0" w:color="auto"/>
                      </w:divBdr>
                    </w:div>
                    <w:div w:id="999818295">
                      <w:marLeft w:val="0"/>
                      <w:marRight w:val="0"/>
                      <w:marTop w:val="120"/>
                      <w:marBottom w:val="0"/>
                      <w:divBdr>
                        <w:top w:val="none" w:sz="0" w:space="0" w:color="auto"/>
                        <w:left w:val="none" w:sz="0" w:space="0" w:color="auto"/>
                        <w:bottom w:val="none" w:sz="0" w:space="0" w:color="auto"/>
                        <w:right w:val="none" w:sz="0" w:space="0" w:color="auto"/>
                      </w:divBdr>
                    </w:div>
                  </w:divsChild>
                </w:div>
                <w:div w:id="1063605882">
                  <w:marLeft w:val="0"/>
                  <w:marRight w:val="0"/>
                  <w:marTop w:val="0"/>
                  <w:marBottom w:val="0"/>
                  <w:divBdr>
                    <w:top w:val="none" w:sz="0" w:space="0" w:color="auto"/>
                    <w:left w:val="none" w:sz="0" w:space="0" w:color="auto"/>
                    <w:bottom w:val="none" w:sz="0" w:space="0" w:color="auto"/>
                    <w:right w:val="none" w:sz="0" w:space="0" w:color="auto"/>
                  </w:divBdr>
                  <w:divsChild>
                    <w:div w:id="122624303">
                      <w:marLeft w:val="0"/>
                      <w:marRight w:val="0"/>
                      <w:marTop w:val="0"/>
                      <w:marBottom w:val="0"/>
                      <w:divBdr>
                        <w:top w:val="none" w:sz="0" w:space="0" w:color="auto"/>
                        <w:left w:val="none" w:sz="0" w:space="0" w:color="auto"/>
                        <w:bottom w:val="none" w:sz="0" w:space="0" w:color="auto"/>
                        <w:right w:val="none" w:sz="0" w:space="0" w:color="auto"/>
                      </w:divBdr>
                    </w:div>
                    <w:div w:id="1252354579">
                      <w:marLeft w:val="0"/>
                      <w:marRight w:val="0"/>
                      <w:marTop w:val="120"/>
                      <w:marBottom w:val="0"/>
                      <w:divBdr>
                        <w:top w:val="none" w:sz="0" w:space="0" w:color="auto"/>
                        <w:left w:val="none" w:sz="0" w:space="0" w:color="auto"/>
                        <w:bottom w:val="none" w:sz="0" w:space="0" w:color="auto"/>
                        <w:right w:val="none" w:sz="0" w:space="0" w:color="auto"/>
                      </w:divBdr>
                    </w:div>
                  </w:divsChild>
                </w:div>
                <w:div w:id="1109735458">
                  <w:marLeft w:val="0"/>
                  <w:marRight w:val="0"/>
                  <w:marTop w:val="0"/>
                  <w:marBottom w:val="0"/>
                  <w:divBdr>
                    <w:top w:val="none" w:sz="0" w:space="0" w:color="auto"/>
                    <w:left w:val="none" w:sz="0" w:space="0" w:color="auto"/>
                    <w:bottom w:val="none" w:sz="0" w:space="0" w:color="auto"/>
                    <w:right w:val="none" w:sz="0" w:space="0" w:color="auto"/>
                  </w:divBdr>
                  <w:divsChild>
                    <w:div w:id="138617961">
                      <w:marLeft w:val="0"/>
                      <w:marRight w:val="0"/>
                      <w:marTop w:val="120"/>
                      <w:marBottom w:val="0"/>
                      <w:divBdr>
                        <w:top w:val="none" w:sz="0" w:space="0" w:color="auto"/>
                        <w:left w:val="none" w:sz="0" w:space="0" w:color="auto"/>
                        <w:bottom w:val="none" w:sz="0" w:space="0" w:color="auto"/>
                        <w:right w:val="none" w:sz="0" w:space="0" w:color="auto"/>
                      </w:divBdr>
                    </w:div>
                    <w:div w:id="1554386133">
                      <w:marLeft w:val="0"/>
                      <w:marRight w:val="0"/>
                      <w:marTop w:val="0"/>
                      <w:marBottom w:val="0"/>
                      <w:divBdr>
                        <w:top w:val="none" w:sz="0" w:space="0" w:color="auto"/>
                        <w:left w:val="none" w:sz="0" w:space="0" w:color="auto"/>
                        <w:bottom w:val="none" w:sz="0" w:space="0" w:color="auto"/>
                        <w:right w:val="none" w:sz="0" w:space="0" w:color="auto"/>
                      </w:divBdr>
                    </w:div>
                  </w:divsChild>
                </w:div>
                <w:div w:id="1111819200">
                  <w:marLeft w:val="0"/>
                  <w:marRight w:val="0"/>
                  <w:marTop w:val="0"/>
                  <w:marBottom w:val="0"/>
                  <w:divBdr>
                    <w:top w:val="none" w:sz="0" w:space="0" w:color="auto"/>
                    <w:left w:val="none" w:sz="0" w:space="0" w:color="auto"/>
                    <w:bottom w:val="none" w:sz="0" w:space="0" w:color="auto"/>
                    <w:right w:val="none" w:sz="0" w:space="0" w:color="auto"/>
                  </w:divBdr>
                  <w:divsChild>
                    <w:div w:id="1385912753">
                      <w:marLeft w:val="0"/>
                      <w:marRight w:val="0"/>
                      <w:marTop w:val="120"/>
                      <w:marBottom w:val="0"/>
                      <w:divBdr>
                        <w:top w:val="none" w:sz="0" w:space="0" w:color="auto"/>
                        <w:left w:val="none" w:sz="0" w:space="0" w:color="auto"/>
                        <w:bottom w:val="none" w:sz="0" w:space="0" w:color="auto"/>
                        <w:right w:val="none" w:sz="0" w:space="0" w:color="auto"/>
                      </w:divBdr>
                    </w:div>
                    <w:div w:id="1874148788">
                      <w:marLeft w:val="0"/>
                      <w:marRight w:val="0"/>
                      <w:marTop w:val="0"/>
                      <w:marBottom w:val="0"/>
                      <w:divBdr>
                        <w:top w:val="none" w:sz="0" w:space="0" w:color="auto"/>
                        <w:left w:val="none" w:sz="0" w:space="0" w:color="auto"/>
                        <w:bottom w:val="none" w:sz="0" w:space="0" w:color="auto"/>
                        <w:right w:val="none" w:sz="0" w:space="0" w:color="auto"/>
                      </w:divBdr>
                    </w:div>
                  </w:divsChild>
                </w:div>
                <w:div w:id="1344091098">
                  <w:marLeft w:val="0"/>
                  <w:marRight w:val="0"/>
                  <w:marTop w:val="0"/>
                  <w:marBottom w:val="0"/>
                  <w:divBdr>
                    <w:top w:val="none" w:sz="0" w:space="0" w:color="auto"/>
                    <w:left w:val="none" w:sz="0" w:space="0" w:color="auto"/>
                    <w:bottom w:val="none" w:sz="0" w:space="0" w:color="auto"/>
                    <w:right w:val="none" w:sz="0" w:space="0" w:color="auto"/>
                  </w:divBdr>
                  <w:divsChild>
                    <w:div w:id="902132756">
                      <w:marLeft w:val="0"/>
                      <w:marRight w:val="0"/>
                      <w:marTop w:val="0"/>
                      <w:marBottom w:val="0"/>
                      <w:divBdr>
                        <w:top w:val="none" w:sz="0" w:space="0" w:color="auto"/>
                        <w:left w:val="none" w:sz="0" w:space="0" w:color="auto"/>
                        <w:bottom w:val="none" w:sz="0" w:space="0" w:color="auto"/>
                        <w:right w:val="none" w:sz="0" w:space="0" w:color="auto"/>
                      </w:divBdr>
                    </w:div>
                    <w:div w:id="1331835205">
                      <w:marLeft w:val="0"/>
                      <w:marRight w:val="0"/>
                      <w:marTop w:val="120"/>
                      <w:marBottom w:val="0"/>
                      <w:divBdr>
                        <w:top w:val="none" w:sz="0" w:space="0" w:color="auto"/>
                        <w:left w:val="none" w:sz="0" w:space="0" w:color="auto"/>
                        <w:bottom w:val="none" w:sz="0" w:space="0" w:color="auto"/>
                        <w:right w:val="none" w:sz="0" w:space="0" w:color="auto"/>
                      </w:divBdr>
                    </w:div>
                  </w:divsChild>
                </w:div>
                <w:div w:id="1364016767">
                  <w:marLeft w:val="0"/>
                  <w:marRight w:val="0"/>
                  <w:marTop w:val="0"/>
                  <w:marBottom w:val="0"/>
                  <w:divBdr>
                    <w:top w:val="none" w:sz="0" w:space="0" w:color="auto"/>
                    <w:left w:val="none" w:sz="0" w:space="0" w:color="auto"/>
                    <w:bottom w:val="none" w:sz="0" w:space="0" w:color="auto"/>
                    <w:right w:val="none" w:sz="0" w:space="0" w:color="auto"/>
                  </w:divBdr>
                  <w:divsChild>
                    <w:div w:id="370494889">
                      <w:marLeft w:val="0"/>
                      <w:marRight w:val="0"/>
                      <w:marTop w:val="120"/>
                      <w:marBottom w:val="0"/>
                      <w:divBdr>
                        <w:top w:val="none" w:sz="0" w:space="0" w:color="auto"/>
                        <w:left w:val="none" w:sz="0" w:space="0" w:color="auto"/>
                        <w:bottom w:val="none" w:sz="0" w:space="0" w:color="auto"/>
                        <w:right w:val="none" w:sz="0" w:space="0" w:color="auto"/>
                      </w:divBdr>
                    </w:div>
                    <w:div w:id="2040889071">
                      <w:marLeft w:val="0"/>
                      <w:marRight w:val="0"/>
                      <w:marTop w:val="0"/>
                      <w:marBottom w:val="0"/>
                      <w:divBdr>
                        <w:top w:val="none" w:sz="0" w:space="0" w:color="auto"/>
                        <w:left w:val="none" w:sz="0" w:space="0" w:color="auto"/>
                        <w:bottom w:val="none" w:sz="0" w:space="0" w:color="auto"/>
                        <w:right w:val="none" w:sz="0" w:space="0" w:color="auto"/>
                      </w:divBdr>
                      <w:divsChild>
                        <w:div w:id="278417621">
                          <w:marLeft w:val="0"/>
                          <w:marRight w:val="0"/>
                          <w:marTop w:val="0"/>
                          <w:marBottom w:val="0"/>
                          <w:divBdr>
                            <w:top w:val="none" w:sz="0" w:space="0" w:color="auto"/>
                            <w:left w:val="none" w:sz="0" w:space="0" w:color="auto"/>
                            <w:bottom w:val="none" w:sz="0" w:space="0" w:color="auto"/>
                            <w:right w:val="none" w:sz="0" w:space="0" w:color="auto"/>
                          </w:divBdr>
                          <w:divsChild>
                            <w:div w:id="119766564">
                              <w:marLeft w:val="0"/>
                              <w:marRight w:val="0"/>
                              <w:marTop w:val="120"/>
                              <w:marBottom w:val="0"/>
                              <w:divBdr>
                                <w:top w:val="none" w:sz="0" w:space="0" w:color="auto"/>
                                <w:left w:val="none" w:sz="0" w:space="0" w:color="auto"/>
                                <w:bottom w:val="none" w:sz="0" w:space="0" w:color="auto"/>
                                <w:right w:val="none" w:sz="0" w:space="0" w:color="auto"/>
                              </w:divBdr>
                            </w:div>
                            <w:div w:id="1334721517">
                              <w:marLeft w:val="0"/>
                              <w:marRight w:val="0"/>
                              <w:marTop w:val="0"/>
                              <w:marBottom w:val="0"/>
                              <w:divBdr>
                                <w:top w:val="none" w:sz="0" w:space="0" w:color="auto"/>
                                <w:left w:val="none" w:sz="0" w:space="0" w:color="auto"/>
                                <w:bottom w:val="none" w:sz="0" w:space="0" w:color="auto"/>
                                <w:right w:val="none" w:sz="0" w:space="0" w:color="auto"/>
                              </w:divBdr>
                            </w:div>
                          </w:divsChild>
                        </w:div>
                        <w:div w:id="642387565">
                          <w:marLeft w:val="0"/>
                          <w:marRight w:val="0"/>
                          <w:marTop w:val="0"/>
                          <w:marBottom w:val="0"/>
                          <w:divBdr>
                            <w:top w:val="none" w:sz="0" w:space="0" w:color="auto"/>
                            <w:left w:val="none" w:sz="0" w:space="0" w:color="auto"/>
                            <w:bottom w:val="none" w:sz="0" w:space="0" w:color="auto"/>
                            <w:right w:val="none" w:sz="0" w:space="0" w:color="auto"/>
                          </w:divBdr>
                          <w:divsChild>
                            <w:div w:id="305359562">
                              <w:marLeft w:val="0"/>
                              <w:marRight w:val="0"/>
                              <w:marTop w:val="120"/>
                              <w:marBottom w:val="0"/>
                              <w:divBdr>
                                <w:top w:val="none" w:sz="0" w:space="0" w:color="auto"/>
                                <w:left w:val="none" w:sz="0" w:space="0" w:color="auto"/>
                                <w:bottom w:val="none" w:sz="0" w:space="0" w:color="auto"/>
                                <w:right w:val="none" w:sz="0" w:space="0" w:color="auto"/>
                              </w:divBdr>
                            </w:div>
                            <w:div w:id="1810055837">
                              <w:marLeft w:val="0"/>
                              <w:marRight w:val="0"/>
                              <w:marTop w:val="0"/>
                              <w:marBottom w:val="0"/>
                              <w:divBdr>
                                <w:top w:val="none" w:sz="0" w:space="0" w:color="auto"/>
                                <w:left w:val="none" w:sz="0" w:space="0" w:color="auto"/>
                                <w:bottom w:val="none" w:sz="0" w:space="0" w:color="auto"/>
                                <w:right w:val="none" w:sz="0" w:space="0" w:color="auto"/>
                              </w:divBdr>
                            </w:div>
                          </w:divsChild>
                        </w:div>
                        <w:div w:id="1285228932">
                          <w:marLeft w:val="0"/>
                          <w:marRight w:val="0"/>
                          <w:marTop w:val="0"/>
                          <w:marBottom w:val="0"/>
                          <w:divBdr>
                            <w:top w:val="none" w:sz="0" w:space="0" w:color="auto"/>
                            <w:left w:val="none" w:sz="0" w:space="0" w:color="auto"/>
                            <w:bottom w:val="none" w:sz="0" w:space="0" w:color="auto"/>
                            <w:right w:val="none" w:sz="0" w:space="0" w:color="auto"/>
                          </w:divBdr>
                          <w:divsChild>
                            <w:div w:id="587542664">
                              <w:marLeft w:val="0"/>
                              <w:marRight w:val="0"/>
                              <w:marTop w:val="120"/>
                              <w:marBottom w:val="0"/>
                              <w:divBdr>
                                <w:top w:val="none" w:sz="0" w:space="0" w:color="auto"/>
                                <w:left w:val="none" w:sz="0" w:space="0" w:color="auto"/>
                                <w:bottom w:val="none" w:sz="0" w:space="0" w:color="auto"/>
                                <w:right w:val="none" w:sz="0" w:space="0" w:color="auto"/>
                              </w:divBdr>
                            </w:div>
                            <w:div w:id="1866214422">
                              <w:marLeft w:val="0"/>
                              <w:marRight w:val="0"/>
                              <w:marTop w:val="0"/>
                              <w:marBottom w:val="0"/>
                              <w:divBdr>
                                <w:top w:val="none" w:sz="0" w:space="0" w:color="auto"/>
                                <w:left w:val="none" w:sz="0" w:space="0" w:color="auto"/>
                                <w:bottom w:val="none" w:sz="0" w:space="0" w:color="auto"/>
                                <w:right w:val="none" w:sz="0" w:space="0" w:color="auto"/>
                              </w:divBdr>
                            </w:div>
                          </w:divsChild>
                        </w:div>
                        <w:div w:id="1685784334">
                          <w:marLeft w:val="0"/>
                          <w:marRight w:val="0"/>
                          <w:marTop w:val="0"/>
                          <w:marBottom w:val="0"/>
                          <w:divBdr>
                            <w:top w:val="none" w:sz="0" w:space="0" w:color="auto"/>
                            <w:left w:val="none" w:sz="0" w:space="0" w:color="auto"/>
                            <w:bottom w:val="none" w:sz="0" w:space="0" w:color="auto"/>
                            <w:right w:val="none" w:sz="0" w:space="0" w:color="auto"/>
                          </w:divBdr>
                          <w:divsChild>
                            <w:div w:id="1281298843">
                              <w:marLeft w:val="0"/>
                              <w:marRight w:val="0"/>
                              <w:marTop w:val="0"/>
                              <w:marBottom w:val="0"/>
                              <w:divBdr>
                                <w:top w:val="none" w:sz="0" w:space="0" w:color="auto"/>
                                <w:left w:val="none" w:sz="0" w:space="0" w:color="auto"/>
                                <w:bottom w:val="none" w:sz="0" w:space="0" w:color="auto"/>
                                <w:right w:val="none" w:sz="0" w:space="0" w:color="auto"/>
                              </w:divBdr>
                            </w:div>
                            <w:div w:id="17358590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4303646">
                  <w:marLeft w:val="0"/>
                  <w:marRight w:val="0"/>
                  <w:marTop w:val="0"/>
                  <w:marBottom w:val="0"/>
                  <w:divBdr>
                    <w:top w:val="none" w:sz="0" w:space="0" w:color="auto"/>
                    <w:left w:val="none" w:sz="0" w:space="0" w:color="auto"/>
                    <w:bottom w:val="none" w:sz="0" w:space="0" w:color="auto"/>
                    <w:right w:val="none" w:sz="0" w:space="0" w:color="auto"/>
                  </w:divBdr>
                  <w:divsChild>
                    <w:div w:id="176699334">
                      <w:marLeft w:val="0"/>
                      <w:marRight w:val="0"/>
                      <w:marTop w:val="120"/>
                      <w:marBottom w:val="0"/>
                      <w:divBdr>
                        <w:top w:val="none" w:sz="0" w:space="0" w:color="auto"/>
                        <w:left w:val="none" w:sz="0" w:space="0" w:color="auto"/>
                        <w:bottom w:val="none" w:sz="0" w:space="0" w:color="auto"/>
                        <w:right w:val="none" w:sz="0" w:space="0" w:color="auto"/>
                      </w:divBdr>
                    </w:div>
                    <w:div w:id="747653407">
                      <w:marLeft w:val="0"/>
                      <w:marRight w:val="0"/>
                      <w:marTop w:val="0"/>
                      <w:marBottom w:val="0"/>
                      <w:divBdr>
                        <w:top w:val="none" w:sz="0" w:space="0" w:color="auto"/>
                        <w:left w:val="none" w:sz="0" w:space="0" w:color="auto"/>
                        <w:bottom w:val="none" w:sz="0" w:space="0" w:color="auto"/>
                        <w:right w:val="none" w:sz="0" w:space="0" w:color="auto"/>
                      </w:divBdr>
                    </w:div>
                  </w:divsChild>
                </w:div>
                <w:div w:id="1569073118">
                  <w:marLeft w:val="0"/>
                  <w:marRight w:val="0"/>
                  <w:marTop w:val="0"/>
                  <w:marBottom w:val="0"/>
                  <w:divBdr>
                    <w:top w:val="none" w:sz="0" w:space="0" w:color="auto"/>
                    <w:left w:val="none" w:sz="0" w:space="0" w:color="auto"/>
                    <w:bottom w:val="none" w:sz="0" w:space="0" w:color="auto"/>
                    <w:right w:val="none" w:sz="0" w:space="0" w:color="auto"/>
                  </w:divBdr>
                  <w:divsChild>
                    <w:div w:id="1125002049">
                      <w:marLeft w:val="0"/>
                      <w:marRight w:val="0"/>
                      <w:marTop w:val="120"/>
                      <w:marBottom w:val="0"/>
                      <w:divBdr>
                        <w:top w:val="none" w:sz="0" w:space="0" w:color="auto"/>
                        <w:left w:val="none" w:sz="0" w:space="0" w:color="auto"/>
                        <w:bottom w:val="none" w:sz="0" w:space="0" w:color="auto"/>
                        <w:right w:val="none" w:sz="0" w:space="0" w:color="auto"/>
                      </w:divBdr>
                    </w:div>
                    <w:div w:id="1989364086">
                      <w:marLeft w:val="0"/>
                      <w:marRight w:val="0"/>
                      <w:marTop w:val="0"/>
                      <w:marBottom w:val="0"/>
                      <w:divBdr>
                        <w:top w:val="none" w:sz="0" w:space="0" w:color="auto"/>
                        <w:left w:val="none" w:sz="0" w:space="0" w:color="auto"/>
                        <w:bottom w:val="none" w:sz="0" w:space="0" w:color="auto"/>
                        <w:right w:val="none" w:sz="0" w:space="0" w:color="auto"/>
                      </w:divBdr>
                    </w:div>
                  </w:divsChild>
                </w:div>
                <w:div w:id="1588271402">
                  <w:marLeft w:val="0"/>
                  <w:marRight w:val="0"/>
                  <w:marTop w:val="0"/>
                  <w:marBottom w:val="0"/>
                  <w:divBdr>
                    <w:top w:val="none" w:sz="0" w:space="0" w:color="auto"/>
                    <w:left w:val="none" w:sz="0" w:space="0" w:color="auto"/>
                    <w:bottom w:val="none" w:sz="0" w:space="0" w:color="auto"/>
                    <w:right w:val="none" w:sz="0" w:space="0" w:color="auto"/>
                  </w:divBdr>
                  <w:divsChild>
                    <w:div w:id="1664621118">
                      <w:marLeft w:val="0"/>
                      <w:marRight w:val="0"/>
                      <w:marTop w:val="0"/>
                      <w:marBottom w:val="0"/>
                      <w:divBdr>
                        <w:top w:val="none" w:sz="0" w:space="0" w:color="auto"/>
                        <w:left w:val="none" w:sz="0" w:space="0" w:color="auto"/>
                        <w:bottom w:val="none" w:sz="0" w:space="0" w:color="auto"/>
                        <w:right w:val="none" w:sz="0" w:space="0" w:color="auto"/>
                      </w:divBdr>
                    </w:div>
                    <w:div w:id="18293191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43003323">
      <w:bodyDiv w:val="1"/>
      <w:marLeft w:val="0"/>
      <w:marRight w:val="0"/>
      <w:marTop w:val="0"/>
      <w:marBottom w:val="0"/>
      <w:divBdr>
        <w:top w:val="none" w:sz="0" w:space="0" w:color="auto"/>
        <w:left w:val="none" w:sz="0" w:space="0" w:color="auto"/>
        <w:bottom w:val="none" w:sz="0" w:space="0" w:color="auto"/>
        <w:right w:val="none" w:sz="0" w:space="0" w:color="auto"/>
      </w:divBdr>
      <w:divsChild>
        <w:div w:id="1769885679">
          <w:marLeft w:val="0"/>
          <w:marRight w:val="0"/>
          <w:marTop w:val="0"/>
          <w:marBottom w:val="0"/>
          <w:divBdr>
            <w:top w:val="none" w:sz="0" w:space="0" w:color="auto"/>
            <w:left w:val="none" w:sz="0" w:space="0" w:color="auto"/>
            <w:bottom w:val="none" w:sz="0" w:space="0" w:color="auto"/>
            <w:right w:val="none" w:sz="0" w:space="0" w:color="auto"/>
          </w:divBdr>
          <w:divsChild>
            <w:div w:id="23138922">
              <w:marLeft w:val="0"/>
              <w:marRight w:val="0"/>
              <w:marTop w:val="0"/>
              <w:marBottom w:val="0"/>
              <w:divBdr>
                <w:top w:val="none" w:sz="0" w:space="0" w:color="auto"/>
                <w:left w:val="none" w:sz="0" w:space="0" w:color="auto"/>
                <w:bottom w:val="none" w:sz="0" w:space="0" w:color="auto"/>
                <w:right w:val="none" w:sz="0" w:space="0" w:color="auto"/>
              </w:divBdr>
              <w:divsChild>
                <w:div w:id="137111685">
                  <w:marLeft w:val="0"/>
                  <w:marRight w:val="0"/>
                  <w:marTop w:val="0"/>
                  <w:marBottom w:val="0"/>
                  <w:divBdr>
                    <w:top w:val="none" w:sz="0" w:space="0" w:color="auto"/>
                    <w:left w:val="none" w:sz="0" w:space="0" w:color="auto"/>
                    <w:bottom w:val="none" w:sz="0" w:space="0" w:color="auto"/>
                    <w:right w:val="none" w:sz="0" w:space="0" w:color="auto"/>
                  </w:divBdr>
                </w:div>
                <w:div w:id="777288833">
                  <w:marLeft w:val="0"/>
                  <w:marRight w:val="0"/>
                  <w:marTop w:val="120"/>
                  <w:marBottom w:val="0"/>
                  <w:divBdr>
                    <w:top w:val="none" w:sz="0" w:space="0" w:color="auto"/>
                    <w:left w:val="none" w:sz="0" w:space="0" w:color="auto"/>
                    <w:bottom w:val="none" w:sz="0" w:space="0" w:color="auto"/>
                    <w:right w:val="none" w:sz="0" w:space="0" w:color="auto"/>
                  </w:divBdr>
                </w:div>
              </w:divsChild>
            </w:div>
            <w:div w:id="1001280279">
              <w:marLeft w:val="0"/>
              <w:marRight w:val="0"/>
              <w:marTop w:val="0"/>
              <w:marBottom w:val="0"/>
              <w:divBdr>
                <w:top w:val="none" w:sz="0" w:space="0" w:color="auto"/>
                <w:left w:val="none" w:sz="0" w:space="0" w:color="auto"/>
                <w:bottom w:val="none" w:sz="0" w:space="0" w:color="auto"/>
                <w:right w:val="none" w:sz="0" w:space="0" w:color="auto"/>
              </w:divBdr>
              <w:divsChild>
                <w:div w:id="377046569">
                  <w:marLeft w:val="0"/>
                  <w:marRight w:val="0"/>
                  <w:marTop w:val="0"/>
                  <w:marBottom w:val="0"/>
                  <w:divBdr>
                    <w:top w:val="none" w:sz="0" w:space="0" w:color="auto"/>
                    <w:left w:val="none" w:sz="0" w:space="0" w:color="auto"/>
                    <w:bottom w:val="none" w:sz="0" w:space="0" w:color="auto"/>
                    <w:right w:val="none" w:sz="0" w:space="0" w:color="auto"/>
                  </w:divBdr>
                </w:div>
                <w:div w:id="19725952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0869093">
      <w:bodyDiv w:val="1"/>
      <w:marLeft w:val="0"/>
      <w:marRight w:val="0"/>
      <w:marTop w:val="0"/>
      <w:marBottom w:val="0"/>
      <w:divBdr>
        <w:top w:val="none" w:sz="0" w:space="0" w:color="auto"/>
        <w:left w:val="none" w:sz="0" w:space="0" w:color="auto"/>
        <w:bottom w:val="none" w:sz="0" w:space="0" w:color="auto"/>
        <w:right w:val="none" w:sz="0" w:space="0" w:color="auto"/>
      </w:divBdr>
    </w:div>
    <w:div w:id="653753962">
      <w:bodyDiv w:val="1"/>
      <w:marLeft w:val="0"/>
      <w:marRight w:val="0"/>
      <w:marTop w:val="0"/>
      <w:marBottom w:val="0"/>
      <w:divBdr>
        <w:top w:val="none" w:sz="0" w:space="0" w:color="auto"/>
        <w:left w:val="none" w:sz="0" w:space="0" w:color="auto"/>
        <w:bottom w:val="none" w:sz="0" w:space="0" w:color="auto"/>
        <w:right w:val="none" w:sz="0" w:space="0" w:color="auto"/>
      </w:divBdr>
    </w:div>
    <w:div w:id="658121603">
      <w:bodyDiv w:val="1"/>
      <w:marLeft w:val="0"/>
      <w:marRight w:val="0"/>
      <w:marTop w:val="0"/>
      <w:marBottom w:val="0"/>
      <w:divBdr>
        <w:top w:val="none" w:sz="0" w:space="0" w:color="auto"/>
        <w:left w:val="none" w:sz="0" w:space="0" w:color="auto"/>
        <w:bottom w:val="none" w:sz="0" w:space="0" w:color="auto"/>
        <w:right w:val="none" w:sz="0" w:space="0" w:color="auto"/>
      </w:divBdr>
      <w:divsChild>
        <w:div w:id="1109617486">
          <w:marLeft w:val="0"/>
          <w:marRight w:val="0"/>
          <w:marTop w:val="0"/>
          <w:marBottom w:val="0"/>
          <w:divBdr>
            <w:top w:val="none" w:sz="0" w:space="0" w:color="auto"/>
            <w:left w:val="none" w:sz="0" w:space="0" w:color="auto"/>
            <w:bottom w:val="none" w:sz="0" w:space="0" w:color="auto"/>
            <w:right w:val="none" w:sz="0" w:space="0" w:color="auto"/>
          </w:divBdr>
          <w:divsChild>
            <w:div w:id="666901794">
              <w:marLeft w:val="0"/>
              <w:marRight w:val="0"/>
              <w:marTop w:val="0"/>
              <w:marBottom w:val="0"/>
              <w:divBdr>
                <w:top w:val="none" w:sz="0" w:space="0" w:color="auto"/>
                <w:left w:val="none" w:sz="0" w:space="0" w:color="auto"/>
                <w:bottom w:val="none" w:sz="0" w:space="0" w:color="auto"/>
                <w:right w:val="none" w:sz="0" w:space="0" w:color="auto"/>
              </w:divBdr>
              <w:divsChild>
                <w:div w:id="401567543">
                  <w:marLeft w:val="0"/>
                  <w:marRight w:val="0"/>
                  <w:marTop w:val="120"/>
                  <w:marBottom w:val="0"/>
                  <w:divBdr>
                    <w:top w:val="none" w:sz="0" w:space="0" w:color="auto"/>
                    <w:left w:val="none" w:sz="0" w:space="0" w:color="auto"/>
                    <w:bottom w:val="none" w:sz="0" w:space="0" w:color="auto"/>
                    <w:right w:val="none" w:sz="0" w:space="0" w:color="auto"/>
                  </w:divBdr>
                </w:div>
                <w:div w:id="627593618">
                  <w:marLeft w:val="0"/>
                  <w:marRight w:val="0"/>
                  <w:marTop w:val="120"/>
                  <w:marBottom w:val="0"/>
                  <w:divBdr>
                    <w:top w:val="none" w:sz="0" w:space="0" w:color="auto"/>
                    <w:left w:val="none" w:sz="0" w:space="0" w:color="auto"/>
                    <w:bottom w:val="none" w:sz="0" w:space="0" w:color="auto"/>
                    <w:right w:val="none" w:sz="0" w:space="0" w:color="auto"/>
                  </w:divBdr>
                </w:div>
                <w:div w:id="21444968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4070523">
          <w:marLeft w:val="0"/>
          <w:marRight w:val="0"/>
          <w:marTop w:val="0"/>
          <w:marBottom w:val="0"/>
          <w:divBdr>
            <w:top w:val="none" w:sz="0" w:space="0" w:color="auto"/>
            <w:left w:val="none" w:sz="0" w:space="0" w:color="auto"/>
            <w:bottom w:val="none" w:sz="0" w:space="0" w:color="auto"/>
            <w:right w:val="none" w:sz="0" w:space="0" w:color="auto"/>
          </w:divBdr>
          <w:divsChild>
            <w:div w:id="178129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4090">
      <w:bodyDiv w:val="1"/>
      <w:marLeft w:val="0"/>
      <w:marRight w:val="0"/>
      <w:marTop w:val="0"/>
      <w:marBottom w:val="0"/>
      <w:divBdr>
        <w:top w:val="none" w:sz="0" w:space="0" w:color="auto"/>
        <w:left w:val="none" w:sz="0" w:space="0" w:color="auto"/>
        <w:bottom w:val="none" w:sz="0" w:space="0" w:color="auto"/>
        <w:right w:val="none" w:sz="0" w:space="0" w:color="auto"/>
      </w:divBdr>
      <w:divsChild>
        <w:div w:id="1254779072">
          <w:marLeft w:val="0"/>
          <w:marRight w:val="0"/>
          <w:marTop w:val="0"/>
          <w:marBottom w:val="0"/>
          <w:divBdr>
            <w:top w:val="none" w:sz="0" w:space="0" w:color="auto"/>
            <w:left w:val="none" w:sz="0" w:space="0" w:color="auto"/>
            <w:bottom w:val="none" w:sz="0" w:space="0" w:color="auto"/>
            <w:right w:val="none" w:sz="0" w:space="0" w:color="auto"/>
          </w:divBdr>
          <w:divsChild>
            <w:div w:id="549923671">
              <w:marLeft w:val="0"/>
              <w:marRight w:val="0"/>
              <w:marTop w:val="0"/>
              <w:marBottom w:val="0"/>
              <w:divBdr>
                <w:top w:val="none" w:sz="0" w:space="0" w:color="auto"/>
                <w:left w:val="none" w:sz="0" w:space="0" w:color="auto"/>
                <w:bottom w:val="none" w:sz="0" w:space="0" w:color="auto"/>
                <w:right w:val="none" w:sz="0" w:space="0" w:color="auto"/>
              </w:divBdr>
              <w:divsChild>
                <w:div w:id="160510670">
                  <w:marLeft w:val="0"/>
                  <w:marRight w:val="0"/>
                  <w:marTop w:val="0"/>
                  <w:marBottom w:val="0"/>
                  <w:divBdr>
                    <w:top w:val="none" w:sz="0" w:space="0" w:color="auto"/>
                    <w:left w:val="none" w:sz="0" w:space="0" w:color="auto"/>
                    <w:bottom w:val="none" w:sz="0" w:space="0" w:color="auto"/>
                    <w:right w:val="none" w:sz="0" w:space="0" w:color="auto"/>
                  </w:divBdr>
                  <w:divsChild>
                    <w:div w:id="189877400">
                      <w:marLeft w:val="0"/>
                      <w:marRight w:val="0"/>
                      <w:marTop w:val="0"/>
                      <w:marBottom w:val="0"/>
                      <w:divBdr>
                        <w:top w:val="none" w:sz="0" w:space="0" w:color="auto"/>
                        <w:left w:val="none" w:sz="0" w:space="0" w:color="auto"/>
                        <w:bottom w:val="none" w:sz="0" w:space="0" w:color="auto"/>
                        <w:right w:val="none" w:sz="0" w:space="0" w:color="auto"/>
                      </w:divBdr>
                    </w:div>
                    <w:div w:id="1392391148">
                      <w:marLeft w:val="0"/>
                      <w:marRight w:val="0"/>
                      <w:marTop w:val="120"/>
                      <w:marBottom w:val="0"/>
                      <w:divBdr>
                        <w:top w:val="none" w:sz="0" w:space="0" w:color="auto"/>
                        <w:left w:val="none" w:sz="0" w:space="0" w:color="auto"/>
                        <w:bottom w:val="none" w:sz="0" w:space="0" w:color="auto"/>
                        <w:right w:val="none" w:sz="0" w:space="0" w:color="auto"/>
                      </w:divBdr>
                    </w:div>
                  </w:divsChild>
                </w:div>
                <w:div w:id="2020889827">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 w:id="12084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6723">
          <w:marLeft w:val="0"/>
          <w:marRight w:val="0"/>
          <w:marTop w:val="0"/>
          <w:marBottom w:val="0"/>
          <w:divBdr>
            <w:top w:val="none" w:sz="0" w:space="0" w:color="auto"/>
            <w:left w:val="none" w:sz="0" w:space="0" w:color="auto"/>
            <w:bottom w:val="none" w:sz="0" w:space="0" w:color="auto"/>
            <w:right w:val="none" w:sz="0" w:space="0" w:color="auto"/>
          </w:divBdr>
          <w:divsChild>
            <w:div w:id="1765102076">
              <w:marLeft w:val="0"/>
              <w:marRight w:val="0"/>
              <w:marTop w:val="0"/>
              <w:marBottom w:val="0"/>
              <w:divBdr>
                <w:top w:val="none" w:sz="0" w:space="0" w:color="auto"/>
                <w:left w:val="none" w:sz="0" w:space="0" w:color="auto"/>
                <w:bottom w:val="none" w:sz="0" w:space="0" w:color="auto"/>
                <w:right w:val="none" w:sz="0" w:space="0" w:color="auto"/>
              </w:divBdr>
            </w:div>
          </w:divsChild>
        </w:div>
        <w:div w:id="1584221085">
          <w:marLeft w:val="0"/>
          <w:marRight w:val="0"/>
          <w:marTop w:val="0"/>
          <w:marBottom w:val="0"/>
          <w:divBdr>
            <w:top w:val="none" w:sz="0" w:space="0" w:color="auto"/>
            <w:left w:val="none" w:sz="0" w:space="0" w:color="auto"/>
            <w:bottom w:val="none" w:sz="0" w:space="0" w:color="auto"/>
            <w:right w:val="none" w:sz="0" w:space="0" w:color="auto"/>
          </w:divBdr>
          <w:divsChild>
            <w:div w:id="1702779976">
              <w:marLeft w:val="0"/>
              <w:marRight w:val="0"/>
              <w:marTop w:val="0"/>
              <w:marBottom w:val="0"/>
              <w:divBdr>
                <w:top w:val="none" w:sz="0" w:space="0" w:color="auto"/>
                <w:left w:val="none" w:sz="0" w:space="0" w:color="auto"/>
                <w:bottom w:val="none" w:sz="0" w:space="0" w:color="auto"/>
                <w:right w:val="none" w:sz="0" w:space="0" w:color="auto"/>
              </w:divBdr>
            </w:div>
          </w:divsChild>
        </w:div>
        <w:div w:id="1640571028">
          <w:marLeft w:val="0"/>
          <w:marRight w:val="0"/>
          <w:marTop w:val="0"/>
          <w:marBottom w:val="0"/>
          <w:divBdr>
            <w:top w:val="none" w:sz="0" w:space="0" w:color="auto"/>
            <w:left w:val="none" w:sz="0" w:space="0" w:color="auto"/>
            <w:bottom w:val="none" w:sz="0" w:space="0" w:color="auto"/>
            <w:right w:val="none" w:sz="0" w:space="0" w:color="auto"/>
          </w:divBdr>
          <w:divsChild>
            <w:div w:id="2087454733">
              <w:marLeft w:val="0"/>
              <w:marRight w:val="0"/>
              <w:marTop w:val="0"/>
              <w:marBottom w:val="0"/>
              <w:divBdr>
                <w:top w:val="none" w:sz="0" w:space="0" w:color="auto"/>
                <w:left w:val="none" w:sz="0" w:space="0" w:color="auto"/>
                <w:bottom w:val="none" w:sz="0" w:space="0" w:color="auto"/>
                <w:right w:val="none" w:sz="0" w:space="0" w:color="auto"/>
              </w:divBdr>
              <w:divsChild>
                <w:div w:id="240649675">
                  <w:marLeft w:val="0"/>
                  <w:marRight w:val="0"/>
                  <w:marTop w:val="0"/>
                  <w:marBottom w:val="0"/>
                  <w:divBdr>
                    <w:top w:val="none" w:sz="0" w:space="0" w:color="auto"/>
                    <w:left w:val="none" w:sz="0" w:space="0" w:color="auto"/>
                    <w:bottom w:val="none" w:sz="0" w:space="0" w:color="auto"/>
                    <w:right w:val="none" w:sz="0" w:space="0" w:color="auto"/>
                  </w:divBdr>
                  <w:divsChild>
                    <w:div w:id="568883182">
                      <w:marLeft w:val="0"/>
                      <w:marRight w:val="0"/>
                      <w:marTop w:val="0"/>
                      <w:marBottom w:val="0"/>
                      <w:divBdr>
                        <w:top w:val="none" w:sz="0" w:space="0" w:color="auto"/>
                        <w:left w:val="none" w:sz="0" w:space="0" w:color="auto"/>
                        <w:bottom w:val="none" w:sz="0" w:space="0" w:color="auto"/>
                        <w:right w:val="none" w:sz="0" w:space="0" w:color="auto"/>
                      </w:divBdr>
                    </w:div>
                    <w:div w:id="1400782179">
                      <w:marLeft w:val="0"/>
                      <w:marRight w:val="0"/>
                      <w:marTop w:val="120"/>
                      <w:marBottom w:val="0"/>
                      <w:divBdr>
                        <w:top w:val="none" w:sz="0" w:space="0" w:color="auto"/>
                        <w:left w:val="none" w:sz="0" w:space="0" w:color="auto"/>
                        <w:bottom w:val="none" w:sz="0" w:space="0" w:color="auto"/>
                        <w:right w:val="none" w:sz="0" w:space="0" w:color="auto"/>
                      </w:divBdr>
                    </w:div>
                  </w:divsChild>
                </w:div>
                <w:div w:id="529682765">
                  <w:marLeft w:val="0"/>
                  <w:marRight w:val="0"/>
                  <w:marTop w:val="0"/>
                  <w:marBottom w:val="0"/>
                  <w:divBdr>
                    <w:top w:val="none" w:sz="0" w:space="0" w:color="auto"/>
                    <w:left w:val="none" w:sz="0" w:space="0" w:color="auto"/>
                    <w:bottom w:val="none" w:sz="0" w:space="0" w:color="auto"/>
                    <w:right w:val="none" w:sz="0" w:space="0" w:color="auto"/>
                  </w:divBdr>
                  <w:divsChild>
                    <w:div w:id="1011376619">
                      <w:marLeft w:val="0"/>
                      <w:marRight w:val="0"/>
                      <w:marTop w:val="0"/>
                      <w:marBottom w:val="0"/>
                      <w:divBdr>
                        <w:top w:val="none" w:sz="0" w:space="0" w:color="auto"/>
                        <w:left w:val="none" w:sz="0" w:space="0" w:color="auto"/>
                        <w:bottom w:val="none" w:sz="0" w:space="0" w:color="auto"/>
                        <w:right w:val="none" w:sz="0" w:space="0" w:color="auto"/>
                      </w:divBdr>
                    </w:div>
                    <w:div w:id="1289970086">
                      <w:marLeft w:val="0"/>
                      <w:marRight w:val="0"/>
                      <w:marTop w:val="120"/>
                      <w:marBottom w:val="0"/>
                      <w:divBdr>
                        <w:top w:val="none" w:sz="0" w:space="0" w:color="auto"/>
                        <w:left w:val="none" w:sz="0" w:space="0" w:color="auto"/>
                        <w:bottom w:val="none" w:sz="0" w:space="0" w:color="auto"/>
                        <w:right w:val="none" w:sz="0" w:space="0" w:color="auto"/>
                      </w:divBdr>
                    </w:div>
                  </w:divsChild>
                </w:div>
                <w:div w:id="575282499">
                  <w:marLeft w:val="0"/>
                  <w:marRight w:val="0"/>
                  <w:marTop w:val="0"/>
                  <w:marBottom w:val="0"/>
                  <w:divBdr>
                    <w:top w:val="none" w:sz="0" w:space="0" w:color="auto"/>
                    <w:left w:val="none" w:sz="0" w:space="0" w:color="auto"/>
                    <w:bottom w:val="none" w:sz="0" w:space="0" w:color="auto"/>
                    <w:right w:val="none" w:sz="0" w:space="0" w:color="auto"/>
                  </w:divBdr>
                  <w:divsChild>
                    <w:div w:id="26100825">
                      <w:marLeft w:val="0"/>
                      <w:marRight w:val="0"/>
                      <w:marTop w:val="0"/>
                      <w:marBottom w:val="0"/>
                      <w:divBdr>
                        <w:top w:val="none" w:sz="0" w:space="0" w:color="auto"/>
                        <w:left w:val="none" w:sz="0" w:space="0" w:color="auto"/>
                        <w:bottom w:val="none" w:sz="0" w:space="0" w:color="auto"/>
                        <w:right w:val="none" w:sz="0" w:space="0" w:color="auto"/>
                      </w:divBdr>
                    </w:div>
                    <w:div w:id="1125001449">
                      <w:marLeft w:val="0"/>
                      <w:marRight w:val="0"/>
                      <w:marTop w:val="120"/>
                      <w:marBottom w:val="0"/>
                      <w:divBdr>
                        <w:top w:val="none" w:sz="0" w:space="0" w:color="auto"/>
                        <w:left w:val="none" w:sz="0" w:space="0" w:color="auto"/>
                        <w:bottom w:val="none" w:sz="0" w:space="0" w:color="auto"/>
                        <w:right w:val="none" w:sz="0" w:space="0" w:color="auto"/>
                      </w:divBdr>
                    </w:div>
                  </w:divsChild>
                </w:div>
                <w:div w:id="919291268">
                  <w:marLeft w:val="0"/>
                  <w:marRight w:val="0"/>
                  <w:marTop w:val="0"/>
                  <w:marBottom w:val="0"/>
                  <w:divBdr>
                    <w:top w:val="none" w:sz="0" w:space="0" w:color="auto"/>
                    <w:left w:val="none" w:sz="0" w:space="0" w:color="auto"/>
                    <w:bottom w:val="none" w:sz="0" w:space="0" w:color="auto"/>
                    <w:right w:val="none" w:sz="0" w:space="0" w:color="auto"/>
                  </w:divBdr>
                  <w:divsChild>
                    <w:div w:id="240529077">
                      <w:marLeft w:val="0"/>
                      <w:marRight w:val="0"/>
                      <w:marTop w:val="120"/>
                      <w:marBottom w:val="0"/>
                      <w:divBdr>
                        <w:top w:val="none" w:sz="0" w:space="0" w:color="auto"/>
                        <w:left w:val="none" w:sz="0" w:space="0" w:color="auto"/>
                        <w:bottom w:val="none" w:sz="0" w:space="0" w:color="auto"/>
                        <w:right w:val="none" w:sz="0" w:space="0" w:color="auto"/>
                      </w:divBdr>
                    </w:div>
                    <w:div w:id="1821143920">
                      <w:marLeft w:val="0"/>
                      <w:marRight w:val="0"/>
                      <w:marTop w:val="0"/>
                      <w:marBottom w:val="0"/>
                      <w:divBdr>
                        <w:top w:val="none" w:sz="0" w:space="0" w:color="auto"/>
                        <w:left w:val="none" w:sz="0" w:space="0" w:color="auto"/>
                        <w:bottom w:val="none" w:sz="0" w:space="0" w:color="auto"/>
                        <w:right w:val="none" w:sz="0" w:space="0" w:color="auto"/>
                      </w:divBdr>
                    </w:div>
                  </w:divsChild>
                </w:div>
                <w:div w:id="1511945496">
                  <w:marLeft w:val="0"/>
                  <w:marRight w:val="0"/>
                  <w:marTop w:val="0"/>
                  <w:marBottom w:val="0"/>
                  <w:divBdr>
                    <w:top w:val="none" w:sz="0" w:space="0" w:color="auto"/>
                    <w:left w:val="none" w:sz="0" w:space="0" w:color="auto"/>
                    <w:bottom w:val="none" w:sz="0" w:space="0" w:color="auto"/>
                    <w:right w:val="none" w:sz="0" w:space="0" w:color="auto"/>
                  </w:divBdr>
                  <w:divsChild>
                    <w:div w:id="113401338">
                      <w:marLeft w:val="0"/>
                      <w:marRight w:val="0"/>
                      <w:marTop w:val="0"/>
                      <w:marBottom w:val="0"/>
                      <w:divBdr>
                        <w:top w:val="none" w:sz="0" w:space="0" w:color="auto"/>
                        <w:left w:val="none" w:sz="0" w:space="0" w:color="auto"/>
                        <w:bottom w:val="none" w:sz="0" w:space="0" w:color="auto"/>
                        <w:right w:val="none" w:sz="0" w:space="0" w:color="auto"/>
                      </w:divBdr>
                    </w:div>
                    <w:div w:id="808522059">
                      <w:marLeft w:val="0"/>
                      <w:marRight w:val="0"/>
                      <w:marTop w:val="120"/>
                      <w:marBottom w:val="0"/>
                      <w:divBdr>
                        <w:top w:val="none" w:sz="0" w:space="0" w:color="auto"/>
                        <w:left w:val="none" w:sz="0" w:space="0" w:color="auto"/>
                        <w:bottom w:val="none" w:sz="0" w:space="0" w:color="auto"/>
                        <w:right w:val="none" w:sz="0" w:space="0" w:color="auto"/>
                      </w:divBdr>
                    </w:div>
                  </w:divsChild>
                </w:div>
                <w:div w:id="1785924673">
                  <w:marLeft w:val="0"/>
                  <w:marRight w:val="0"/>
                  <w:marTop w:val="0"/>
                  <w:marBottom w:val="0"/>
                  <w:divBdr>
                    <w:top w:val="none" w:sz="0" w:space="0" w:color="auto"/>
                    <w:left w:val="none" w:sz="0" w:space="0" w:color="auto"/>
                    <w:bottom w:val="none" w:sz="0" w:space="0" w:color="auto"/>
                    <w:right w:val="none" w:sz="0" w:space="0" w:color="auto"/>
                  </w:divBdr>
                  <w:divsChild>
                    <w:div w:id="611859128">
                      <w:marLeft w:val="0"/>
                      <w:marRight w:val="0"/>
                      <w:marTop w:val="120"/>
                      <w:marBottom w:val="0"/>
                      <w:divBdr>
                        <w:top w:val="none" w:sz="0" w:space="0" w:color="auto"/>
                        <w:left w:val="none" w:sz="0" w:space="0" w:color="auto"/>
                        <w:bottom w:val="none" w:sz="0" w:space="0" w:color="auto"/>
                        <w:right w:val="none" w:sz="0" w:space="0" w:color="auto"/>
                      </w:divBdr>
                    </w:div>
                    <w:div w:id="101904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2999">
          <w:marLeft w:val="0"/>
          <w:marRight w:val="0"/>
          <w:marTop w:val="0"/>
          <w:marBottom w:val="0"/>
          <w:divBdr>
            <w:top w:val="none" w:sz="0" w:space="0" w:color="auto"/>
            <w:left w:val="none" w:sz="0" w:space="0" w:color="auto"/>
            <w:bottom w:val="none" w:sz="0" w:space="0" w:color="auto"/>
            <w:right w:val="none" w:sz="0" w:space="0" w:color="auto"/>
          </w:divBdr>
          <w:divsChild>
            <w:div w:id="1679426730">
              <w:marLeft w:val="0"/>
              <w:marRight w:val="0"/>
              <w:marTop w:val="0"/>
              <w:marBottom w:val="0"/>
              <w:divBdr>
                <w:top w:val="none" w:sz="0" w:space="0" w:color="auto"/>
                <w:left w:val="none" w:sz="0" w:space="0" w:color="auto"/>
                <w:bottom w:val="none" w:sz="0" w:space="0" w:color="auto"/>
                <w:right w:val="none" w:sz="0" w:space="0" w:color="auto"/>
              </w:divBdr>
              <w:divsChild>
                <w:div w:id="1399742607">
                  <w:marLeft w:val="0"/>
                  <w:marRight w:val="0"/>
                  <w:marTop w:val="0"/>
                  <w:marBottom w:val="0"/>
                  <w:divBdr>
                    <w:top w:val="none" w:sz="0" w:space="0" w:color="auto"/>
                    <w:left w:val="none" w:sz="0" w:space="0" w:color="auto"/>
                    <w:bottom w:val="none" w:sz="0" w:space="0" w:color="auto"/>
                    <w:right w:val="none" w:sz="0" w:space="0" w:color="auto"/>
                  </w:divBdr>
                  <w:divsChild>
                    <w:div w:id="984163212">
                      <w:marLeft w:val="0"/>
                      <w:marRight w:val="0"/>
                      <w:marTop w:val="0"/>
                      <w:marBottom w:val="0"/>
                      <w:divBdr>
                        <w:top w:val="none" w:sz="0" w:space="0" w:color="auto"/>
                        <w:left w:val="none" w:sz="0" w:space="0" w:color="auto"/>
                        <w:bottom w:val="none" w:sz="0" w:space="0" w:color="auto"/>
                        <w:right w:val="none" w:sz="0" w:space="0" w:color="auto"/>
                      </w:divBdr>
                    </w:div>
                    <w:div w:id="1066605354">
                      <w:marLeft w:val="0"/>
                      <w:marRight w:val="0"/>
                      <w:marTop w:val="120"/>
                      <w:marBottom w:val="0"/>
                      <w:divBdr>
                        <w:top w:val="none" w:sz="0" w:space="0" w:color="auto"/>
                        <w:left w:val="none" w:sz="0" w:space="0" w:color="auto"/>
                        <w:bottom w:val="none" w:sz="0" w:space="0" w:color="auto"/>
                        <w:right w:val="none" w:sz="0" w:space="0" w:color="auto"/>
                      </w:divBdr>
                    </w:div>
                  </w:divsChild>
                </w:div>
                <w:div w:id="2054037825">
                  <w:marLeft w:val="0"/>
                  <w:marRight w:val="0"/>
                  <w:marTop w:val="0"/>
                  <w:marBottom w:val="0"/>
                  <w:divBdr>
                    <w:top w:val="none" w:sz="0" w:space="0" w:color="auto"/>
                    <w:left w:val="none" w:sz="0" w:space="0" w:color="auto"/>
                    <w:bottom w:val="none" w:sz="0" w:space="0" w:color="auto"/>
                    <w:right w:val="none" w:sz="0" w:space="0" w:color="auto"/>
                  </w:divBdr>
                  <w:divsChild>
                    <w:div w:id="388039453">
                      <w:marLeft w:val="0"/>
                      <w:marRight w:val="0"/>
                      <w:marTop w:val="0"/>
                      <w:marBottom w:val="0"/>
                      <w:divBdr>
                        <w:top w:val="none" w:sz="0" w:space="0" w:color="auto"/>
                        <w:left w:val="none" w:sz="0" w:space="0" w:color="auto"/>
                        <w:bottom w:val="none" w:sz="0" w:space="0" w:color="auto"/>
                        <w:right w:val="none" w:sz="0" w:space="0" w:color="auto"/>
                      </w:divBdr>
                    </w:div>
                    <w:div w:id="2091613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86443158">
      <w:bodyDiv w:val="1"/>
      <w:marLeft w:val="0"/>
      <w:marRight w:val="0"/>
      <w:marTop w:val="0"/>
      <w:marBottom w:val="0"/>
      <w:divBdr>
        <w:top w:val="none" w:sz="0" w:space="0" w:color="auto"/>
        <w:left w:val="none" w:sz="0" w:space="0" w:color="auto"/>
        <w:bottom w:val="none" w:sz="0" w:space="0" w:color="auto"/>
        <w:right w:val="none" w:sz="0" w:space="0" w:color="auto"/>
      </w:divBdr>
      <w:divsChild>
        <w:div w:id="1210342357">
          <w:marLeft w:val="0"/>
          <w:marRight w:val="0"/>
          <w:marTop w:val="0"/>
          <w:marBottom w:val="0"/>
          <w:divBdr>
            <w:top w:val="none" w:sz="0" w:space="0" w:color="auto"/>
            <w:left w:val="none" w:sz="0" w:space="0" w:color="auto"/>
            <w:bottom w:val="none" w:sz="0" w:space="0" w:color="auto"/>
            <w:right w:val="none" w:sz="0" w:space="0" w:color="auto"/>
          </w:divBdr>
          <w:divsChild>
            <w:div w:id="200671643">
              <w:marLeft w:val="0"/>
              <w:marRight w:val="0"/>
              <w:marTop w:val="0"/>
              <w:marBottom w:val="0"/>
              <w:divBdr>
                <w:top w:val="none" w:sz="0" w:space="0" w:color="auto"/>
                <w:left w:val="none" w:sz="0" w:space="0" w:color="auto"/>
                <w:bottom w:val="none" w:sz="0" w:space="0" w:color="auto"/>
                <w:right w:val="none" w:sz="0" w:space="0" w:color="auto"/>
              </w:divBdr>
              <w:divsChild>
                <w:div w:id="60179222">
                  <w:marLeft w:val="0"/>
                  <w:marRight w:val="0"/>
                  <w:marTop w:val="120"/>
                  <w:marBottom w:val="0"/>
                  <w:divBdr>
                    <w:top w:val="none" w:sz="0" w:space="0" w:color="auto"/>
                    <w:left w:val="none" w:sz="0" w:space="0" w:color="auto"/>
                    <w:bottom w:val="none" w:sz="0" w:space="0" w:color="auto"/>
                    <w:right w:val="none" w:sz="0" w:space="0" w:color="auto"/>
                  </w:divBdr>
                </w:div>
                <w:div w:id="778644914">
                  <w:marLeft w:val="0"/>
                  <w:marRight w:val="0"/>
                  <w:marTop w:val="0"/>
                  <w:marBottom w:val="0"/>
                  <w:divBdr>
                    <w:top w:val="none" w:sz="0" w:space="0" w:color="auto"/>
                    <w:left w:val="none" w:sz="0" w:space="0" w:color="auto"/>
                    <w:bottom w:val="none" w:sz="0" w:space="0" w:color="auto"/>
                    <w:right w:val="none" w:sz="0" w:space="0" w:color="auto"/>
                  </w:divBdr>
                </w:div>
              </w:divsChild>
            </w:div>
            <w:div w:id="743843784">
              <w:marLeft w:val="0"/>
              <w:marRight w:val="0"/>
              <w:marTop w:val="0"/>
              <w:marBottom w:val="0"/>
              <w:divBdr>
                <w:top w:val="none" w:sz="0" w:space="0" w:color="auto"/>
                <w:left w:val="none" w:sz="0" w:space="0" w:color="auto"/>
                <w:bottom w:val="none" w:sz="0" w:space="0" w:color="auto"/>
                <w:right w:val="none" w:sz="0" w:space="0" w:color="auto"/>
              </w:divBdr>
              <w:divsChild>
                <w:div w:id="1283340783">
                  <w:marLeft w:val="0"/>
                  <w:marRight w:val="0"/>
                  <w:marTop w:val="0"/>
                  <w:marBottom w:val="0"/>
                  <w:divBdr>
                    <w:top w:val="none" w:sz="0" w:space="0" w:color="auto"/>
                    <w:left w:val="none" w:sz="0" w:space="0" w:color="auto"/>
                    <w:bottom w:val="none" w:sz="0" w:space="0" w:color="auto"/>
                    <w:right w:val="none" w:sz="0" w:space="0" w:color="auto"/>
                  </w:divBdr>
                </w:div>
                <w:div w:id="1592202844">
                  <w:marLeft w:val="0"/>
                  <w:marRight w:val="0"/>
                  <w:marTop w:val="120"/>
                  <w:marBottom w:val="0"/>
                  <w:divBdr>
                    <w:top w:val="none" w:sz="0" w:space="0" w:color="auto"/>
                    <w:left w:val="none" w:sz="0" w:space="0" w:color="auto"/>
                    <w:bottom w:val="none" w:sz="0" w:space="0" w:color="auto"/>
                    <w:right w:val="none" w:sz="0" w:space="0" w:color="auto"/>
                  </w:divBdr>
                </w:div>
              </w:divsChild>
            </w:div>
            <w:div w:id="1186404765">
              <w:marLeft w:val="0"/>
              <w:marRight w:val="0"/>
              <w:marTop w:val="0"/>
              <w:marBottom w:val="0"/>
              <w:divBdr>
                <w:top w:val="none" w:sz="0" w:space="0" w:color="auto"/>
                <w:left w:val="none" w:sz="0" w:space="0" w:color="auto"/>
                <w:bottom w:val="none" w:sz="0" w:space="0" w:color="auto"/>
                <w:right w:val="none" w:sz="0" w:space="0" w:color="auto"/>
              </w:divBdr>
              <w:divsChild>
                <w:div w:id="729427312">
                  <w:marLeft w:val="0"/>
                  <w:marRight w:val="0"/>
                  <w:marTop w:val="0"/>
                  <w:marBottom w:val="0"/>
                  <w:divBdr>
                    <w:top w:val="none" w:sz="0" w:space="0" w:color="auto"/>
                    <w:left w:val="none" w:sz="0" w:space="0" w:color="auto"/>
                    <w:bottom w:val="none" w:sz="0" w:space="0" w:color="auto"/>
                    <w:right w:val="none" w:sz="0" w:space="0" w:color="auto"/>
                  </w:divBdr>
                </w:div>
                <w:div w:id="840123274">
                  <w:marLeft w:val="0"/>
                  <w:marRight w:val="0"/>
                  <w:marTop w:val="120"/>
                  <w:marBottom w:val="0"/>
                  <w:divBdr>
                    <w:top w:val="none" w:sz="0" w:space="0" w:color="auto"/>
                    <w:left w:val="none" w:sz="0" w:space="0" w:color="auto"/>
                    <w:bottom w:val="none" w:sz="0" w:space="0" w:color="auto"/>
                    <w:right w:val="none" w:sz="0" w:space="0" w:color="auto"/>
                  </w:divBdr>
                </w:div>
              </w:divsChild>
            </w:div>
            <w:div w:id="1229073510">
              <w:marLeft w:val="0"/>
              <w:marRight w:val="0"/>
              <w:marTop w:val="0"/>
              <w:marBottom w:val="0"/>
              <w:divBdr>
                <w:top w:val="none" w:sz="0" w:space="0" w:color="auto"/>
                <w:left w:val="none" w:sz="0" w:space="0" w:color="auto"/>
                <w:bottom w:val="none" w:sz="0" w:space="0" w:color="auto"/>
                <w:right w:val="none" w:sz="0" w:space="0" w:color="auto"/>
              </w:divBdr>
              <w:divsChild>
                <w:div w:id="733964130">
                  <w:marLeft w:val="0"/>
                  <w:marRight w:val="0"/>
                  <w:marTop w:val="0"/>
                  <w:marBottom w:val="0"/>
                  <w:divBdr>
                    <w:top w:val="none" w:sz="0" w:space="0" w:color="auto"/>
                    <w:left w:val="none" w:sz="0" w:space="0" w:color="auto"/>
                    <w:bottom w:val="none" w:sz="0" w:space="0" w:color="auto"/>
                    <w:right w:val="none" w:sz="0" w:space="0" w:color="auto"/>
                  </w:divBdr>
                </w:div>
                <w:div w:id="793864010">
                  <w:marLeft w:val="0"/>
                  <w:marRight w:val="0"/>
                  <w:marTop w:val="120"/>
                  <w:marBottom w:val="0"/>
                  <w:divBdr>
                    <w:top w:val="none" w:sz="0" w:space="0" w:color="auto"/>
                    <w:left w:val="none" w:sz="0" w:space="0" w:color="auto"/>
                    <w:bottom w:val="none" w:sz="0" w:space="0" w:color="auto"/>
                    <w:right w:val="none" w:sz="0" w:space="0" w:color="auto"/>
                  </w:divBdr>
                </w:div>
              </w:divsChild>
            </w:div>
            <w:div w:id="1627659498">
              <w:marLeft w:val="0"/>
              <w:marRight w:val="0"/>
              <w:marTop w:val="0"/>
              <w:marBottom w:val="0"/>
              <w:divBdr>
                <w:top w:val="none" w:sz="0" w:space="0" w:color="auto"/>
                <w:left w:val="none" w:sz="0" w:space="0" w:color="auto"/>
                <w:bottom w:val="none" w:sz="0" w:space="0" w:color="auto"/>
                <w:right w:val="none" w:sz="0" w:space="0" w:color="auto"/>
              </w:divBdr>
              <w:divsChild>
                <w:div w:id="494806885">
                  <w:marLeft w:val="0"/>
                  <w:marRight w:val="0"/>
                  <w:marTop w:val="0"/>
                  <w:marBottom w:val="0"/>
                  <w:divBdr>
                    <w:top w:val="none" w:sz="0" w:space="0" w:color="auto"/>
                    <w:left w:val="none" w:sz="0" w:space="0" w:color="auto"/>
                    <w:bottom w:val="none" w:sz="0" w:space="0" w:color="auto"/>
                    <w:right w:val="none" w:sz="0" w:space="0" w:color="auto"/>
                  </w:divBdr>
                </w:div>
                <w:div w:id="17900021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6713246">
      <w:bodyDiv w:val="1"/>
      <w:marLeft w:val="0"/>
      <w:marRight w:val="0"/>
      <w:marTop w:val="0"/>
      <w:marBottom w:val="0"/>
      <w:divBdr>
        <w:top w:val="none" w:sz="0" w:space="0" w:color="auto"/>
        <w:left w:val="none" w:sz="0" w:space="0" w:color="auto"/>
        <w:bottom w:val="none" w:sz="0" w:space="0" w:color="auto"/>
        <w:right w:val="none" w:sz="0" w:space="0" w:color="auto"/>
      </w:divBdr>
    </w:div>
    <w:div w:id="705368380">
      <w:bodyDiv w:val="1"/>
      <w:marLeft w:val="0"/>
      <w:marRight w:val="0"/>
      <w:marTop w:val="0"/>
      <w:marBottom w:val="0"/>
      <w:divBdr>
        <w:top w:val="none" w:sz="0" w:space="0" w:color="auto"/>
        <w:left w:val="none" w:sz="0" w:space="0" w:color="auto"/>
        <w:bottom w:val="none" w:sz="0" w:space="0" w:color="auto"/>
        <w:right w:val="none" w:sz="0" w:space="0" w:color="auto"/>
      </w:divBdr>
    </w:div>
    <w:div w:id="716592579">
      <w:bodyDiv w:val="1"/>
      <w:marLeft w:val="0"/>
      <w:marRight w:val="0"/>
      <w:marTop w:val="0"/>
      <w:marBottom w:val="0"/>
      <w:divBdr>
        <w:top w:val="none" w:sz="0" w:space="0" w:color="auto"/>
        <w:left w:val="none" w:sz="0" w:space="0" w:color="auto"/>
        <w:bottom w:val="none" w:sz="0" w:space="0" w:color="auto"/>
        <w:right w:val="none" w:sz="0" w:space="0" w:color="auto"/>
      </w:divBdr>
      <w:divsChild>
        <w:div w:id="688869341">
          <w:marLeft w:val="0"/>
          <w:marRight w:val="0"/>
          <w:marTop w:val="120"/>
          <w:marBottom w:val="0"/>
          <w:divBdr>
            <w:top w:val="none" w:sz="0" w:space="0" w:color="auto"/>
            <w:left w:val="none" w:sz="0" w:space="0" w:color="auto"/>
            <w:bottom w:val="none" w:sz="0" w:space="0" w:color="auto"/>
            <w:right w:val="none" w:sz="0" w:space="0" w:color="auto"/>
          </w:divBdr>
        </w:div>
        <w:div w:id="1698967803">
          <w:marLeft w:val="0"/>
          <w:marRight w:val="0"/>
          <w:marTop w:val="0"/>
          <w:marBottom w:val="0"/>
          <w:divBdr>
            <w:top w:val="none" w:sz="0" w:space="0" w:color="auto"/>
            <w:left w:val="none" w:sz="0" w:space="0" w:color="auto"/>
            <w:bottom w:val="none" w:sz="0" w:space="0" w:color="auto"/>
            <w:right w:val="none" w:sz="0" w:space="0" w:color="auto"/>
          </w:divBdr>
        </w:div>
      </w:divsChild>
    </w:div>
    <w:div w:id="721488198">
      <w:bodyDiv w:val="1"/>
      <w:marLeft w:val="0"/>
      <w:marRight w:val="0"/>
      <w:marTop w:val="0"/>
      <w:marBottom w:val="0"/>
      <w:divBdr>
        <w:top w:val="none" w:sz="0" w:space="0" w:color="auto"/>
        <w:left w:val="none" w:sz="0" w:space="0" w:color="auto"/>
        <w:bottom w:val="none" w:sz="0" w:space="0" w:color="auto"/>
        <w:right w:val="none" w:sz="0" w:space="0" w:color="auto"/>
      </w:divBdr>
    </w:div>
    <w:div w:id="722098239">
      <w:bodyDiv w:val="1"/>
      <w:marLeft w:val="0"/>
      <w:marRight w:val="0"/>
      <w:marTop w:val="0"/>
      <w:marBottom w:val="0"/>
      <w:divBdr>
        <w:top w:val="none" w:sz="0" w:space="0" w:color="auto"/>
        <w:left w:val="none" w:sz="0" w:space="0" w:color="auto"/>
        <w:bottom w:val="none" w:sz="0" w:space="0" w:color="auto"/>
        <w:right w:val="none" w:sz="0" w:space="0" w:color="auto"/>
      </w:divBdr>
      <w:divsChild>
        <w:div w:id="310990305">
          <w:marLeft w:val="0"/>
          <w:marRight w:val="0"/>
          <w:marTop w:val="0"/>
          <w:marBottom w:val="0"/>
          <w:divBdr>
            <w:top w:val="none" w:sz="0" w:space="0" w:color="auto"/>
            <w:left w:val="none" w:sz="0" w:space="0" w:color="auto"/>
            <w:bottom w:val="none" w:sz="0" w:space="0" w:color="auto"/>
            <w:right w:val="none" w:sz="0" w:space="0" w:color="auto"/>
          </w:divBdr>
          <w:divsChild>
            <w:div w:id="1172834676">
              <w:marLeft w:val="0"/>
              <w:marRight w:val="0"/>
              <w:marTop w:val="120"/>
              <w:marBottom w:val="0"/>
              <w:divBdr>
                <w:top w:val="none" w:sz="0" w:space="0" w:color="auto"/>
                <w:left w:val="none" w:sz="0" w:space="0" w:color="auto"/>
                <w:bottom w:val="none" w:sz="0" w:space="0" w:color="auto"/>
                <w:right w:val="none" w:sz="0" w:space="0" w:color="auto"/>
              </w:divBdr>
            </w:div>
            <w:div w:id="1866821577">
              <w:marLeft w:val="0"/>
              <w:marRight w:val="0"/>
              <w:marTop w:val="0"/>
              <w:marBottom w:val="0"/>
              <w:divBdr>
                <w:top w:val="none" w:sz="0" w:space="0" w:color="auto"/>
                <w:left w:val="none" w:sz="0" w:space="0" w:color="auto"/>
                <w:bottom w:val="none" w:sz="0" w:space="0" w:color="auto"/>
                <w:right w:val="none" w:sz="0" w:space="0" w:color="auto"/>
              </w:divBdr>
              <w:divsChild>
                <w:div w:id="883367050">
                  <w:marLeft w:val="0"/>
                  <w:marRight w:val="0"/>
                  <w:marTop w:val="0"/>
                  <w:marBottom w:val="0"/>
                  <w:divBdr>
                    <w:top w:val="none" w:sz="0" w:space="0" w:color="auto"/>
                    <w:left w:val="none" w:sz="0" w:space="0" w:color="auto"/>
                    <w:bottom w:val="none" w:sz="0" w:space="0" w:color="auto"/>
                    <w:right w:val="none" w:sz="0" w:space="0" w:color="auto"/>
                  </w:divBdr>
                  <w:divsChild>
                    <w:div w:id="233400413">
                      <w:marLeft w:val="0"/>
                      <w:marRight w:val="0"/>
                      <w:marTop w:val="120"/>
                      <w:marBottom w:val="0"/>
                      <w:divBdr>
                        <w:top w:val="none" w:sz="0" w:space="0" w:color="auto"/>
                        <w:left w:val="none" w:sz="0" w:space="0" w:color="auto"/>
                        <w:bottom w:val="none" w:sz="0" w:space="0" w:color="auto"/>
                        <w:right w:val="none" w:sz="0" w:space="0" w:color="auto"/>
                      </w:divBdr>
                    </w:div>
                    <w:div w:id="1381586421">
                      <w:marLeft w:val="0"/>
                      <w:marRight w:val="0"/>
                      <w:marTop w:val="0"/>
                      <w:marBottom w:val="0"/>
                      <w:divBdr>
                        <w:top w:val="none" w:sz="0" w:space="0" w:color="auto"/>
                        <w:left w:val="none" w:sz="0" w:space="0" w:color="auto"/>
                        <w:bottom w:val="none" w:sz="0" w:space="0" w:color="auto"/>
                        <w:right w:val="none" w:sz="0" w:space="0" w:color="auto"/>
                      </w:divBdr>
                    </w:div>
                  </w:divsChild>
                </w:div>
                <w:div w:id="1159924956">
                  <w:marLeft w:val="0"/>
                  <w:marRight w:val="0"/>
                  <w:marTop w:val="0"/>
                  <w:marBottom w:val="0"/>
                  <w:divBdr>
                    <w:top w:val="none" w:sz="0" w:space="0" w:color="auto"/>
                    <w:left w:val="none" w:sz="0" w:space="0" w:color="auto"/>
                    <w:bottom w:val="none" w:sz="0" w:space="0" w:color="auto"/>
                    <w:right w:val="none" w:sz="0" w:space="0" w:color="auto"/>
                  </w:divBdr>
                  <w:divsChild>
                    <w:div w:id="1461025409">
                      <w:marLeft w:val="0"/>
                      <w:marRight w:val="0"/>
                      <w:marTop w:val="0"/>
                      <w:marBottom w:val="0"/>
                      <w:divBdr>
                        <w:top w:val="none" w:sz="0" w:space="0" w:color="auto"/>
                        <w:left w:val="none" w:sz="0" w:space="0" w:color="auto"/>
                        <w:bottom w:val="none" w:sz="0" w:space="0" w:color="auto"/>
                        <w:right w:val="none" w:sz="0" w:space="0" w:color="auto"/>
                      </w:divBdr>
                    </w:div>
                    <w:div w:id="1502043798">
                      <w:marLeft w:val="0"/>
                      <w:marRight w:val="0"/>
                      <w:marTop w:val="120"/>
                      <w:marBottom w:val="0"/>
                      <w:divBdr>
                        <w:top w:val="none" w:sz="0" w:space="0" w:color="auto"/>
                        <w:left w:val="none" w:sz="0" w:space="0" w:color="auto"/>
                        <w:bottom w:val="none" w:sz="0" w:space="0" w:color="auto"/>
                        <w:right w:val="none" w:sz="0" w:space="0" w:color="auto"/>
                      </w:divBdr>
                    </w:div>
                  </w:divsChild>
                </w:div>
                <w:div w:id="1594317003">
                  <w:marLeft w:val="0"/>
                  <w:marRight w:val="0"/>
                  <w:marTop w:val="0"/>
                  <w:marBottom w:val="0"/>
                  <w:divBdr>
                    <w:top w:val="none" w:sz="0" w:space="0" w:color="auto"/>
                    <w:left w:val="none" w:sz="0" w:space="0" w:color="auto"/>
                    <w:bottom w:val="none" w:sz="0" w:space="0" w:color="auto"/>
                    <w:right w:val="none" w:sz="0" w:space="0" w:color="auto"/>
                  </w:divBdr>
                  <w:divsChild>
                    <w:div w:id="637800721">
                      <w:marLeft w:val="0"/>
                      <w:marRight w:val="0"/>
                      <w:marTop w:val="120"/>
                      <w:marBottom w:val="0"/>
                      <w:divBdr>
                        <w:top w:val="none" w:sz="0" w:space="0" w:color="auto"/>
                        <w:left w:val="none" w:sz="0" w:space="0" w:color="auto"/>
                        <w:bottom w:val="none" w:sz="0" w:space="0" w:color="auto"/>
                        <w:right w:val="none" w:sz="0" w:space="0" w:color="auto"/>
                      </w:divBdr>
                    </w:div>
                    <w:div w:id="14528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566190">
          <w:marLeft w:val="0"/>
          <w:marRight w:val="0"/>
          <w:marTop w:val="0"/>
          <w:marBottom w:val="0"/>
          <w:divBdr>
            <w:top w:val="none" w:sz="0" w:space="0" w:color="auto"/>
            <w:left w:val="none" w:sz="0" w:space="0" w:color="auto"/>
            <w:bottom w:val="none" w:sz="0" w:space="0" w:color="auto"/>
            <w:right w:val="none" w:sz="0" w:space="0" w:color="auto"/>
          </w:divBdr>
          <w:divsChild>
            <w:div w:id="371617190">
              <w:marLeft w:val="0"/>
              <w:marRight w:val="0"/>
              <w:marTop w:val="120"/>
              <w:marBottom w:val="0"/>
              <w:divBdr>
                <w:top w:val="none" w:sz="0" w:space="0" w:color="auto"/>
                <w:left w:val="none" w:sz="0" w:space="0" w:color="auto"/>
                <w:bottom w:val="none" w:sz="0" w:space="0" w:color="auto"/>
                <w:right w:val="none" w:sz="0" w:space="0" w:color="auto"/>
              </w:divBdr>
            </w:div>
            <w:div w:id="796264006">
              <w:marLeft w:val="0"/>
              <w:marRight w:val="0"/>
              <w:marTop w:val="0"/>
              <w:marBottom w:val="0"/>
              <w:divBdr>
                <w:top w:val="none" w:sz="0" w:space="0" w:color="auto"/>
                <w:left w:val="none" w:sz="0" w:space="0" w:color="auto"/>
                <w:bottom w:val="none" w:sz="0" w:space="0" w:color="auto"/>
                <w:right w:val="none" w:sz="0" w:space="0" w:color="auto"/>
              </w:divBdr>
            </w:div>
          </w:divsChild>
        </w:div>
        <w:div w:id="784276773">
          <w:marLeft w:val="0"/>
          <w:marRight w:val="0"/>
          <w:marTop w:val="0"/>
          <w:marBottom w:val="0"/>
          <w:divBdr>
            <w:top w:val="none" w:sz="0" w:space="0" w:color="auto"/>
            <w:left w:val="none" w:sz="0" w:space="0" w:color="auto"/>
            <w:bottom w:val="none" w:sz="0" w:space="0" w:color="auto"/>
            <w:right w:val="none" w:sz="0" w:space="0" w:color="auto"/>
          </w:divBdr>
          <w:divsChild>
            <w:div w:id="594824619">
              <w:marLeft w:val="0"/>
              <w:marRight w:val="0"/>
              <w:marTop w:val="0"/>
              <w:marBottom w:val="0"/>
              <w:divBdr>
                <w:top w:val="none" w:sz="0" w:space="0" w:color="auto"/>
                <w:left w:val="none" w:sz="0" w:space="0" w:color="auto"/>
                <w:bottom w:val="none" w:sz="0" w:space="0" w:color="auto"/>
                <w:right w:val="none" w:sz="0" w:space="0" w:color="auto"/>
              </w:divBdr>
            </w:div>
            <w:div w:id="1093087196">
              <w:marLeft w:val="0"/>
              <w:marRight w:val="0"/>
              <w:marTop w:val="120"/>
              <w:marBottom w:val="0"/>
              <w:divBdr>
                <w:top w:val="none" w:sz="0" w:space="0" w:color="auto"/>
                <w:left w:val="none" w:sz="0" w:space="0" w:color="auto"/>
                <w:bottom w:val="none" w:sz="0" w:space="0" w:color="auto"/>
                <w:right w:val="none" w:sz="0" w:space="0" w:color="auto"/>
              </w:divBdr>
            </w:div>
          </w:divsChild>
        </w:div>
        <w:div w:id="808859873">
          <w:marLeft w:val="0"/>
          <w:marRight w:val="0"/>
          <w:marTop w:val="0"/>
          <w:marBottom w:val="0"/>
          <w:divBdr>
            <w:top w:val="none" w:sz="0" w:space="0" w:color="auto"/>
            <w:left w:val="none" w:sz="0" w:space="0" w:color="auto"/>
            <w:bottom w:val="none" w:sz="0" w:space="0" w:color="auto"/>
            <w:right w:val="none" w:sz="0" w:space="0" w:color="auto"/>
          </w:divBdr>
          <w:divsChild>
            <w:div w:id="327752874">
              <w:marLeft w:val="0"/>
              <w:marRight w:val="0"/>
              <w:marTop w:val="120"/>
              <w:marBottom w:val="0"/>
              <w:divBdr>
                <w:top w:val="none" w:sz="0" w:space="0" w:color="auto"/>
                <w:left w:val="none" w:sz="0" w:space="0" w:color="auto"/>
                <w:bottom w:val="none" w:sz="0" w:space="0" w:color="auto"/>
                <w:right w:val="none" w:sz="0" w:space="0" w:color="auto"/>
              </w:divBdr>
            </w:div>
            <w:div w:id="608702226">
              <w:marLeft w:val="0"/>
              <w:marRight w:val="0"/>
              <w:marTop w:val="0"/>
              <w:marBottom w:val="0"/>
              <w:divBdr>
                <w:top w:val="none" w:sz="0" w:space="0" w:color="auto"/>
                <w:left w:val="none" w:sz="0" w:space="0" w:color="auto"/>
                <w:bottom w:val="none" w:sz="0" w:space="0" w:color="auto"/>
                <w:right w:val="none" w:sz="0" w:space="0" w:color="auto"/>
              </w:divBdr>
            </w:div>
          </w:divsChild>
        </w:div>
        <w:div w:id="846213376">
          <w:marLeft w:val="0"/>
          <w:marRight w:val="0"/>
          <w:marTop w:val="0"/>
          <w:marBottom w:val="0"/>
          <w:divBdr>
            <w:top w:val="none" w:sz="0" w:space="0" w:color="auto"/>
            <w:left w:val="none" w:sz="0" w:space="0" w:color="auto"/>
            <w:bottom w:val="none" w:sz="0" w:space="0" w:color="auto"/>
            <w:right w:val="none" w:sz="0" w:space="0" w:color="auto"/>
          </w:divBdr>
          <w:divsChild>
            <w:div w:id="1135563610">
              <w:marLeft w:val="0"/>
              <w:marRight w:val="0"/>
              <w:marTop w:val="0"/>
              <w:marBottom w:val="0"/>
              <w:divBdr>
                <w:top w:val="none" w:sz="0" w:space="0" w:color="auto"/>
                <w:left w:val="none" w:sz="0" w:space="0" w:color="auto"/>
                <w:bottom w:val="none" w:sz="0" w:space="0" w:color="auto"/>
                <w:right w:val="none" w:sz="0" w:space="0" w:color="auto"/>
              </w:divBdr>
            </w:div>
            <w:div w:id="1661738962">
              <w:marLeft w:val="0"/>
              <w:marRight w:val="0"/>
              <w:marTop w:val="120"/>
              <w:marBottom w:val="0"/>
              <w:divBdr>
                <w:top w:val="none" w:sz="0" w:space="0" w:color="auto"/>
                <w:left w:val="none" w:sz="0" w:space="0" w:color="auto"/>
                <w:bottom w:val="none" w:sz="0" w:space="0" w:color="auto"/>
                <w:right w:val="none" w:sz="0" w:space="0" w:color="auto"/>
              </w:divBdr>
            </w:div>
          </w:divsChild>
        </w:div>
        <w:div w:id="998926143">
          <w:marLeft w:val="0"/>
          <w:marRight w:val="0"/>
          <w:marTop w:val="0"/>
          <w:marBottom w:val="0"/>
          <w:divBdr>
            <w:top w:val="none" w:sz="0" w:space="0" w:color="auto"/>
            <w:left w:val="none" w:sz="0" w:space="0" w:color="auto"/>
            <w:bottom w:val="none" w:sz="0" w:space="0" w:color="auto"/>
            <w:right w:val="none" w:sz="0" w:space="0" w:color="auto"/>
          </w:divBdr>
          <w:divsChild>
            <w:div w:id="14811281">
              <w:marLeft w:val="0"/>
              <w:marRight w:val="0"/>
              <w:marTop w:val="0"/>
              <w:marBottom w:val="0"/>
              <w:divBdr>
                <w:top w:val="none" w:sz="0" w:space="0" w:color="auto"/>
                <w:left w:val="none" w:sz="0" w:space="0" w:color="auto"/>
                <w:bottom w:val="none" w:sz="0" w:space="0" w:color="auto"/>
                <w:right w:val="none" w:sz="0" w:space="0" w:color="auto"/>
              </w:divBdr>
            </w:div>
            <w:div w:id="1673334722">
              <w:marLeft w:val="0"/>
              <w:marRight w:val="0"/>
              <w:marTop w:val="120"/>
              <w:marBottom w:val="0"/>
              <w:divBdr>
                <w:top w:val="none" w:sz="0" w:space="0" w:color="auto"/>
                <w:left w:val="none" w:sz="0" w:space="0" w:color="auto"/>
                <w:bottom w:val="none" w:sz="0" w:space="0" w:color="auto"/>
                <w:right w:val="none" w:sz="0" w:space="0" w:color="auto"/>
              </w:divBdr>
            </w:div>
          </w:divsChild>
        </w:div>
        <w:div w:id="1138961560">
          <w:marLeft w:val="0"/>
          <w:marRight w:val="0"/>
          <w:marTop w:val="0"/>
          <w:marBottom w:val="0"/>
          <w:divBdr>
            <w:top w:val="none" w:sz="0" w:space="0" w:color="auto"/>
            <w:left w:val="none" w:sz="0" w:space="0" w:color="auto"/>
            <w:bottom w:val="none" w:sz="0" w:space="0" w:color="auto"/>
            <w:right w:val="none" w:sz="0" w:space="0" w:color="auto"/>
          </w:divBdr>
          <w:divsChild>
            <w:div w:id="713775581">
              <w:marLeft w:val="0"/>
              <w:marRight w:val="0"/>
              <w:marTop w:val="120"/>
              <w:marBottom w:val="0"/>
              <w:divBdr>
                <w:top w:val="none" w:sz="0" w:space="0" w:color="auto"/>
                <w:left w:val="none" w:sz="0" w:space="0" w:color="auto"/>
                <w:bottom w:val="none" w:sz="0" w:space="0" w:color="auto"/>
                <w:right w:val="none" w:sz="0" w:space="0" w:color="auto"/>
              </w:divBdr>
            </w:div>
            <w:div w:id="1931306273">
              <w:marLeft w:val="0"/>
              <w:marRight w:val="0"/>
              <w:marTop w:val="0"/>
              <w:marBottom w:val="0"/>
              <w:divBdr>
                <w:top w:val="none" w:sz="0" w:space="0" w:color="auto"/>
                <w:left w:val="none" w:sz="0" w:space="0" w:color="auto"/>
                <w:bottom w:val="none" w:sz="0" w:space="0" w:color="auto"/>
                <w:right w:val="none" w:sz="0" w:space="0" w:color="auto"/>
              </w:divBdr>
              <w:divsChild>
                <w:div w:id="387730730">
                  <w:marLeft w:val="0"/>
                  <w:marRight w:val="0"/>
                  <w:marTop w:val="0"/>
                  <w:marBottom w:val="0"/>
                  <w:divBdr>
                    <w:top w:val="none" w:sz="0" w:space="0" w:color="auto"/>
                    <w:left w:val="none" w:sz="0" w:space="0" w:color="auto"/>
                    <w:bottom w:val="none" w:sz="0" w:space="0" w:color="auto"/>
                    <w:right w:val="none" w:sz="0" w:space="0" w:color="auto"/>
                  </w:divBdr>
                  <w:divsChild>
                    <w:div w:id="1439713795">
                      <w:marLeft w:val="0"/>
                      <w:marRight w:val="0"/>
                      <w:marTop w:val="120"/>
                      <w:marBottom w:val="0"/>
                      <w:divBdr>
                        <w:top w:val="none" w:sz="0" w:space="0" w:color="auto"/>
                        <w:left w:val="none" w:sz="0" w:space="0" w:color="auto"/>
                        <w:bottom w:val="none" w:sz="0" w:space="0" w:color="auto"/>
                        <w:right w:val="none" w:sz="0" w:space="0" w:color="auto"/>
                      </w:divBdr>
                    </w:div>
                    <w:div w:id="1857035924">
                      <w:marLeft w:val="0"/>
                      <w:marRight w:val="0"/>
                      <w:marTop w:val="0"/>
                      <w:marBottom w:val="0"/>
                      <w:divBdr>
                        <w:top w:val="none" w:sz="0" w:space="0" w:color="auto"/>
                        <w:left w:val="none" w:sz="0" w:space="0" w:color="auto"/>
                        <w:bottom w:val="none" w:sz="0" w:space="0" w:color="auto"/>
                        <w:right w:val="none" w:sz="0" w:space="0" w:color="auto"/>
                      </w:divBdr>
                    </w:div>
                  </w:divsChild>
                </w:div>
                <w:div w:id="1564608413">
                  <w:marLeft w:val="0"/>
                  <w:marRight w:val="0"/>
                  <w:marTop w:val="0"/>
                  <w:marBottom w:val="0"/>
                  <w:divBdr>
                    <w:top w:val="none" w:sz="0" w:space="0" w:color="auto"/>
                    <w:left w:val="none" w:sz="0" w:space="0" w:color="auto"/>
                    <w:bottom w:val="none" w:sz="0" w:space="0" w:color="auto"/>
                    <w:right w:val="none" w:sz="0" w:space="0" w:color="auto"/>
                  </w:divBdr>
                  <w:divsChild>
                    <w:div w:id="66920208">
                      <w:marLeft w:val="0"/>
                      <w:marRight w:val="0"/>
                      <w:marTop w:val="120"/>
                      <w:marBottom w:val="0"/>
                      <w:divBdr>
                        <w:top w:val="none" w:sz="0" w:space="0" w:color="auto"/>
                        <w:left w:val="none" w:sz="0" w:space="0" w:color="auto"/>
                        <w:bottom w:val="none" w:sz="0" w:space="0" w:color="auto"/>
                        <w:right w:val="none" w:sz="0" w:space="0" w:color="auto"/>
                      </w:divBdr>
                    </w:div>
                    <w:div w:id="662246921">
                      <w:marLeft w:val="0"/>
                      <w:marRight w:val="0"/>
                      <w:marTop w:val="0"/>
                      <w:marBottom w:val="0"/>
                      <w:divBdr>
                        <w:top w:val="none" w:sz="0" w:space="0" w:color="auto"/>
                        <w:left w:val="none" w:sz="0" w:space="0" w:color="auto"/>
                        <w:bottom w:val="none" w:sz="0" w:space="0" w:color="auto"/>
                        <w:right w:val="none" w:sz="0" w:space="0" w:color="auto"/>
                      </w:divBdr>
                    </w:div>
                  </w:divsChild>
                </w:div>
                <w:div w:id="1860191509">
                  <w:marLeft w:val="0"/>
                  <w:marRight w:val="0"/>
                  <w:marTop w:val="0"/>
                  <w:marBottom w:val="0"/>
                  <w:divBdr>
                    <w:top w:val="none" w:sz="0" w:space="0" w:color="auto"/>
                    <w:left w:val="none" w:sz="0" w:space="0" w:color="auto"/>
                    <w:bottom w:val="none" w:sz="0" w:space="0" w:color="auto"/>
                    <w:right w:val="none" w:sz="0" w:space="0" w:color="auto"/>
                  </w:divBdr>
                  <w:divsChild>
                    <w:div w:id="398484706">
                      <w:marLeft w:val="0"/>
                      <w:marRight w:val="0"/>
                      <w:marTop w:val="120"/>
                      <w:marBottom w:val="0"/>
                      <w:divBdr>
                        <w:top w:val="none" w:sz="0" w:space="0" w:color="auto"/>
                        <w:left w:val="none" w:sz="0" w:space="0" w:color="auto"/>
                        <w:bottom w:val="none" w:sz="0" w:space="0" w:color="auto"/>
                        <w:right w:val="none" w:sz="0" w:space="0" w:color="auto"/>
                      </w:divBdr>
                    </w:div>
                    <w:div w:id="13110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2180">
          <w:marLeft w:val="0"/>
          <w:marRight w:val="0"/>
          <w:marTop w:val="0"/>
          <w:marBottom w:val="0"/>
          <w:divBdr>
            <w:top w:val="none" w:sz="0" w:space="0" w:color="auto"/>
            <w:left w:val="none" w:sz="0" w:space="0" w:color="auto"/>
            <w:bottom w:val="none" w:sz="0" w:space="0" w:color="auto"/>
            <w:right w:val="none" w:sz="0" w:space="0" w:color="auto"/>
          </w:divBdr>
          <w:divsChild>
            <w:div w:id="458500965">
              <w:marLeft w:val="0"/>
              <w:marRight w:val="0"/>
              <w:marTop w:val="0"/>
              <w:marBottom w:val="0"/>
              <w:divBdr>
                <w:top w:val="none" w:sz="0" w:space="0" w:color="auto"/>
                <w:left w:val="none" w:sz="0" w:space="0" w:color="auto"/>
                <w:bottom w:val="none" w:sz="0" w:space="0" w:color="auto"/>
                <w:right w:val="none" w:sz="0" w:space="0" w:color="auto"/>
              </w:divBdr>
            </w:div>
            <w:div w:id="206813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4329420">
      <w:bodyDiv w:val="1"/>
      <w:marLeft w:val="0"/>
      <w:marRight w:val="0"/>
      <w:marTop w:val="0"/>
      <w:marBottom w:val="0"/>
      <w:divBdr>
        <w:top w:val="none" w:sz="0" w:space="0" w:color="auto"/>
        <w:left w:val="none" w:sz="0" w:space="0" w:color="auto"/>
        <w:bottom w:val="none" w:sz="0" w:space="0" w:color="auto"/>
        <w:right w:val="none" w:sz="0" w:space="0" w:color="auto"/>
      </w:divBdr>
      <w:divsChild>
        <w:div w:id="1812864076">
          <w:marLeft w:val="0"/>
          <w:marRight w:val="0"/>
          <w:marTop w:val="0"/>
          <w:marBottom w:val="0"/>
          <w:divBdr>
            <w:top w:val="none" w:sz="0" w:space="0" w:color="auto"/>
            <w:left w:val="none" w:sz="0" w:space="0" w:color="auto"/>
            <w:bottom w:val="none" w:sz="0" w:space="0" w:color="auto"/>
            <w:right w:val="none" w:sz="0" w:space="0" w:color="auto"/>
          </w:divBdr>
        </w:div>
      </w:divsChild>
    </w:div>
    <w:div w:id="724909872">
      <w:bodyDiv w:val="1"/>
      <w:marLeft w:val="0"/>
      <w:marRight w:val="0"/>
      <w:marTop w:val="0"/>
      <w:marBottom w:val="0"/>
      <w:divBdr>
        <w:top w:val="none" w:sz="0" w:space="0" w:color="auto"/>
        <w:left w:val="none" w:sz="0" w:space="0" w:color="auto"/>
        <w:bottom w:val="none" w:sz="0" w:space="0" w:color="auto"/>
        <w:right w:val="none" w:sz="0" w:space="0" w:color="auto"/>
      </w:divBdr>
      <w:divsChild>
        <w:div w:id="557977392">
          <w:marLeft w:val="0"/>
          <w:marRight w:val="0"/>
          <w:marTop w:val="0"/>
          <w:marBottom w:val="0"/>
          <w:divBdr>
            <w:top w:val="none" w:sz="0" w:space="0" w:color="auto"/>
            <w:left w:val="none" w:sz="0" w:space="0" w:color="auto"/>
            <w:bottom w:val="none" w:sz="0" w:space="0" w:color="auto"/>
            <w:right w:val="none" w:sz="0" w:space="0" w:color="auto"/>
          </w:divBdr>
          <w:divsChild>
            <w:div w:id="3499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8071">
      <w:bodyDiv w:val="1"/>
      <w:marLeft w:val="0"/>
      <w:marRight w:val="0"/>
      <w:marTop w:val="0"/>
      <w:marBottom w:val="0"/>
      <w:divBdr>
        <w:top w:val="none" w:sz="0" w:space="0" w:color="auto"/>
        <w:left w:val="none" w:sz="0" w:space="0" w:color="auto"/>
        <w:bottom w:val="none" w:sz="0" w:space="0" w:color="auto"/>
        <w:right w:val="none" w:sz="0" w:space="0" w:color="auto"/>
      </w:divBdr>
      <w:divsChild>
        <w:div w:id="2105227963">
          <w:marLeft w:val="0"/>
          <w:marRight w:val="0"/>
          <w:marTop w:val="0"/>
          <w:marBottom w:val="0"/>
          <w:divBdr>
            <w:top w:val="none" w:sz="0" w:space="0" w:color="auto"/>
            <w:left w:val="none" w:sz="0" w:space="0" w:color="auto"/>
            <w:bottom w:val="none" w:sz="0" w:space="0" w:color="auto"/>
            <w:right w:val="none" w:sz="0" w:space="0" w:color="auto"/>
          </w:divBdr>
          <w:divsChild>
            <w:div w:id="141578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92904">
      <w:bodyDiv w:val="1"/>
      <w:marLeft w:val="0"/>
      <w:marRight w:val="0"/>
      <w:marTop w:val="0"/>
      <w:marBottom w:val="0"/>
      <w:divBdr>
        <w:top w:val="none" w:sz="0" w:space="0" w:color="auto"/>
        <w:left w:val="none" w:sz="0" w:space="0" w:color="auto"/>
        <w:bottom w:val="none" w:sz="0" w:space="0" w:color="auto"/>
        <w:right w:val="none" w:sz="0" w:space="0" w:color="auto"/>
      </w:divBdr>
      <w:divsChild>
        <w:div w:id="2057464497">
          <w:marLeft w:val="0"/>
          <w:marRight w:val="0"/>
          <w:marTop w:val="0"/>
          <w:marBottom w:val="0"/>
          <w:divBdr>
            <w:top w:val="none" w:sz="0" w:space="0" w:color="auto"/>
            <w:left w:val="none" w:sz="0" w:space="0" w:color="auto"/>
            <w:bottom w:val="none" w:sz="0" w:space="0" w:color="auto"/>
            <w:right w:val="none" w:sz="0" w:space="0" w:color="auto"/>
          </w:divBdr>
        </w:div>
      </w:divsChild>
    </w:div>
    <w:div w:id="752435696">
      <w:bodyDiv w:val="1"/>
      <w:marLeft w:val="0"/>
      <w:marRight w:val="0"/>
      <w:marTop w:val="0"/>
      <w:marBottom w:val="0"/>
      <w:divBdr>
        <w:top w:val="none" w:sz="0" w:space="0" w:color="auto"/>
        <w:left w:val="none" w:sz="0" w:space="0" w:color="auto"/>
        <w:bottom w:val="none" w:sz="0" w:space="0" w:color="auto"/>
        <w:right w:val="none" w:sz="0" w:space="0" w:color="auto"/>
      </w:divBdr>
    </w:div>
    <w:div w:id="766779163">
      <w:bodyDiv w:val="1"/>
      <w:marLeft w:val="0"/>
      <w:marRight w:val="0"/>
      <w:marTop w:val="0"/>
      <w:marBottom w:val="0"/>
      <w:divBdr>
        <w:top w:val="none" w:sz="0" w:space="0" w:color="auto"/>
        <w:left w:val="none" w:sz="0" w:space="0" w:color="auto"/>
        <w:bottom w:val="none" w:sz="0" w:space="0" w:color="auto"/>
        <w:right w:val="none" w:sz="0" w:space="0" w:color="auto"/>
      </w:divBdr>
    </w:div>
    <w:div w:id="769744252">
      <w:bodyDiv w:val="1"/>
      <w:marLeft w:val="0"/>
      <w:marRight w:val="0"/>
      <w:marTop w:val="0"/>
      <w:marBottom w:val="0"/>
      <w:divBdr>
        <w:top w:val="none" w:sz="0" w:space="0" w:color="auto"/>
        <w:left w:val="none" w:sz="0" w:space="0" w:color="auto"/>
        <w:bottom w:val="none" w:sz="0" w:space="0" w:color="auto"/>
        <w:right w:val="none" w:sz="0" w:space="0" w:color="auto"/>
      </w:divBdr>
    </w:div>
    <w:div w:id="773136481">
      <w:bodyDiv w:val="1"/>
      <w:marLeft w:val="0"/>
      <w:marRight w:val="0"/>
      <w:marTop w:val="0"/>
      <w:marBottom w:val="0"/>
      <w:divBdr>
        <w:top w:val="none" w:sz="0" w:space="0" w:color="auto"/>
        <w:left w:val="none" w:sz="0" w:space="0" w:color="auto"/>
        <w:bottom w:val="none" w:sz="0" w:space="0" w:color="auto"/>
        <w:right w:val="none" w:sz="0" w:space="0" w:color="auto"/>
      </w:divBdr>
      <w:divsChild>
        <w:div w:id="417018971">
          <w:marLeft w:val="0"/>
          <w:marRight w:val="0"/>
          <w:marTop w:val="0"/>
          <w:marBottom w:val="0"/>
          <w:divBdr>
            <w:top w:val="none" w:sz="0" w:space="0" w:color="auto"/>
            <w:left w:val="none" w:sz="0" w:space="0" w:color="auto"/>
            <w:bottom w:val="none" w:sz="0" w:space="0" w:color="auto"/>
            <w:right w:val="none" w:sz="0" w:space="0" w:color="auto"/>
          </w:divBdr>
          <w:divsChild>
            <w:div w:id="393436087">
              <w:marLeft w:val="0"/>
              <w:marRight w:val="0"/>
              <w:marTop w:val="0"/>
              <w:marBottom w:val="0"/>
              <w:divBdr>
                <w:top w:val="none" w:sz="0" w:space="0" w:color="auto"/>
                <w:left w:val="none" w:sz="0" w:space="0" w:color="auto"/>
                <w:bottom w:val="none" w:sz="0" w:space="0" w:color="auto"/>
                <w:right w:val="none" w:sz="0" w:space="0" w:color="auto"/>
              </w:divBdr>
              <w:divsChild>
                <w:div w:id="1046366954">
                  <w:marLeft w:val="0"/>
                  <w:marRight w:val="0"/>
                  <w:marTop w:val="0"/>
                  <w:marBottom w:val="0"/>
                  <w:divBdr>
                    <w:top w:val="none" w:sz="0" w:space="0" w:color="auto"/>
                    <w:left w:val="none" w:sz="0" w:space="0" w:color="auto"/>
                    <w:bottom w:val="none" w:sz="0" w:space="0" w:color="auto"/>
                    <w:right w:val="none" w:sz="0" w:space="0" w:color="auto"/>
                  </w:divBdr>
                </w:div>
                <w:div w:id="1701734899">
                  <w:marLeft w:val="0"/>
                  <w:marRight w:val="0"/>
                  <w:marTop w:val="120"/>
                  <w:marBottom w:val="0"/>
                  <w:divBdr>
                    <w:top w:val="none" w:sz="0" w:space="0" w:color="auto"/>
                    <w:left w:val="none" w:sz="0" w:space="0" w:color="auto"/>
                    <w:bottom w:val="none" w:sz="0" w:space="0" w:color="auto"/>
                    <w:right w:val="none" w:sz="0" w:space="0" w:color="auto"/>
                  </w:divBdr>
                </w:div>
              </w:divsChild>
            </w:div>
            <w:div w:id="975449107">
              <w:marLeft w:val="0"/>
              <w:marRight w:val="0"/>
              <w:marTop w:val="0"/>
              <w:marBottom w:val="0"/>
              <w:divBdr>
                <w:top w:val="none" w:sz="0" w:space="0" w:color="auto"/>
                <w:left w:val="none" w:sz="0" w:space="0" w:color="auto"/>
                <w:bottom w:val="none" w:sz="0" w:space="0" w:color="auto"/>
                <w:right w:val="none" w:sz="0" w:space="0" w:color="auto"/>
              </w:divBdr>
              <w:divsChild>
                <w:div w:id="1444308035">
                  <w:marLeft w:val="0"/>
                  <w:marRight w:val="0"/>
                  <w:marTop w:val="120"/>
                  <w:marBottom w:val="0"/>
                  <w:divBdr>
                    <w:top w:val="none" w:sz="0" w:space="0" w:color="auto"/>
                    <w:left w:val="none" w:sz="0" w:space="0" w:color="auto"/>
                    <w:bottom w:val="none" w:sz="0" w:space="0" w:color="auto"/>
                    <w:right w:val="none" w:sz="0" w:space="0" w:color="auto"/>
                  </w:divBdr>
                </w:div>
                <w:div w:id="1682049777">
                  <w:marLeft w:val="0"/>
                  <w:marRight w:val="0"/>
                  <w:marTop w:val="0"/>
                  <w:marBottom w:val="0"/>
                  <w:divBdr>
                    <w:top w:val="none" w:sz="0" w:space="0" w:color="auto"/>
                    <w:left w:val="none" w:sz="0" w:space="0" w:color="auto"/>
                    <w:bottom w:val="none" w:sz="0" w:space="0" w:color="auto"/>
                    <w:right w:val="none" w:sz="0" w:space="0" w:color="auto"/>
                  </w:divBdr>
                  <w:divsChild>
                    <w:div w:id="784890961">
                      <w:marLeft w:val="0"/>
                      <w:marRight w:val="0"/>
                      <w:marTop w:val="0"/>
                      <w:marBottom w:val="0"/>
                      <w:divBdr>
                        <w:top w:val="none" w:sz="0" w:space="0" w:color="auto"/>
                        <w:left w:val="none" w:sz="0" w:space="0" w:color="auto"/>
                        <w:bottom w:val="none" w:sz="0" w:space="0" w:color="auto"/>
                        <w:right w:val="none" w:sz="0" w:space="0" w:color="auto"/>
                      </w:divBdr>
                      <w:divsChild>
                        <w:div w:id="1248886585">
                          <w:marLeft w:val="0"/>
                          <w:marRight w:val="0"/>
                          <w:marTop w:val="120"/>
                          <w:marBottom w:val="0"/>
                          <w:divBdr>
                            <w:top w:val="none" w:sz="0" w:space="0" w:color="auto"/>
                            <w:left w:val="none" w:sz="0" w:space="0" w:color="auto"/>
                            <w:bottom w:val="none" w:sz="0" w:space="0" w:color="auto"/>
                            <w:right w:val="none" w:sz="0" w:space="0" w:color="auto"/>
                          </w:divBdr>
                        </w:div>
                        <w:div w:id="1599411076">
                          <w:marLeft w:val="0"/>
                          <w:marRight w:val="0"/>
                          <w:marTop w:val="0"/>
                          <w:marBottom w:val="0"/>
                          <w:divBdr>
                            <w:top w:val="none" w:sz="0" w:space="0" w:color="auto"/>
                            <w:left w:val="none" w:sz="0" w:space="0" w:color="auto"/>
                            <w:bottom w:val="none" w:sz="0" w:space="0" w:color="auto"/>
                            <w:right w:val="none" w:sz="0" w:space="0" w:color="auto"/>
                          </w:divBdr>
                        </w:div>
                      </w:divsChild>
                    </w:div>
                    <w:div w:id="1792939632">
                      <w:marLeft w:val="0"/>
                      <w:marRight w:val="0"/>
                      <w:marTop w:val="0"/>
                      <w:marBottom w:val="0"/>
                      <w:divBdr>
                        <w:top w:val="none" w:sz="0" w:space="0" w:color="auto"/>
                        <w:left w:val="none" w:sz="0" w:space="0" w:color="auto"/>
                        <w:bottom w:val="none" w:sz="0" w:space="0" w:color="auto"/>
                        <w:right w:val="none" w:sz="0" w:space="0" w:color="auto"/>
                      </w:divBdr>
                      <w:divsChild>
                        <w:div w:id="173304396">
                          <w:marLeft w:val="0"/>
                          <w:marRight w:val="0"/>
                          <w:marTop w:val="120"/>
                          <w:marBottom w:val="0"/>
                          <w:divBdr>
                            <w:top w:val="none" w:sz="0" w:space="0" w:color="auto"/>
                            <w:left w:val="none" w:sz="0" w:space="0" w:color="auto"/>
                            <w:bottom w:val="none" w:sz="0" w:space="0" w:color="auto"/>
                            <w:right w:val="none" w:sz="0" w:space="0" w:color="auto"/>
                          </w:divBdr>
                        </w:div>
                        <w:div w:id="3646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9208">
              <w:marLeft w:val="0"/>
              <w:marRight w:val="0"/>
              <w:marTop w:val="0"/>
              <w:marBottom w:val="0"/>
              <w:divBdr>
                <w:top w:val="none" w:sz="0" w:space="0" w:color="auto"/>
                <w:left w:val="none" w:sz="0" w:space="0" w:color="auto"/>
                <w:bottom w:val="none" w:sz="0" w:space="0" w:color="auto"/>
                <w:right w:val="none" w:sz="0" w:space="0" w:color="auto"/>
              </w:divBdr>
              <w:divsChild>
                <w:div w:id="1123771528">
                  <w:marLeft w:val="0"/>
                  <w:marRight w:val="0"/>
                  <w:marTop w:val="0"/>
                  <w:marBottom w:val="0"/>
                  <w:divBdr>
                    <w:top w:val="none" w:sz="0" w:space="0" w:color="auto"/>
                    <w:left w:val="none" w:sz="0" w:space="0" w:color="auto"/>
                    <w:bottom w:val="none" w:sz="0" w:space="0" w:color="auto"/>
                    <w:right w:val="none" w:sz="0" w:space="0" w:color="auto"/>
                  </w:divBdr>
                </w:div>
                <w:div w:id="16154064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39537979">
      <w:bodyDiv w:val="1"/>
      <w:marLeft w:val="0"/>
      <w:marRight w:val="0"/>
      <w:marTop w:val="0"/>
      <w:marBottom w:val="0"/>
      <w:divBdr>
        <w:top w:val="none" w:sz="0" w:space="0" w:color="auto"/>
        <w:left w:val="none" w:sz="0" w:space="0" w:color="auto"/>
        <w:bottom w:val="none" w:sz="0" w:space="0" w:color="auto"/>
        <w:right w:val="none" w:sz="0" w:space="0" w:color="auto"/>
      </w:divBdr>
    </w:div>
    <w:div w:id="839546929">
      <w:bodyDiv w:val="1"/>
      <w:marLeft w:val="0"/>
      <w:marRight w:val="0"/>
      <w:marTop w:val="0"/>
      <w:marBottom w:val="0"/>
      <w:divBdr>
        <w:top w:val="none" w:sz="0" w:space="0" w:color="auto"/>
        <w:left w:val="none" w:sz="0" w:space="0" w:color="auto"/>
        <w:bottom w:val="none" w:sz="0" w:space="0" w:color="auto"/>
        <w:right w:val="none" w:sz="0" w:space="0" w:color="auto"/>
      </w:divBdr>
      <w:divsChild>
        <w:div w:id="898399686">
          <w:marLeft w:val="0"/>
          <w:marRight w:val="0"/>
          <w:marTop w:val="0"/>
          <w:marBottom w:val="0"/>
          <w:divBdr>
            <w:top w:val="none" w:sz="0" w:space="0" w:color="auto"/>
            <w:left w:val="none" w:sz="0" w:space="0" w:color="auto"/>
            <w:bottom w:val="none" w:sz="0" w:space="0" w:color="auto"/>
            <w:right w:val="none" w:sz="0" w:space="0" w:color="auto"/>
          </w:divBdr>
          <w:divsChild>
            <w:div w:id="7564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5455">
      <w:bodyDiv w:val="1"/>
      <w:marLeft w:val="0"/>
      <w:marRight w:val="0"/>
      <w:marTop w:val="0"/>
      <w:marBottom w:val="0"/>
      <w:divBdr>
        <w:top w:val="none" w:sz="0" w:space="0" w:color="auto"/>
        <w:left w:val="none" w:sz="0" w:space="0" w:color="auto"/>
        <w:bottom w:val="none" w:sz="0" w:space="0" w:color="auto"/>
        <w:right w:val="none" w:sz="0" w:space="0" w:color="auto"/>
      </w:divBdr>
    </w:div>
    <w:div w:id="852500478">
      <w:bodyDiv w:val="1"/>
      <w:marLeft w:val="0"/>
      <w:marRight w:val="0"/>
      <w:marTop w:val="0"/>
      <w:marBottom w:val="0"/>
      <w:divBdr>
        <w:top w:val="none" w:sz="0" w:space="0" w:color="auto"/>
        <w:left w:val="none" w:sz="0" w:space="0" w:color="auto"/>
        <w:bottom w:val="none" w:sz="0" w:space="0" w:color="auto"/>
        <w:right w:val="none" w:sz="0" w:space="0" w:color="auto"/>
      </w:divBdr>
    </w:div>
    <w:div w:id="859587232">
      <w:bodyDiv w:val="1"/>
      <w:marLeft w:val="0"/>
      <w:marRight w:val="0"/>
      <w:marTop w:val="0"/>
      <w:marBottom w:val="0"/>
      <w:divBdr>
        <w:top w:val="none" w:sz="0" w:space="0" w:color="auto"/>
        <w:left w:val="none" w:sz="0" w:space="0" w:color="auto"/>
        <w:bottom w:val="none" w:sz="0" w:space="0" w:color="auto"/>
        <w:right w:val="none" w:sz="0" w:space="0" w:color="auto"/>
      </w:divBdr>
    </w:div>
    <w:div w:id="868642807">
      <w:bodyDiv w:val="1"/>
      <w:marLeft w:val="0"/>
      <w:marRight w:val="0"/>
      <w:marTop w:val="0"/>
      <w:marBottom w:val="0"/>
      <w:divBdr>
        <w:top w:val="none" w:sz="0" w:space="0" w:color="auto"/>
        <w:left w:val="none" w:sz="0" w:space="0" w:color="auto"/>
        <w:bottom w:val="none" w:sz="0" w:space="0" w:color="auto"/>
        <w:right w:val="none" w:sz="0" w:space="0" w:color="auto"/>
      </w:divBdr>
    </w:div>
    <w:div w:id="870148747">
      <w:bodyDiv w:val="1"/>
      <w:marLeft w:val="0"/>
      <w:marRight w:val="0"/>
      <w:marTop w:val="0"/>
      <w:marBottom w:val="0"/>
      <w:divBdr>
        <w:top w:val="none" w:sz="0" w:space="0" w:color="auto"/>
        <w:left w:val="none" w:sz="0" w:space="0" w:color="auto"/>
        <w:bottom w:val="none" w:sz="0" w:space="0" w:color="auto"/>
        <w:right w:val="none" w:sz="0" w:space="0" w:color="auto"/>
      </w:divBdr>
    </w:div>
    <w:div w:id="876894520">
      <w:bodyDiv w:val="1"/>
      <w:marLeft w:val="0"/>
      <w:marRight w:val="0"/>
      <w:marTop w:val="0"/>
      <w:marBottom w:val="0"/>
      <w:divBdr>
        <w:top w:val="none" w:sz="0" w:space="0" w:color="auto"/>
        <w:left w:val="none" w:sz="0" w:space="0" w:color="auto"/>
        <w:bottom w:val="none" w:sz="0" w:space="0" w:color="auto"/>
        <w:right w:val="none" w:sz="0" w:space="0" w:color="auto"/>
      </w:divBdr>
      <w:divsChild>
        <w:div w:id="1443375752">
          <w:marLeft w:val="0"/>
          <w:marRight w:val="0"/>
          <w:marTop w:val="0"/>
          <w:marBottom w:val="0"/>
          <w:divBdr>
            <w:top w:val="none" w:sz="0" w:space="0" w:color="auto"/>
            <w:left w:val="none" w:sz="0" w:space="0" w:color="auto"/>
            <w:bottom w:val="none" w:sz="0" w:space="0" w:color="auto"/>
            <w:right w:val="none" w:sz="0" w:space="0" w:color="auto"/>
          </w:divBdr>
        </w:div>
      </w:divsChild>
    </w:div>
    <w:div w:id="897591290">
      <w:bodyDiv w:val="1"/>
      <w:marLeft w:val="0"/>
      <w:marRight w:val="0"/>
      <w:marTop w:val="0"/>
      <w:marBottom w:val="0"/>
      <w:divBdr>
        <w:top w:val="none" w:sz="0" w:space="0" w:color="auto"/>
        <w:left w:val="none" w:sz="0" w:space="0" w:color="auto"/>
        <w:bottom w:val="none" w:sz="0" w:space="0" w:color="auto"/>
        <w:right w:val="none" w:sz="0" w:space="0" w:color="auto"/>
      </w:divBdr>
    </w:div>
    <w:div w:id="909312543">
      <w:bodyDiv w:val="1"/>
      <w:marLeft w:val="0"/>
      <w:marRight w:val="0"/>
      <w:marTop w:val="0"/>
      <w:marBottom w:val="0"/>
      <w:divBdr>
        <w:top w:val="none" w:sz="0" w:space="0" w:color="auto"/>
        <w:left w:val="none" w:sz="0" w:space="0" w:color="auto"/>
        <w:bottom w:val="none" w:sz="0" w:space="0" w:color="auto"/>
        <w:right w:val="none" w:sz="0" w:space="0" w:color="auto"/>
      </w:divBdr>
    </w:div>
    <w:div w:id="912812303">
      <w:bodyDiv w:val="1"/>
      <w:marLeft w:val="0"/>
      <w:marRight w:val="0"/>
      <w:marTop w:val="0"/>
      <w:marBottom w:val="0"/>
      <w:divBdr>
        <w:top w:val="none" w:sz="0" w:space="0" w:color="auto"/>
        <w:left w:val="none" w:sz="0" w:space="0" w:color="auto"/>
        <w:bottom w:val="none" w:sz="0" w:space="0" w:color="auto"/>
        <w:right w:val="none" w:sz="0" w:space="0" w:color="auto"/>
      </w:divBdr>
      <w:divsChild>
        <w:div w:id="1968848678">
          <w:marLeft w:val="0"/>
          <w:marRight w:val="0"/>
          <w:marTop w:val="0"/>
          <w:marBottom w:val="0"/>
          <w:divBdr>
            <w:top w:val="none" w:sz="0" w:space="0" w:color="auto"/>
            <w:left w:val="none" w:sz="0" w:space="0" w:color="auto"/>
            <w:bottom w:val="none" w:sz="0" w:space="0" w:color="auto"/>
            <w:right w:val="none" w:sz="0" w:space="0" w:color="auto"/>
          </w:divBdr>
          <w:divsChild>
            <w:div w:id="1336807319">
              <w:marLeft w:val="0"/>
              <w:marRight w:val="0"/>
              <w:marTop w:val="0"/>
              <w:marBottom w:val="0"/>
              <w:divBdr>
                <w:top w:val="none" w:sz="0" w:space="0" w:color="auto"/>
                <w:left w:val="none" w:sz="0" w:space="0" w:color="auto"/>
                <w:bottom w:val="none" w:sz="0" w:space="0" w:color="auto"/>
                <w:right w:val="none" w:sz="0" w:space="0" w:color="auto"/>
              </w:divBdr>
              <w:divsChild>
                <w:div w:id="788815971">
                  <w:marLeft w:val="0"/>
                  <w:marRight w:val="0"/>
                  <w:marTop w:val="0"/>
                  <w:marBottom w:val="0"/>
                  <w:divBdr>
                    <w:top w:val="none" w:sz="0" w:space="0" w:color="auto"/>
                    <w:left w:val="none" w:sz="0" w:space="0" w:color="auto"/>
                    <w:bottom w:val="none" w:sz="0" w:space="0" w:color="auto"/>
                    <w:right w:val="none" w:sz="0" w:space="0" w:color="auto"/>
                  </w:divBdr>
                </w:div>
                <w:div w:id="1988363589">
                  <w:marLeft w:val="0"/>
                  <w:marRight w:val="0"/>
                  <w:marTop w:val="120"/>
                  <w:marBottom w:val="0"/>
                  <w:divBdr>
                    <w:top w:val="none" w:sz="0" w:space="0" w:color="auto"/>
                    <w:left w:val="none" w:sz="0" w:space="0" w:color="auto"/>
                    <w:bottom w:val="none" w:sz="0" w:space="0" w:color="auto"/>
                    <w:right w:val="none" w:sz="0" w:space="0" w:color="auto"/>
                  </w:divBdr>
                </w:div>
              </w:divsChild>
            </w:div>
            <w:div w:id="2135708467">
              <w:marLeft w:val="0"/>
              <w:marRight w:val="0"/>
              <w:marTop w:val="0"/>
              <w:marBottom w:val="0"/>
              <w:divBdr>
                <w:top w:val="none" w:sz="0" w:space="0" w:color="auto"/>
                <w:left w:val="none" w:sz="0" w:space="0" w:color="auto"/>
                <w:bottom w:val="none" w:sz="0" w:space="0" w:color="auto"/>
                <w:right w:val="none" w:sz="0" w:space="0" w:color="auto"/>
              </w:divBdr>
              <w:divsChild>
                <w:div w:id="831261631">
                  <w:marLeft w:val="0"/>
                  <w:marRight w:val="0"/>
                  <w:marTop w:val="120"/>
                  <w:marBottom w:val="0"/>
                  <w:divBdr>
                    <w:top w:val="none" w:sz="0" w:space="0" w:color="auto"/>
                    <w:left w:val="none" w:sz="0" w:space="0" w:color="auto"/>
                    <w:bottom w:val="none" w:sz="0" w:space="0" w:color="auto"/>
                    <w:right w:val="none" w:sz="0" w:space="0" w:color="auto"/>
                  </w:divBdr>
                </w:div>
                <w:div w:id="9654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7269">
      <w:bodyDiv w:val="1"/>
      <w:marLeft w:val="0"/>
      <w:marRight w:val="0"/>
      <w:marTop w:val="0"/>
      <w:marBottom w:val="0"/>
      <w:divBdr>
        <w:top w:val="none" w:sz="0" w:space="0" w:color="auto"/>
        <w:left w:val="none" w:sz="0" w:space="0" w:color="auto"/>
        <w:bottom w:val="none" w:sz="0" w:space="0" w:color="auto"/>
        <w:right w:val="none" w:sz="0" w:space="0" w:color="auto"/>
      </w:divBdr>
      <w:divsChild>
        <w:div w:id="883568036">
          <w:marLeft w:val="0"/>
          <w:marRight w:val="0"/>
          <w:marTop w:val="0"/>
          <w:marBottom w:val="0"/>
          <w:divBdr>
            <w:top w:val="none" w:sz="0" w:space="0" w:color="auto"/>
            <w:left w:val="none" w:sz="0" w:space="0" w:color="auto"/>
            <w:bottom w:val="none" w:sz="0" w:space="0" w:color="auto"/>
            <w:right w:val="none" w:sz="0" w:space="0" w:color="auto"/>
          </w:divBdr>
          <w:divsChild>
            <w:div w:id="637102719">
              <w:marLeft w:val="0"/>
              <w:marRight w:val="0"/>
              <w:marTop w:val="0"/>
              <w:marBottom w:val="0"/>
              <w:divBdr>
                <w:top w:val="none" w:sz="0" w:space="0" w:color="auto"/>
                <w:left w:val="none" w:sz="0" w:space="0" w:color="auto"/>
                <w:bottom w:val="none" w:sz="0" w:space="0" w:color="auto"/>
                <w:right w:val="none" w:sz="0" w:space="0" w:color="auto"/>
              </w:divBdr>
            </w:div>
          </w:divsChild>
        </w:div>
        <w:div w:id="2104449232">
          <w:marLeft w:val="0"/>
          <w:marRight w:val="0"/>
          <w:marTop w:val="0"/>
          <w:marBottom w:val="0"/>
          <w:divBdr>
            <w:top w:val="none" w:sz="0" w:space="0" w:color="auto"/>
            <w:left w:val="none" w:sz="0" w:space="0" w:color="auto"/>
            <w:bottom w:val="none" w:sz="0" w:space="0" w:color="auto"/>
            <w:right w:val="none" w:sz="0" w:space="0" w:color="auto"/>
          </w:divBdr>
          <w:divsChild>
            <w:div w:id="174224345">
              <w:marLeft w:val="0"/>
              <w:marRight w:val="0"/>
              <w:marTop w:val="0"/>
              <w:marBottom w:val="0"/>
              <w:divBdr>
                <w:top w:val="none" w:sz="0" w:space="0" w:color="auto"/>
                <w:left w:val="none" w:sz="0" w:space="0" w:color="auto"/>
                <w:bottom w:val="none" w:sz="0" w:space="0" w:color="auto"/>
                <w:right w:val="none" w:sz="0" w:space="0" w:color="auto"/>
              </w:divBdr>
              <w:divsChild>
                <w:div w:id="127212901">
                  <w:marLeft w:val="0"/>
                  <w:marRight w:val="0"/>
                  <w:marTop w:val="0"/>
                  <w:marBottom w:val="0"/>
                  <w:divBdr>
                    <w:top w:val="none" w:sz="0" w:space="0" w:color="auto"/>
                    <w:left w:val="none" w:sz="0" w:space="0" w:color="auto"/>
                    <w:bottom w:val="none" w:sz="0" w:space="0" w:color="auto"/>
                    <w:right w:val="none" w:sz="0" w:space="0" w:color="auto"/>
                  </w:divBdr>
                  <w:divsChild>
                    <w:div w:id="589699120">
                      <w:marLeft w:val="0"/>
                      <w:marRight w:val="0"/>
                      <w:marTop w:val="0"/>
                      <w:marBottom w:val="0"/>
                      <w:divBdr>
                        <w:top w:val="none" w:sz="0" w:space="0" w:color="auto"/>
                        <w:left w:val="none" w:sz="0" w:space="0" w:color="auto"/>
                        <w:bottom w:val="none" w:sz="0" w:space="0" w:color="auto"/>
                        <w:right w:val="none" w:sz="0" w:space="0" w:color="auto"/>
                      </w:divBdr>
                    </w:div>
                    <w:div w:id="1655987214">
                      <w:marLeft w:val="0"/>
                      <w:marRight w:val="0"/>
                      <w:marTop w:val="120"/>
                      <w:marBottom w:val="0"/>
                      <w:divBdr>
                        <w:top w:val="none" w:sz="0" w:space="0" w:color="auto"/>
                        <w:left w:val="none" w:sz="0" w:space="0" w:color="auto"/>
                        <w:bottom w:val="none" w:sz="0" w:space="0" w:color="auto"/>
                        <w:right w:val="none" w:sz="0" w:space="0" w:color="auto"/>
                      </w:divBdr>
                    </w:div>
                  </w:divsChild>
                </w:div>
                <w:div w:id="494343516">
                  <w:marLeft w:val="0"/>
                  <w:marRight w:val="0"/>
                  <w:marTop w:val="0"/>
                  <w:marBottom w:val="0"/>
                  <w:divBdr>
                    <w:top w:val="none" w:sz="0" w:space="0" w:color="auto"/>
                    <w:left w:val="none" w:sz="0" w:space="0" w:color="auto"/>
                    <w:bottom w:val="none" w:sz="0" w:space="0" w:color="auto"/>
                    <w:right w:val="none" w:sz="0" w:space="0" w:color="auto"/>
                  </w:divBdr>
                  <w:divsChild>
                    <w:div w:id="1602102359">
                      <w:marLeft w:val="0"/>
                      <w:marRight w:val="0"/>
                      <w:marTop w:val="0"/>
                      <w:marBottom w:val="0"/>
                      <w:divBdr>
                        <w:top w:val="none" w:sz="0" w:space="0" w:color="auto"/>
                        <w:left w:val="none" w:sz="0" w:space="0" w:color="auto"/>
                        <w:bottom w:val="none" w:sz="0" w:space="0" w:color="auto"/>
                        <w:right w:val="none" w:sz="0" w:space="0" w:color="auto"/>
                      </w:divBdr>
                      <w:divsChild>
                        <w:div w:id="523054785">
                          <w:marLeft w:val="0"/>
                          <w:marRight w:val="0"/>
                          <w:marTop w:val="0"/>
                          <w:marBottom w:val="0"/>
                          <w:divBdr>
                            <w:top w:val="none" w:sz="0" w:space="0" w:color="auto"/>
                            <w:left w:val="none" w:sz="0" w:space="0" w:color="auto"/>
                            <w:bottom w:val="none" w:sz="0" w:space="0" w:color="auto"/>
                            <w:right w:val="none" w:sz="0" w:space="0" w:color="auto"/>
                          </w:divBdr>
                          <w:divsChild>
                            <w:div w:id="676537967">
                              <w:marLeft w:val="0"/>
                              <w:marRight w:val="0"/>
                              <w:marTop w:val="120"/>
                              <w:marBottom w:val="0"/>
                              <w:divBdr>
                                <w:top w:val="none" w:sz="0" w:space="0" w:color="auto"/>
                                <w:left w:val="none" w:sz="0" w:space="0" w:color="auto"/>
                                <w:bottom w:val="none" w:sz="0" w:space="0" w:color="auto"/>
                                <w:right w:val="none" w:sz="0" w:space="0" w:color="auto"/>
                              </w:divBdr>
                            </w:div>
                            <w:div w:id="2006322207">
                              <w:marLeft w:val="0"/>
                              <w:marRight w:val="0"/>
                              <w:marTop w:val="0"/>
                              <w:marBottom w:val="0"/>
                              <w:divBdr>
                                <w:top w:val="none" w:sz="0" w:space="0" w:color="auto"/>
                                <w:left w:val="none" w:sz="0" w:space="0" w:color="auto"/>
                                <w:bottom w:val="none" w:sz="0" w:space="0" w:color="auto"/>
                                <w:right w:val="none" w:sz="0" w:space="0" w:color="auto"/>
                              </w:divBdr>
                            </w:div>
                          </w:divsChild>
                        </w:div>
                        <w:div w:id="600138451">
                          <w:marLeft w:val="0"/>
                          <w:marRight w:val="0"/>
                          <w:marTop w:val="0"/>
                          <w:marBottom w:val="0"/>
                          <w:divBdr>
                            <w:top w:val="none" w:sz="0" w:space="0" w:color="auto"/>
                            <w:left w:val="none" w:sz="0" w:space="0" w:color="auto"/>
                            <w:bottom w:val="none" w:sz="0" w:space="0" w:color="auto"/>
                            <w:right w:val="none" w:sz="0" w:space="0" w:color="auto"/>
                          </w:divBdr>
                          <w:divsChild>
                            <w:div w:id="597523889">
                              <w:marLeft w:val="0"/>
                              <w:marRight w:val="0"/>
                              <w:marTop w:val="0"/>
                              <w:marBottom w:val="0"/>
                              <w:divBdr>
                                <w:top w:val="none" w:sz="0" w:space="0" w:color="auto"/>
                                <w:left w:val="none" w:sz="0" w:space="0" w:color="auto"/>
                                <w:bottom w:val="none" w:sz="0" w:space="0" w:color="auto"/>
                                <w:right w:val="none" w:sz="0" w:space="0" w:color="auto"/>
                              </w:divBdr>
                            </w:div>
                            <w:div w:id="7896622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3657121">
                      <w:marLeft w:val="0"/>
                      <w:marRight w:val="0"/>
                      <w:marTop w:val="120"/>
                      <w:marBottom w:val="0"/>
                      <w:divBdr>
                        <w:top w:val="none" w:sz="0" w:space="0" w:color="auto"/>
                        <w:left w:val="none" w:sz="0" w:space="0" w:color="auto"/>
                        <w:bottom w:val="none" w:sz="0" w:space="0" w:color="auto"/>
                        <w:right w:val="none" w:sz="0" w:space="0" w:color="auto"/>
                      </w:divBdr>
                    </w:div>
                  </w:divsChild>
                </w:div>
                <w:div w:id="836581633">
                  <w:marLeft w:val="0"/>
                  <w:marRight w:val="0"/>
                  <w:marTop w:val="0"/>
                  <w:marBottom w:val="0"/>
                  <w:divBdr>
                    <w:top w:val="none" w:sz="0" w:space="0" w:color="auto"/>
                    <w:left w:val="none" w:sz="0" w:space="0" w:color="auto"/>
                    <w:bottom w:val="none" w:sz="0" w:space="0" w:color="auto"/>
                    <w:right w:val="none" w:sz="0" w:space="0" w:color="auto"/>
                  </w:divBdr>
                  <w:divsChild>
                    <w:div w:id="681468123">
                      <w:marLeft w:val="0"/>
                      <w:marRight w:val="0"/>
                      <w:marTop w:val="120"/>
                      <w:marBottom w:val="0"/>
                      <w:divBdr>
                        <w:top w:val="none" w:sz="0" w:space="0" w:color="auto"/>
                        <w:left w:val="none" w:sz="0" w:space="0" w:color="auto"/>
                        <w:bottom w:val="none" w:sz="0" w:space="0" w:color="auto"/>
                        <w:right w:val="none" w:sz="0" w:space="0" w:color="auto"/>
                      </w:divBdr>
                    </w:div>
                    <w:div w:id="1589580823">
                      <w:marLeft w:val="0"/>
                      <w:marRight w:val="0"/>
                      <w:marTop w:val="0"/>
                      <w:marBottom w:val="0"/>
                      <w:divBdr>
                        <w:top w:val="none" w:sz="0" w:space="0" w:color="auto"/>
                        <w:left w:val="none" w:sz="0" w:space="0" w:color="auto"/>
                        <w:bottom w:val="none" w:sz="0" w:space="0" w:color="auto"/>
                        <w:right w:val="none" w:sz="0" w:space="0" w:color="auto"/>
                      </w:divBdr>
                      <w:divsChild>
                        <w:div w:id="1234241055">
                          <w:marLeft w:val="0"/>
                          <w:marRight w:val="0"/>
                          <w:marTop w:val="0"/>
                          <w:marBottom w:val="0"/>
                          <w:divBdr>
                            <w:top w:val="none" w:sz="0" w:space="0" w:color="auto"/>
                            <w:left w:val="none" w:sz="0" w:space="0" w:color="auto"/>
                            <w:bottom w:val="none" w:sz="0" w:space="0" w:color="auto"/>
                            <w:right w:val="none" w:sz="0" w:space="0" w:color="auto"/>
                          </w:divBdr>
                          <w:divsChild>
                            <w:div w:id="131867158">
                              <w:marLeft w:val="0"/>
                              <w:marRight w:val="0"/>
                              <w:marTop w:val="0"/>
                              <w:marBottom w:val="0"/>
                              <w:divBdr>
                                <w:top w:val="none" w:sz="0" w:space="0" w:color="auto"/>
                                <w:left w:val="none" w:sz="0" w:space="0" w:color="auto"/>
                                <w:bottom w:val="none" w:sz="0" w:space="0" w:color="auto"/>
                                <w:right w:val="none" w:sz="0" w:space="0" w:color="auto"/>
                              </w:divBdr>
                            </w:div>
                            <w:div w:id="1320307781">
                              <w:marLeft w:val="0"/>
                              <w:marRight w:val="0"/>
                              <w:marTop w:val="120"/>
                              <w:marBottom w:val="0"/>
                              <w:divBdr>
                                <w:top w:val="none" w:sz="0" w:space="0" w:color="auto"/>
                                <w:left w:val="none" w:sz="0" w:space="0" w:color="auto"/>
                                <w:bottom w:val="none" w:sz="0" w:space="0" w:color="auto"/>
                                <w:right w:val="none" w:sz="0" w:space="0" w:color="auto"/>
                              </w:divBdr>
                            </w:div>
                          </w:divsChild>
                        </w:div>
                        <w:div w:id="1613366241">
                          <w:marLeft w:val="0"/>
                          <w:marRight w:val="0"/>
                          <w:marTop w:val="0"/>
                          <w:marBottom w:val="0"/>
                          <w:divBdr>
                            <w:top w:val="none" w:sz="0" w:space="0" w:color="auto"/>
                            <w:left w:val="none" w:sz="0" w:space="0" w:color="auto"/>
                            <w:bottom w:val="none" w:sz="0" w:space="0" w:color="auto"/>
                            <w:right w:val="none" w:sz="0" w:space="0" w:color="auto"/>
                          </w:divBdr>
                          <w:divsChild>
                            <w:div w:id="709646845">
                              <w:marLeft w:val="0"/>
                              <w:marRight w:val="0"/>
                              <w:marTop w:val="0"/>
                              <w:marBottom w:val="0"/>
                              <w:divBdr>
                                <w:top w:val="none" w:sz="0" w:space="0" w:color="auto"/>
                                <w:left w:val="none" w:sz="0" w:space="0" w:color="auto"/>
                                <w:bottom w:val="none" w:sz="0" w:space="0" w:color="auto"/>
                                <w:right w:val="none" w:sz="0" w:space="0" w:color="auto"/>
                              </w:divBdr>
                            </w:div>
                            <w:div w:id="18755806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8937509">
                  <w:marLeft w:val="0"/>
                  <w:marRight w:val="0"/>
                  <w:marTop w:val="0"/>
                  <w:marBottom w:val="0"/>
                  <w:divBdr>
                    <w:top w:val="none" w:sz="0" w:space="0" w:color="auto"/>
                    <w:left w:val="none" w:sz="0" w:space="0" w:color="auto"/>
                    <w:bottom w:val="none" w:sz="0" w:space="0" w:color="auto"/>
                    <w:right w:val="none" w:sz="0" w:space="0" w:color="auto"/>
                  </w:divBdr>
                  <w:divsChild>
                    <w:div w:id="1132286060">
                      <w:marLeft w:val="0"/>
                      <w:marRight w:val="0"/>
                      <w:marTop w:val="120"/>
                      <w:marBottom w:val="0"/>
                      <w:divBdr>
                        <w:top w:val="none" w:sz="0" w:space="0" w:color="auto"/>
                        <w:left w:val="none" w:sz="0" w:space="0" w:color="auto"/>
                        <w:bottom w:val="none" w:sz="0" w:space="0" w:color="auto"/>
                        <w:right w:val="none" w:sz="0" w:space="0" w:color="auto"/>
                      </w:divBdr>
                    </w:div>
                    <w:div w:id="1784374724">
                      <w:marLeft w:val="0"/>
                      <w:marRight w:val="0"/>
                      <w:marTop w:val="0"/>
                      <w:marBottom w:val="0"/>
                      <w:divBdr>
                        <w:top w:val="none" w:sz="0" w:space="0" w:color="auto"/>
                        <w:left w:val="none" w:sz="0" w:space="0" w:color="auto"/>
                        <w:bottom w:val="none" w:sz="0" w:space="0" w:color="auto"/>
                        <w:right w:val="none" w:sz="0" w:space="0" w:color="auto"/>
                      </w:divBdr>
                    </w:div>
                  </w:divsChild>
                </w:div>
                <w:div w:id="1276642542">
                  <w:marLeft w:val="0"/>
                  <w:marRight w:val="0"/>
                  <w:marTop w:val="0"/>
                  <w:marBottom w:val="0"/>
                  <w:divBdr>
                    <w:top w:val="none" w:sz="0" w:space="0" w:color="auto"/>
                    <w:left w:val="none" w:sz="0" w:space="0" w:color="auto"/>
                    <w:bottom w:val="none" w:sz="0" w:space="0" w:color="auto"/>
                    <w:right w:val="none" w:sz="0" w:space="0" w:color="auto"/>
                  </w:divBdr>
                  <w:divsChild>
                    <w:div w:id="219557961">
                      <w:marLeft w:val="0"/>
                      <w:marRight w:val="0"/>
                      <w:marTop w:val="120"/>
                      <w:marBottom w:val="0"/>
                      <w:divBdr>
                        <w:top w:val="none" w:sz="0" w:space="0" w:color="auto"/>
                        <w:left w:val="none" w:sz="0" w:space="0" w:color="auto"/>
                        <w:bottom w:val="none" w:sz="0" w:space="0" w:color="auto"/>
                        <w:right w:val="none" w:sz="0" w:space="0" w:color="auto"/>
                      </w:divBdr>
                    </w:div>
                    <w:div w:id="1825465456">
                      <w:marLeft w:val="0"/>
                      <w:marRight w:val="0"/>
                      <w:marTop w:val="0"/>
                      <w:marBottom w:val="0"/>
                      <w:divBdr>
                        <w:top w:val="none" w:sz="0" w:space="0" w:color="auto"/>
                        <w:left w:val="none" w:sz="0" w:space="0" w:color="auto"/>
                        <w:bottom w:val="none" w:sz="0" w:space="0" w:color="auto"/>
                        <w:right w:val="none" w:sz="0" w:space="0" w:color="auto"/>
                      </w:divBdr>
                    </w:div>
                  </w:divsChild>
                </w:div>
                <w:div w:id="1502045994">
                  <w:marLeft w:val="0"/>
                  <w:marRight w:val="0"/>
                  <w:marTop w:val="0"/>
                  <w:marBottom w:val="0"/>
                  <w:divBdr>
                    <w:top w:val="none" w:sz="0" w:space="0" w:color="auto"/>
                    <w:left w:val="none" w:sz="0" w:space="0" w:color="auto"/>
                    <w:bottom w:val="none" w:sz="0" w:space="0" w:color="auto"/>
                    <w:right w:val="none" w:sz="0" w:space="0" w:color="auto"/>
                  </w:divBdr>
                  <w:divsChild>
                    <w:div w:id="1996489140">
                      <w:marLeft w:val="0"/>
                      <w:marRight w:val="0"/>
                      <w:marTop w:val="0"/>
                      <w:marBottom w:val="0"/>
                      <w:divBdr>
                        <w:top w:val="none" w:sz="0" w:space="0" w:color="auto"/>
                        <w:left w:val="none" w:sz="0" w:space="0" w:color="auto"/>
                        <w:bottom w:val="none" w:sz="0" w:space="0" w:color="auto"/>
                        <w:right w:val="none" w:sz="0" w:space="0" w:color="auto"/>
                      </w:divBdr>
                    </w:div>
                    <w:div w:id="2093618003">
                      <w:marLeft w:val="0"/>
                      <w:marRight w:val="0"/>
                      <w:marTop w:val="120"/>
                      <w:marBottom w:val="0"/>
                      <w:divBdr>
                        <w:top w:val="none" w:sz="0" w:space="0" w:color="auto"/>
                        <w:left w:val="none" w:sz="0" w:space="0" w:color="auto"/>
                        <w:bottom w:val="none" w:sz="0" w:space="0" w:color="auto"/>
                        <w:right w:val="none" w:sz="0" w:space="0" w:color="auto"/>
                      </w:divBdr>
                    </w:div>
                  </w:divsChild>
                </w:div>
                <w:div w:id="1933051488">
                  <w:marLeft w:val="0"/>
                  <w:marRight w:val="0"/>
                  <w:marTop w:val="0"/>
                  <w:marBottom w:val="0"/>
                  <w:divBdr>
                    <w:top w:val="none" w:sz="0" w:space="0" w:color="auto"/>
                    <w:left w:val="none" w:sz="0" w:space="0" w:color="auto"/>
                    <w:bottom w:val="none" w:sz="0" w:space="0" w:color="auto"/>
                    <w:right w:val="none" w:sz="0" w:space="0" w:color="auto"/>
                  </w:divBdr>
                  <w:divsChild>
                    <w:div w:id="303850011">
                      <w:marLeft w:val="0"/>
                      <w:marRight w:val="0"/>
                      <w:marTop w:val="120"/>
                      <w:marBottom w:val="0"/>
                      <w:divBdr>
                        <w:top w:val="none" w:sz="0" w:space="0" w:color="auto"/>
                        <w:left w:val="none" w:sz="0" w:space="0" w:color="auto"/>
                        <w:bottom w:val="none" w:sz="0" w:space="0" w:color="auto"/>
                        <w:right w:val="none" w:sz="0" w:space="0" w:color="auto"/>
                      </w:divBdr>
                    </w:div>
                    <w:div w:id="12075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394214">
      <w:bodyDiv w:val="1"/>
      <w:marLeft w:val="0"/>
      <w:marRight w:val="0"/>
      <w:marTop w:val="0"/>
      <w:marBottom w:val="0"/>
      <w:divBdr>
        <w:top w:val="none" w:sz="0" w:space="0" w:color="auto"/>
        <w:left w:val="none" w:sz="0" w:space="0" w:color="auto"/>
        <w:bottom w:val="none" w:sz="0" w:space="0" w:color="auto"/>
        <w:right w:val="none" w:sz="0" w:space="0" w:color="auto"/>
      </w:divBdr>
    </w:div>
    <w:div w:id="943075092">
      <w:bodyDiv w:val="1"/>
      <w:marLeft w:val="0"/>
      <w:marRight w:val="0"/>
      <w:marTop w:val="0"/>
      <w:marBottom w:val="0"/>
      <w:divBdr>
        <w:top w:val="none" w:sz="0" w:space="0" w:color="auto"/>
        <w:left w:val="none" w:sz="0" w:space="0" w:color="auto"/>
        <w:bottom w:val="none" w:sz="0" w:space="0" w:color="auto"/>
        <w:right w:val="none" w:sz="0" w:space="0" w:color="auto"/>
      </w:divBdr>
      <w:divsChild>
        <w:div w:id="284122428">
          <w:marLeft w:val="0"/>
          <w:marRight w:val="0"/>
          <w:marTop w:val="0"/>
          <w:marBottom w:val="0"/>
          <w:divBdr>
            <w:top w:val="none" w:sz="0" w:space="0" w:color="auto"/>
            <w:left w:val="none" w:sz="0" w:space="0" w:color="auto"/>
            <w:bottom w:val="none" w:sz="0" w:space="0" w:color="auto"/>
            <w:right w:val="none" w:sz="0" w:space="0" w:color="auto"/>
          </w:divBdr>
          <w:divsChild>
            <w:div w:id="841622000">
              <w:marLeft w:val="0"/>
              <w:marRight w:val="0"/>
              <w:marTop w:val="0"/>
              <w:marBottom w:val="0"/>
              <w:divBdr>
                <w:top w:val="none" w:sz="0" w:space="0" w:color="auto"/>
                <w:left w:val="none" w:sz="0" w:space="0" w:color="auto"/>
                <w:bottom w:val="none" w:sz="0" w:space="0" w:color="auto"/>
                <w:right w:val="none" w:sz="0" w:space="0" w:color="auto"/>
              </w:divBdr>
            </w:div>
            <w:div w:id="1635259164">
              <w:marLeft w:val="0"/>
              <w:marRight w:val="0"/>
              <w:marTop w:val="120"/>
              <w:marBottom w:val="0"/>
              <w:divBdr>
                <w:top w:val="none" w:sz="0" w:space="0" w:color="auto"/>
                <w:left w:val="none" w:sz="0" w:space="0" w:color="auto"/>
                <w:bottom w:val="none" w:sz="0" w:space="0" w:color="auto"/>
                <w:right w:val="none" w:sz="0" w:space="0" w:color="auto"/>
              </w:divBdr>
            </w:div>
          </w:divsChild>
        </w:div>
        <w:div w:id="563760812">
          <w:marLeft w:val="0"/>
          <w:marRight w:val="0"/>
          <w:marTop w:val="0"/>
          <w:marBottom w:val="0"/>
          <w:divBdr>
            <w:top w:val="none" w:sz="0" w:space="0" w:color="auto"/>
            <w:left w:val="none" w:sz="0" w:space="0" w:color="auto"/>
            <w:bottom w:val="none" w:sz="0" w:space="0" w:color="auto"/>
            <w:right w:val="none" w:sz="0" w:space="0" w:color="auto"/>
          </w:divBdr>
          <w:divsChild>
            <w:div w:id="1568416988">
              <w:marLeft w:val="0"/>
              <w:marRight w:val="0"/>
              <w:marTop w:val="0"/>
              <w:marBottom w:val="0"/>
              <w:divBdr>
                <w:top w:val="none" w:sz="0" w:space="0" w:color="auto"/>
                <w:left w:val="none" w:sz="0" w:space="0" w:color="auto"/>
                <w:bottom w:val="none" w:sz="0" w:space="0" w:color="auto"/>
                <w:right w:val="none" w:sz="0" w:space="0" w:color="auto"/>
              </w:divBdr>
            </w:div>
            <w:div w:id="1902208903">
              <w:marLeft w:val="0"/>
              <w:marRight w:val="0"/>
              <w:marTop w:val="120"/>
              <w:marBottom w:val="0"/>
              <w:divBdr>
                <w:top w:val="none" w:sz="0" w:space="0" w:color="auto"/>
                <w:left w:val="none" w:sz="0" w:space="0" w:color="auto"/>
                <w:bottom w:val="none" w:sz="0" w:space="0" w:color="auto"/>
                <w:right w:val="none" w:sz="0" w:space="0" w:color="auto"/>
              </w:divBdr>
            </w:div>
          </w:divsChild>
        </w:div>
        <w:div w:id="1677489243">
          <w:marLeft w:val="0"/>
          <w:marRight w:val="0"/>
          <w:marTop w:val="0"/>
          <w:marBottom w:val="0"/>
          <w:divBdr>
            <w:top w:val="none" w:sz="0" w:space="0" w:color="auto"/>
            <w:left w:val="none" w:sz="0" w:space="0" w:color="auto"/>
            <w:bottom w:val="none" w:sz="0" w:space="0" w:color="auto"/>
            <w:right w:val="none" w:sz="0" w:space="0" w:color="auto"/>
          </w:divBdr>
          <w:divsChild>
            <w:div w:id="908808340">
              <w:marLeft w:val="0"/>
              <w:marRight w:val="0"/>
              <w:marTop w:val="0"/>
              <w:marBottom w:val="0"/>
              <w:divBdr>
                <w:top w:val="none" w:sz="0" w:space="0" w:color="auto"/>
                <w:left w:val="none" w:sz="0" w:space="0" w:color="auto"/>
                <w:bottom w:val="none" w:sz="0" w:space="0" w:color="auto"/>
                <w:right w:val="none" w:sz="0" w:space="0" w:color="auto"/>
              </w:divBdr>
            </w:div>
            <w:div w:id="994455623">
              <w:marLeft w:val="0"/>
              <w:marRight w:val="0"/>
              <w:marTop w:val="120"/>
              <w:marBottom w:val="0"/>
              <w:divBdr>
                <w:top w:val="none" w:sz="0" w:space="0" w:color="auto"/>
                <w:left w:val="none" w:sz="0" w:space="0" w:color="auto"/>
                <w:bottom w:val="none" w:sz="0" w:space="0" w:color="auto"/>
                <w:right w:val="none" w:sz="0" w:space="0" w:color="auto"/>
              </w:divBdr>
            </w:div>
          </w:divsChild>
        </w:div>
        <w:div w:id="2073310657">
          <w:marLeft w:val="0"/>
          <w:marRight w:val="0"/>
          <w:marTop w:val="0"/>
          <w:marBottom w:val="0"/>
          <w:divBdr>
            <w:top w:val="none" w:sz="0" w:space="0" w:color="auto"/>
            <w:left w:val="none" w:sz="0" w:space="0" w:color="auto"/>
            <w:bottom w:val="none" w:sz="0" w:space="0" w:color="auto"/>
            <w:right w:val="none" w:sz="0" w:space="0" w:color="auto"/>
          </w:divBdr>
          <w:divsChild>
            <w:div w:id="545483773">
              <w:marLeft w:val="0"/>
              <w:marRight w:val="0"/>
              <w:marTop w:val="0"/>
              <w:marBottom w:val="0"/>
              <w:divBdr>
                <w:top w:val="none" w:sz="0" w:space="0" w:color="auto"/>
                <w:left w:val="none" w:sz="0" w:space="0" w:color="auto"/>
                <w:bottom w:val="none" w:sz="0" w:space="0" w:color="auto"/>
                <w:right w:val="none" w:sz="0" w:space="0" w:color="auto"/>
              </w:divBdr>
            </w:div>
            <w:div w:id="8006839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0478666">
      <w:bodyDiv w:val="1"/>
      <w:marLeft w:val="0"/>
      <w:marRight w:val="0"/>
      <w:marTop w:val="0"/>
      <w:marBottom w:val="0"/>
      <w:divBdr>
        <w:top w:val="none" w:sz="0" w:space="0" w:color="auto"/>
        <w:left w:val="none" w:sz="0" w:space="0" w:color="auto"/>
        <w:bottom w:val="none" w:sz="0" w:space="0" w:color="auto"/>
        <w:right w:val="none" w:sz="0" w:space="0" w:color="auto"/>
      </w:divBdr>
      <w:divsChild>
        <w:div w:id="729692131">
          <w:marLeft w:val="0"/>
          <w:marRight w:val="0"/>
          <w:marTop w:val="0"/>
          <w:marBottom w:val="0"/>
          <w:divBdr>
            <w:top w:val="none" w:sz="0" w:space="0" w:color="auto"/>
            <w:left w:val="none" w:sz="0" w:space="0" w:color="auto"/>
            <w:bottom w:val="none" w:sz="0" w:space="0" w:color="auto"/>
            <w:right w:val="none" w:sz="0" w:space="0" w:color="auto"/>
          </w:divBdr>
          <w:divsChild>
            <w:div w:id="907228712">
              <w:marLeft w:val="0"/>
              <w:marRight w:val="0"/>
              <w:marTop w:val="120"/>
              <w:marBottom w:val="0"/>
              <w:divBdr>
                <w:top w:val="none" w:sz="0" w:space="0" w:color="auto"/>
                <w:left w:val="none" w:sz="0" w:space="0" w:color="auto"/>
                <w:bottom w:val="none" w:sz="0" w:space="0" w:color="auto"/>
                <w:right w:val="none" w:sz="0" w:space="0" w:color="auto"/>
              </w:divBdr>
            </w:div>
            <w:div w:id="1168441615">
              <w:marLeft w:val="0"/>
              <w:marRight w:val="0"/>
              <w:marTop w:val="0"/>
              <w:marBottom w:val="0"/>
              <w:divBdr>
                <w:top w:val="none" w:sz="0" w:space="0" w:color="auto"/>
                <w:left w:val="none" w:sz="0" w:space="0" w:color="auto"/>
                <w:bottom w:val="none" w:sz="0" w:space="0" w:color="auto"/>
                <w:right w:val="none" w:sz="0" w:space="0" w:color="auto"/>
              </w:divBdr>
            </w:div>
          </w:divsChild>
        </w:div>
        <w:div w:id="1501236303">
          <w:marLeft w:val="0"/>
          <w:marRight w:val="0"/>
          <w:marTop w:val="0"/>
          <w:marBottom w:val="0"/>
          <w:divBdr>
            <w:top w:val="none" w:sz="0" w:space="0" w:color="auto"/>
            <w:left w:val="none" w:sz="0" w:space="0" w:color="auto"/>
            <w:bottom w:val="none" w:sz="0" w:space="0" w:color="auto"/>
            <w:right w:val="none" w:sz="0" w:space="0" w:color="auto"/>
          </w:divBdr>
          <w:divsChild>
            <w:div w:id="73599966">
              <w:marLeft w:val="0"/>
              <w:marRight w:val="0"/>
              <w:marTop w:val="0"/>
              <w:marBottom w:val="0"/>
              <w:divBdr>
                <w:top w:val="none" w:sz="0" w:space="0" w:color="auto"/>
                <w:left w:val="none" w:sz="0" w:space="0" w:color="auto"/>
                <w:bottom w:val="none" w:sz="0" w:space="0" w:color="auto"/>
                <w:right w:val="none" w:sz="0" w:space="0" w:color="auto"/>
              </w:divBdr>
            </w:div>
            <w:div w:id="1723400812">
              <w:marLeft w:val="0"/>
              <w:marRight w:val="0"/>
              <w:marTop w:val="120"/>
              <w:marBottom w:val="0"/>
              <w:divBdr>
                <w:top w:val="none" w:sz="0" w:space="0" w:color="auto"/>
                <w:left w:val="none" w:sz="0" w:space="0" w:color="auto"/>
                <w:bottom w:val="none" w:sz="0" w:space="0" w:color="auto"/>
                <w:right w:val="none" w:sz="0" w:space="0" w:color="auto"/>
              </w:divBdr>
            </w:div>
          </w:divsChild>
        </w:div>
        <w:div w:id="1837916343">
          <w:marLeft w:val="0"/>
          <w:marRight w:val="0"/>
          <w:marTop w:val="0"/>
          <w:marBottom w:val="0"/>
          <w:divBdr>
            <w:top w:val="none" w:sz="0" w:space="0" w:color="auto"/>
            <w:left w:val="none" w:sz="0" w:space="0" w:color="auto"/>
            <w:bottom w:val="none" w:sz="0" w:space="0" w:color="auto"/>
            <w:right w:val="none" w:sz="0" w:space="0" w:color="auto"/>
          </w:divBdr>
          <w:divsChild>
            <w:div w:id="242105447">
              <w:marLeft w:val="0"/>
              <w:marRight w:val="0"/>
              <w:marTop w:val="120"/>
              <w:marBottom w:val="0"/>
              <w:divBdr>
                <w:top w:val="none" w:sz="0" w:space="0" w:color="auto"/>
                <w:left w:val="none" w:sz="0" w:space="0" w:color="auto"/>
                <w:bottom w:val="none" w:sz="0" w:space="0" w:color="auto"/>
                <w:right w:val="none" w:sz="0" w:space="0" w:color="auto"/>
              </w:divBdr>
            </w:div>
            <w:div w:id="1345942279">
              <w:marLeft w:val="0"/>
              <w:marRight w:val="0"/>
              <w:marTop w:val="0"/>
              <w:marBottom w:val="0"/>
              <w:divBdr>
                <w:top w:val="none" w:sz="0" w:space="0" w:color="auto"/>
                <w:left w:val="none" w:sz="0" w:space="0" w:color="auto"/>
                <w:bottom w:val="none" w:sz="0" w:space="0" w:color="auto"/>
                <w:right w:val="none" w:sz="0" w:space="0" w:color="auto"/>
              </w:divBdr>
            </w:div>
          </w:divsChild>
        </w:div>
        <w:div w:id="2120565262">
          <w:marLeft w:val="0"/>
          <w:marRight w:val="0"/>
          <w:marTop w:val="0"/>
          <w:marBottom w:val="0"/>
          <w:divBdr>
            <w:top w:val="none" w:sz="0" w:space="0" w:color="auto"/>
            <w:left w:val="none" w:sz="0" w:space="0" w:color="auto"/>
            <w:bottom w:val="none" w:sz="0" w:space="0" w:color="auto"/>
            <w:right w:val="none" w:sz="0" w:space="0" w:color="auto"/>
          </w:divBdr>
          <w:divsChild>
            <w:div w:id="202598554">
              <w:marLeft w:val="0"/>
              <w:marRight w:val="0"/>
              <w:marTop w:val="0"/>
              <w:marBottom w:val="0"/>
              <w:divBdr>
                <w:top w:val="none" w:sz="0" w:space="0" w:color="auto"/>
                <w:left w:val="none" w:sz="0" w:space="0" w:color="auto"/>
                <w:bottom w:val="none" w:sz="0" w:space="0" w:color="auto"/>
                <w:right w:val="none" w:sz="0" w:space="0" w:color="auto"/>
              </w:divBdr>
            </w:div>
            <w:div w:id="16977367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0740999">
      <w:bodyDiv w:val="1"/>
      <w:marLeft w:val="0"/>
      <w:marRight w:val="0"/>
      <w:marTop w:val="0"/>
      <w:marBottom w:val="0"/>
      <w:divBdr>
        <w:top w:val="none" w:sz="0" w:space="0" w:color="auto"/>
        <w:left w:val="none" w:sz="0" w:space="0" w:color="auto"/>
        <w:bottom w:val="none" w:sz="0" w:space="0" w:color="auto"/>
        <w:right w:val="none" w:sz="0" w:space="0" w:color="auto"/>
      </w:divBdr>
    </w:div>
    <w:div w:id="958488502">
      <w:bodyDiv w:val="1"/>
      <w:marLeft w:val="0"/>
      <w:marRight w:val="0"/>
      <w:marTop w:val="0"/>
      <w:marBottom w:val="0"/>
      <w:divBdr>
        <w:top w:val="none" w:sz="0" w:space="0" w:color="auto"/>
        <w:left w:val="none" w:sz="0" w:space="0" w:color="auto"/>
        <w:bottom w:val="none" w:sz="0" w:space="0" w:color="auto"/>
        <w:right w:val="none" w:sz="0" w:space="0" w:color="auto"/>
      </w:divBdr>
    </w:div>
    <w:div w:id="958535144">
      <w:bodyDiv w:val="1"/>
      <w:marLeft w:val="0"/>
      <w:marRight w:val="0"/>
      <w:marTop w:val="0"/>
      <w:marBottom w:val="0"/>
      <w:divBdr>
        <w:top w:val="none" w:sz="0" w:space="0" w:color="auto"/>
        <w:left w:val="none" w:sz="0" w:space="0" w:color="auto"/>
        <w:bottom w:val="none" w:sz="0" w:space="0" w:color="auto"/>
        <w:right w:val="none" w:sz="0" w:space="0" w:color="auto"/>
      </w:divBdr>
      <w:divsChild>
        <w:div w:id="290600766">
          <w:marLeft w:val="0"/>
          <w:marRight w:val="0"/>
          <w:marTop w:val="0"/>
          <w:marBottom w:val="0"/>
          <w:divBdr>
            <w:top w:val="none" w:sz="0" w:space="0" w:color="auto"/>
            <w:left w:val="none" w:sz="0" w:space="0" w:color="auto"/>
            <w:bottom w:val="none" w:sz="0" w:space="0" w:color="auto"/>
            <w:right w:val="none" w:sz="0" w:space="0" w:color="auto"/>
          </w:divBdr>
          <w:divsChild>
            <w:div w:id="750543972">
              <w:marLeft w:val="0"/>
              <w:marRight w:val="0"/>
              <w:marTop w:val="120"/>
              <w:marBottom w:val="0"/>
              <w:divBdr>
                <w:top w:val="none" w:sz="0" w:space="0" w:color="auto"/>
                <w:left w:val="none" w:sz="0" w:space="0" w:color="auto"/>
                <w:bottom w:val="none" w:sz="0" w:space="0" w:color="auto"/>
                <w:right w:val="none" w:sz="0" w:space="0" w:color="auto"/>
              </w:divBdr>
            </w:div>
            <w:div w:id="1950699613">
              <w:marLeft w:val="0"/>
              <w:marRight w:val="0"/>
              <w:marTop w:val="0"/>
              <w:marBottom w:val="0"/>
              <w:divBdr>
                <w:top w:val="none" w:sz="0" w:space="0" w:color="auto"/>
                <w:left w:val="none" w:sz="0" w:space="0" w:color="auto"/>
                <w:bottom w:val="none" w:sz="0" w:space="0" w:color="auto"/>
                <w:right w:val="none" w:sz="0" w:space="0" w:color="auto"/>
              </w:divBdr>
            </w:div>
          </w:divsChild>
        </w:div>
        <w:div w:id="1895965807">
          <w:marLeft w:val="0"/>
          <w:marRight w:val="0"/>
          <w:marTop w:val="0"/>
          <w:marBottom w:val="0"/>
          <w:divBdr>
            <w:top w:val="none" w:sz="0" w:space="0" w:color="auto"/>
            <w:left w:val="none" w:sz="0" w:space="0" w:color="auto"/>
            <w:bottom w:val="none" w:sz="0" w:space="0" w:color="auto"/>
            <w:right w:val="none" w:sz="0" w:space="0" w:color="auto"/>
          </w:divBdr>
          <w:divsChild>
            <w:div w:id="95904441">
              <w:marLeft w:val="0"/>
              <w:marRight w:val="0"/>
              <w:marTop w:val="0"/>
              <w:marBottom w:val="0"/>
              <w:divBdr>
                <w:top w:val="none" w:sz="0" w:space="0" w:color="auto"/>
                <w:left w:val="none" w:sz="0" w:space="0" w:color="auto"/>
                <w:bottom w:val="none" w:sz="0" w:space="0" w:color="auto"/>
                <w:right w:val="none" w:sz="0" w:space="0" w:color="auto"/>
              </w:divBdr>
            </w:div>
            <w:div w:id="17519251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71981018">
      <w:bodyDiv w:val="1"/>
      <w:marLeft w:val="0"/>
      <w:marRight w:val="0"/>
      <w:marTop w:val="0"/>
      <w:marBottom w:val="0"/>
      <w:divBdr>
        <w:top w:val="none" w:sz="0" w:space="0" w:color="auto"/>
        <w:left w:val="none" w:sz="0" w:space="0" w:color="auto"/>
        <w:bottom w:val="none" w:sz="0" w:space="0" w:color="auto"/>
        <w:right w:val="none" w:sz="0" w:space="0" w:color="auto"/>
      </w:divBdr>
      <w:divsChild>
        <w:div w:id="500898171">
          <w:marLeft w:val="0"/>
          <w:marRight w:val="0"/>
          <w:marTop w:val="0"/>
          <w:marBottom w:val="0"/>
          <w:divBdr>
            <w:top w:val="none" w:sz="0" w:space="0" w:color="auto"/>
            <w:left w:val="none" w:sz="0" w:space="0" w:color="auto"/>
            <w:bottom w:val="none" w:sz="0" w:space="0" w:color="auto"/>
            <w:right w:val="none" w:sz="0" w:space="0" w:color="auto"/>
          </w:divBdr>
          <w:divsChild>
            <w:div w:id="717317279">
              <w:marLeft w:val="0"/>
              <w:marRight w:val="0"/>
              <w:marTop w:val="120"/>
              <w:marBottom w:val="0"/>
              <w:divBdr>
                <w:top w:val="none" w:sz="0" w:space="0" w:color="auto"/>
                <w:left w:val="none" w:sz="0" w:space="0" w:color="auto"/>
                <w:bottom w:val="none" w:sz="0" w:space="0" w:color="auto"/>
                <w:right w:val="none" w:sz="0" w:space="0" w:color="auto"/>
              </w:divBdr>
            </w:div>
            <w:div w:id="1490825310">
              <w:marLeft w:val="0"/>
              <w:marRight w:val="0"/>
              <w:marTop w:val="0"/>
              <w:marBottom w:val="0"/>
              <w:divBdr>
                <w:top w:val="none" w:sz="0" w:space="0" w:color="auto"/>
                <w:left w:val="none" w:sz="0" w:space="0" w:color="auto"/>
                <w:bottom w:val="none" w:sz="0" w:space="0" w:color="auto"/>
                <w:right w:val="none" w:sz="0" w:space="0" w:color="auto"/>
              </w:divBdr>
            </w:div>
          </w:divsChild>
        </w:div>
        <w:div w:id="688024181">
          <w:marLeft w:val="0"/>
          <w:marRight w:val="0"/>
          <w:marTop w:val="0"/>
          <w:marBottom w:val="0"/>
          <w:divBdr>
            <w:top w:val="none" w:sz="0" w:space="0" w:color="auto"/>
            <w:left w:val="none" w:sz="0" w:space="0" w:color="auto"/>
            <w:bottom w:val="none" w:sz="0" w:space="0" w:color="auto"/>
            <w:right w:val="none" w:sz="0" w:space="0" w:color="auto"/>
          </w:divBdr>
          <w:divsChild>
            <w:div w:id="323238400">
              <w:marLeft w:val="0"/>
              <w:marRight w:val="0"/>
              <w:marTop w:val="120"/>
              <w:marBottom w:val="0"/>
              <w:divBdr>
                <w:top w:val="none" w:sz="0" w:space="0" w:color="auto"/>
                <w:left w:val="none" w:sz="0" w:space="0" w:color="auto"/>
                <w:bottom w:val="none" w:sz="0" w:space="0" w:color="auto"/>
                <w:right w:val="none" w:sz="0" w:space="0" w:color="auto"/>
              </w:divBdr>
            </w:div>
            <w:div w:id="900948690">
              <w:marLeft w:val="0"/>
              <w:marRight w:val="0"/>
              <w:marTop w:val="0"/>
              <w:marBottom w:val="0"/>
              <w:divBdr>
                <w:top w:val="none" w:sz="0" w:space="0" w:color="auto"/>
                <w:left w:val="none" w:sz="0" w:space="0" w:color="auto"/>
                <w:bottom w:val="none" w:sz="0" w:space="0" w:color="auto"/>
                <w:right w:val="none" w:sz="0" w:space="0" w:color="auto"/>
              </w:divBdr>
              <w:divsChild>
                <w:div w:id="371030653">
                  <w:marLeft w:val="0"/>
                  <w:marRight w:val="0"/>
                  <w:marTop w:val="0"/>
                  <w:marBottom w:val="0"/>
                  <w:divBdr>
                    <w:top w:val="none" w:sz="0" w:space="0" w:color="auto"/>
                    <w:left w:val="none" w:sz="0" w:space="0" w:color="auto"/>
                    <w:bottom w:val="none" w:sz="0" w:space="0" w:color="auto"/>
                    <w:right w:val="none" w:sz="0" w:space="0" w:color="auto"/>
                  </w:divBdr>
                  <w:divsChild>
                    <w:div w:id="1765956718">
                      <w:marLeft w:val="0"/>
                      <w:marRight w:val="0"/>
                      <w:marTop w:val="0"/>
                      <w:marBottom w:val="0"/>
                      <w:divBdr>
                        <w:top w:val="none" w:sz="0" w:space="0" w:color="auto"/>
                        <w:left w:val="none" w:sz="0" w:space="0" w:color="auto"/>
                        <w:bottom w:val="none" w:sz="0" w:space="0" w:color="auto"/>
                        <w:right w:val="none" w:sz="0" w:space="0" w:color="auto"/>
                      </w:divBdr>
                    </w:div>
                    <w:div w:id="2008630726">
                      <w:marLeft w:val="0"/>
                      <w:marRight w:val="0"/>
                      <w:marTop w:val="120"/>
                      <w:marBottom w:val="0"/>
                      <w:divBdr>
                        <w:top w:val="none" w:sz="0" w:space="0" w:color="auto"/>
                        <w:left w:val="none" w:sz="0" w:space="0" w:color="auto"/>
                        <w:bottom w:val="none" w:sz="0" w:space="0" w:color="auto"/>
                        <w:right w:val="none" w:sz="0" w:space="0" w:color="auto"/>
                      </w:divBdr>
                    </w:div>
                  </w:divsChild>
                </w:div>
                <w:div w:id="620839580">
                  <w:marLeft w:val="0"/>
                  <w:marRight w:val="0"/>
                  <w:marTop w:val="0"/>
                  <w:marBottom w:val="0"/>
                  <w:divBdr>
                    <w:top w:val="none" w:sz="0" w:space="0" w:color="auto"/>
                    <w:left w:val="none" w:sz="0" w:space="0" w:color="auto"/>
                    <w:bottom w:val="none" w:sz="0" w:space="0" w:color="auto"/>
                    <w:right w:val="none" w:sz="0" w:space="0" w:color="auto"/>
                  </w:divBdr>
                  <w:divsChild>
                    <w:div w:id="632949780">
                      <w:marLeft w:val="0"/>
                      <w:marRight w:val="0"/>
                      <w:marTop w:val="120"/>
                      <w:marBottom w:val="0"/>
                      <w:divBdr>
                        <w:top w:val="none" w:sz="0" w:space="0" w:color="auto"/>
                        <w:left w:val="none" w:sz="0" w:space="0" w:color="auto"/>
                        <w:bottom w:val="none" w:sz="0" w:space="0" w:color="auto"/>
                        <w:right w:val="none" w:sz="0" w:space="0" w:color="auto"/>
                      </w:divBdr>
                    </w:div>
                    <w:div w:id="14340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90376">
          <w:marLeft w:val="0"/>
          <w:marRight w:val="0"/>
          <w:marTop w:val="0"/>
          <w:marBottom w:val="0"/>
          <w:divBdr>
            <w:top w:val="none" w:sz="0" w:space="0" w:color="auto"/>
            <w:left w:val="none" w:sz="0" w:space="0" w:color="auto"/>
            <w:bottom w:val="none" w:sz="0" w:space="0" w:color="auto"/>
            <w:right w:val="none" w:sz="0" w:space="0" w:color="auto"/>
          </w:divBdr>
          <w:divsChild>
            <w:div w:id="855928726">
              <w:marLeft w:val="0"/>
              <w:marRight w:val="0"/>
              <w:marTop w:val="120"/>
              <w:marBottom w:val="0"/>
              <w:divBdr>
                <w:top w:val="none" w:sz="0" w:space="0" w:color="auto"/>
                <w:left w:val="none" w:sz="0" w:space="0" w:color="auto"/>
                <w:bottom w:val="none" w:sz="0" w:space="0" w:color="auto"/>
                <w:right w:val="none" w:sz="0" w:space="0" w:color="auto"/>
              </w:divBdr>
            </w:div>
            <w:div w:id="883952246">
              <w:marLeft w:val="0"/>
              <w:marRight w:val="0"/>
              <w:marTop w:val="0"/>
              <w:marBottom w:val="0"/>
              <w:divBdr>
                <w:top w:val="none" w:sz="0" w:space="0" w:color="auto"/>
                <w:left w:val="none" w:sz="0" w:space="0" w:color="auto"/>
                <w:bottom w:val="none" w:sz="0" w:space="0" w:color="auto"/>
                <w:right w:val="none" w:sz="0" w:space="0" w:color="auto"/>
              </w:divBdr>
              <w:divsChild>
                <w:div w:id="1717853075">
                  <w:marLeft w:val="0"/>
                  <w:marRight w:val="0"/>
                  <w:marTop w:val="0"/>
                  <w:marBottom w:val="0"/>
                  <w:divBdr>
                    <w:top w:val="none" w:sz="0" w:space="0" w:color="auto"/>
                    <w:left w:val="none" w:sz="0" w:space="0" w:color="auto"/>
                    <w:bottom w:val="none" w:sz="0" w:space="0" w:color="auto"/>
                    <w:right w:val="none" w:sz="0" w:space="0" w:color="auto"/>
                  </w:divBdr>
                  <w:divsChild>
                    <w:div w:id="544414570">
                      <w:marLeft w:val="0"/>
                      <w:marRight w:val="0"/>
                      <w:marTop w:val="120"/>
                      <w:marBottom w:val="0"/>
                      <w:divBdr>
                        <w:top w:val="none" w:sz="0" w:space="0" w:color="auto"/>
                        <w:left w:val="none" w:sz="0" w:space="0" w:color="auto"/>
                        <w:bottom w:val="none" w:sz="0" w:space="0" w:color="auto"/>
                        <w:right w:val="none" w:sz="0" w:space="0" w:color="auto"/>
                      </w:divBdr>
                    </w:div>
                    <w:div w:id="1024943821">
                      <w:marLeft w:val="0"/>
                      <w:marRight w:val="0"/>
                      <w:marTop w:val="0"/>
                      <w:marBottom w:val="0"/>
                      <w:divBdr>
                        <w:top w:val="none" w:sz="0" w:space="0" w:color="auto"/>
                        <w:left w:val="none" w:sz="0" w:space="0" w:color="auto"/>
                        <w:bottom w:val="none" w:sz="0" w:space="0" w:color="auto"/>
                        <w:right w:val="none" w:sz="0" w:space="0" w:color="auto"/>
                      </w:divBdr>
                    </w:div>
                  </w:divsChild>
                </w:div>
                <w:div w:id="2046058977">
                  <w:marLeft w:val="0"/>
                  <w:marRight w:val="0"/>
                  <w:marTop w:val="0"/>
                  <w:marBottom w:val="0"/>
                  <w:divBdr>
                    <w:top w:val="none" w:sz="0" w:space="0" w:color="auto"/>
                    <w:left w:val="none" w:sz="0" w:space="0" w:color="auto"/>
                    <w:bottom w:val="none" w:sz="0" w:space="0" w:color="auto"/>
                    <w:right w:val="none" w:sz="0" w:space="0" w:color="auto"/>
                  </w:divBdr>
                  <w:divsChild>
                    <w:div w:id="691303549">
                      <w:marLeft w:val="0"/>
                      <w:marRight w:val="0"/>
                      <w:marTop w:val="0"/>
                      <w:marBottom w:val="0"/>
                      <w:divBdr>
                        <w:top w:val="none" w:sz="0" w:space="0" w:color="auto"/>
                        <w:left w:val="none" w:sz="0" w:space="0" w:color="auto"/>
                        <w:bottom w:val="none" w:sz="0" w:space="0" w:color="auto"/>
                        <w:right w:val="none" w:sz="0" w:space="0" w:color="auto"/>
                      </w:divBdr>
                    </w:div>
                    <w:div w:id="16970040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74335506">
      <w:bodyDiv w:val="1"/>
      <w:marLeft w:val="0"/>
      <w:marRight w:val="0"/>
      <w:marTop w:val="0"/>
      <w:marBottom w:val="0"/>
      <w:divBdr>
        <w:top w:val="none" w:sz="0" w:space="0" w:color="auto"/>
        <w:left w:val="none" w:sz="0" w:space="0" w:color="auto"/>
        <w:bottom w:val="none" w:sz="0" w:space="0" w:color="auto"/>
        <w:right w:val="none" w:sz="0" w:space="0" w:color="auto"/>
      </w:divBdr>
    </w:div>
    <w:div w:id="976496626">
      <w:bodyDiv w:val="1"/>
      <w:marLeft w:val="0"/>
      <w:marRight w:val="0"/>
      <w:marTop w:val="0"/>
      <w:marBottom w:val="0"/>
      <w:divBdr>
        <w:top w:val="none" w:sz="0" w:space="0" w:color="auto"/>
        <w:left w:val="none" w:sz="0" w:space="0" w:color="auto"/>
        <w:bottom w:val="none" w:sz="0" w:space="0" w:color="auto"/>
        <w:right w:val="none" w:sz="0" w:space="0" w:color="auto"/>
      </w:divBdr>
      <w:divsChild>
        <w:div w:id="1547571219">
          <w:marLeft w:val="0"/>
          <w:marRight w:val="0"/>
          <w:marTop w:val="0"/>
          <w:marBottom w:val="0"/>
          <w:divBdr>
            <w:top w:val="none" w:sz="0" w:space="0" w:color="auto"/>
            <w:left w:val="none" w:sz="0" w:space="0" w:color="auto"/>
            <w:bottom w:val="none" w:sz="0" w:space="0" w:color="auto"/>
            <w:right w:val="none" w:sz="0" w:space="0" w:color="auto"/>
          </w:divBdr>
          <w:divsChild>
            <w:div w:id="1416366750">
              <w:marLeft w:val="0"/>
              <w:marRight w:val="0"/>
              <w:marTop w:val="0"/>
              <w:marBottom w:val="0"/>
              <w:divBdr>
                <w:top w:val="none" w:sz="0" w:space="0" w:color="auto"/>
                <w:left w:val="none" w:sz="0" w:space="0" w:color="auto"/>
                <w:bottom w:val="none" w:sz="0" w:space="0" w:color="auto"/>
                <w:right w:val="none" w:sz="0" w:space="0" w:color="auto"/>
              </w:divBdr>
              <w:divsChild>
                <w:div w:id="1302157334">
                  <w:marLeft w:val="0"/>
                  <w:marRight w:val="0"/>
                  <w:marTop w:val="0"/>
                  <w:marBottom w:val="0"/>
                  <w:divBdr>
                    <w:top w:val="none" w:sz="0" w:space="0" w:color="auto"/>
                    <w:left w:val="none" w:sz="0" w:space="0" w:color="auto"/>
                    <w:bottom w:val="none" w:sz="0" w:space="0" w:color="auto"/>
                    <w:right w:val="none" w:sz="0" w:space="0" w:color="auto"/>
                  </w:divBdr>
                  <w:divsChild>
                    <w:div w:id="186336419">
                      <w:marLeft w:val="0"/>
                      <w:marRight w:val="0"/>
                      <w:marTop w:val="0"/>
                      <w:marBottom w:val="0"/>
                      <w:divBdr>
                        <w:top w:val="none" w:sz="0" w:space="0" w:color="auto"/>
                        <w:left w:val="none" w:sz="0" w:space="0" w:color="auto"/>
                        <w:bottom w:val="none" w:sz="0" w:space="0" w:color="auto"/>
                        <w:right w:val="none" w:sz="0" w:space="0" w:color="auto"/>
                      </w:divBdr>
                    </w:div>
                    <w:div w:id="16440403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76761830">
      <w:bodyDiv w:val="1"/>
      <w:marLeft w:val="0"/>
      <w:marRight w:val="0"/>
      <w:marTop w:val="0"/>
      <w:marBottom w:val="0"/>
      <w:divBdr>
        <w:top w:val="none" w:sz="0" w:space="0" w:color="auto"/>
        <w:left w:val="none" w:sz="0" w:space="0" w:color="auto"/>
        <w:bottom w:val="none" w:sz="0" w:space="0" w:color="auto"/>
        <w:right w:val="none" w:sz="0" w:space="0" w:color="auto"/>
      </w:divBdr>
    </w:div>
    <w:div w:id="978613740">
      <w:bodyDiv w:val="1"/>
      <w:marLeft w:val="0"/>
      <w:marRight w:val="0"/>
      <w:marTop w:val="0"/>
      <w:marBottom w:val="0"/>
      <w:divBdr>
        <w:top w:val="none" w:sz="0" w:space="0" w:color="auto"/>
        <w:left w:val="none" w:sz="0" w:space="0" w:color="auto"/>
        <w:bottom w:val="none" w:sz="0" w:space="0" w:color="auto"/>
        <w:right w:val="none" w:sz="0" w:space="0" w:color="auto"/>
      </w:divBdr>
      <w:divsChild>
        <w:div w:id="1934700635">
          <w:marLeft w:val="0"/>
          <w:marRight w:val="0"/>
          <w:marTop w:val="0"/>
          <w:marBottom w:val="0"/>
          <w:divBdr>
            <w:top w:val="none" w:sz="0" w:space="0" w:color="auto"/>
            <w:left w:val="none" w:sz="0" w:space="0" w:color="auto"/>
            <w:bottom w:val="none" w:sz="0" w:space="0" w:color="auto"/>
            <w:right w:val="none" w:sz="0" w:space="0" w:color="auto"/>
          </w:divBdr>
          <w:divsChild>
            <w:div w:id="1121220676">
              <w:marLeft w:val="0"/>
              <w:marRight w:val="0"/>
              <w:marTop w:val="0"/>
              <w:marBottom w:val="0"/>
              <w:divBdr>
                <w:top w:val="none" w:sz="0" w:space="0" w:color="auto"/>
                <w:left w:val="none" w:sz="0" w:space="0" w:color="auto"/>
                <w:bottom w:val="none" w:sz="0" w:space="0" w:color="auto"/>
                <w:right w:val="none" w:sz="0" w:space="0" w:color="auto"/>
              </w:divBdr>
              <w:divsChild>
                <w:div w:id="672488539">
                  <w:marLeft w:val="0"/>
                  <w:marRight w:val="0"/>
                  <w:marTop w:val="0"/>
                  <w:marBottom w:val="0"/>
                  <w:divBdr>
                    <w:top w:val="none" w:sz="0" w:space="0" w:color="auto"/>
                    <w:left w:val="none" w:sz="0" w:space="0" w:color="auto"/>
                    <w:bottom w:val="none" w:sz="0" w:space="0" w:color="auto"/>
                    <w:right w:val="none" w:sz="0" w:space="0" w:color="auto"/>
                  </w:divBdr>
                  <w:divsChild>
                    <w:div w:id="626855991">
                      <w:marLeft w:val="0"/>
                      <w:marRight w:val="0"/>
                      <w:marTop w:val="0"/>
                      <w:marBottom w:val="0"/>
                      <w:divBdr>
                        <w:top w:val="none" w:sz="0" w:space="0" w:color="auto"/>
                        <w:left w:val="none" w:sz="0" w:space="0" w:color="auto"/>
                        <w:bottom w:val="none" w:sz="0" w:space="0" w:color="auto"/>
                        <w:right w:val="none" w:sz="0" w:space="0" w:color="auto"/>
                      </w:divBdr>
                    </w:div>
                    <w:div w:id="1179194544">
                      <w:marLeft w:val="0"/>
                      <w:marRight w:val="0"/>
                      <w:marTop w:val="120"/>
                      <w:marBottom w:val="0"/>
                      <w:divBdr>
                        <w:top w:val="none" w:sz="0" w:space="0" w:color="auto"/>
                        <w:left w:val="none" w:sz="0" w:space="0" w:color="auto"/>
                        <w:bottom w:val="none" w:sz="0" w:space="0" w:color="auto"/>
                        <w:right w:val="none" w:sz="0" w:space="0" w:color="auto"/>
                      </w:divBdr>
                    </w:div>
                  </w:divsChild>
                </w:div>
                <w:div w:id="2031564332">
                  <w:marLeft w:val="0"/>
                  <w:marRight w:val="0"/>
                  <w:marTop w:val="0"/>
                  <w:marBottom w:val="0"/>
                  <w:divBdr>
                    <w:top w:val="none" w:sz="0" w:space="0" w:color="auto"/>
                    <w:left w:val="none" w:sz="0" w:space="0" w:color="auto"/>
                    <w:bottom w:val="none" w:sz="0" w:space="0" w:color="auto"/>
                    <w:right w:val="none" w:sz="0" w:space="0" w:color="auto"/>
                  </w:divBdr>
                  <w:divsChild>
                    <w:div w:id="319043895">
                      <w:marLeft w:val="0"/>
                      <w:marRight w:val="0"/>
                      <w:marTop w:val="0"/>
                      <w:marBottom w:val="0"/>
                      <w:divBdr>
                        <w:top w:val="none" w:sz="0" w:space="0" w:color="auto"/>
                        <w:left w:val="none" w:sz="0" w:space="0" w:color="auto"/>
                        <w:bottom w:val="none" w:sz="0" w:space="0" w:color="auto"/>
                        <w:right w:val="none" w:sz="0" w:space="0" w:color="auto"/>
                      </w:divBdr>
                    </w:div>
                    <w:div w:id="18051243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89942044">
      <w:bodyDiv w:val="1"/>
      <w:marLeft w:val="0"/>
      <w:marRight w:val="0"/>
      <w:marTop w:val="0"/>
      <w:marBottom w:val="0"/>
      <w:divBdr>
        <w:top w:val="none" w:sz="0" w:space="0" w:color="auto"/>
        <w:left w:val="none" w:sz="0" w:space="0" w:color="auto"/>
        <w:bottom w:val="none" w:sz="0" w:space="0" w:color="auto"/>
        <w:right w:val="none" w:sz="0" w:space="0" w:color="auto"/>
      </w:divBdr>
    </w:div>
    <w:div w:id="1023095776">
      <w:bodyDiv w:val="1"/>
      <w:marLeft w:val="0"/>
      <w:marRight w:val="0"/>
      <w:marTop w:val="0"/>
      <w:marBottom w:val="0"/>
      <w:divBdr>
        <w:top w:val="none" w:sz="0" w:space="0" w:color="auto"/>
        <w:left w:val="none" w:sz="0" w:space="0" w:color="auto"/>
        <w:bottom w:val="none" w:sz="0" w:space="0" w:color="auto"/>
        <w:right w:val="none" w:sz="0" w:space="0" w:color="auto"/>
      </w:divBdr>
    </w:div>
    <w:div w:id="1027099466">
      <w:bodyDiv w:val="1"/>
      <w:marLeft w:val="0"/>
      <w:marRight w:val="0"/>
      <w:marTop w:val="0"/>
      <w:marBottom w:val="0"/>
      <w:divBdr>
        <w:top w:val="none" w:sz="0" w:space="0" w:color="auto"/>
        <w:left w:val="none" w:sz="0" w:space="0" w:color="auto"/>
        <w:bottom w:val="none" w:sz="0" w:space="0" w:color="auto"/>
        <w:right w:val="none" w:sz="0" w:space="0" w:color="auto"/>
      </w:divBdr>
      <w:divsChild>
        <w:div w:id="778338254">
          <w:marLeft w:val="0"/>
          <w:marRight w:val="0"/>
          <w:marTop w:val="0"/>
          <w:marBottom w:val="0"/>
          <w:divBdr>
            <w:top w:val="none" w:sz="0" w:space="0" w:color="auto"/>
            <w:left w:val="none" w:sz="0" w:space="0" w:color="auto"/>
            <w:bottom w:val="none" w:sz="0" w:space="0" w:color="auto"/>
            <w:right w:val="none" w:sz="0" w:space="0" w:color="auto"/>
          </w:divBdr>
          <w:divsChild>
            <w:div w:id="1988781077">
              <w:marLeft w:val="0"/>
              <w:marRight w:val="0"/>
              <w:marTop w:val="0"/>
              <w:marBottom w:val="0"/>
              <w:divBdr>
                <w:top w:val="none" w:sz="0" w:space="0" w:color="auto"/>
                <w:left w:val="none" w:sz="0" w:space="0" w:color="auto"/>
                <w:bottom w:val="none" w:sz="0" w:space="0" w:color="auto"/>
                <w:right w:val="none" w:sz="0" w:space="0" w:color="auto"/>
              </w:divBdr>
              <w:divsChild>
                <w:div w:id="1920216330">
                  <w:marLeft w:val="0"/>
                  <w:marRight w:val="0"/>
                  <w:marTop w:val="0"/>
                  <w:marBottom w:val="0"/>
                  <w:divBdr>
                    <w:top w:val="none" w:sz="0" w:space="0" w:color="auto"/>
                    <w:left w:val="none" w:sz="0" w:space="0" w:color="auto"/>
                    <w:bottom w:val="none" w:sz="0" w:space="0" w:color="auto"/>
                    <w:right w:val="none" w:sz="0" w:space="0" w:color="auto"/>
                  </w:divBdr>
                  <w:divsChild>
                    <w:div w:id="887374642">
                      <w:marLeft w:val="0"/>
                      <w:marRight w:val="0"/>
                      <w:marTop w:val="120"/>
                      <w:marBottom w:val="0"/>
                      <w:divBdr>
                        <w:top w:val="none" w:sz="0" w:space="0" w:color="auto"/>
                        <w:left w:val="none" w:sz="0" w:space="0" w:color="auto"/>
                        <w:bottom w:val="none" w:sz="0" w:space="0" w:color="auto"/>
                        <w:right w:val="none" w:sz="0" w:space="0" w:color="auto"/>
                      </w:divBdr>
                    </w:div>
                    <w:div w:id="18452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145966">
      <w:bodyDiv w:val="1"/>
      <w:marLeft w:val="0"/>
      <w:marRight w:val="0"/>
      <w:marTop w:val="0"/>
      <w:marBottom w:val="0"/>
      <w:divBdr>
        <w:top w:val="none" w:sz="0" w:space="0" w:color="auto"/>
        <w:left w:val="none" w:sz="0" w:space="0" w:color="auto"/>
        <w:bottom w:val="none" w:sz="0" w:space="0" w:color="auto"/>
        <w:right w:val="none" w:sz="0" w:space="0" w:color="auto"/>
      </w:divBdr>
      <w:divsChild>
        <w:div w:id="541209295">
          <w:marLeft w:val="0"/>
          <w:marRight w:val="0"/>
          <w:marTop w:val="0"/>
          <w:marBottom w:val="0"/>
          <w:divBdr>
            <w:top w:val="none" w:sz="0" w:space="0" w:color="auto"/>
            <w:left w:val="none" w:sz="0" w:space="0" w:color="auto"/>
            <w:bottom w:val="none" w:sz="0" w:space="0" w:color="auto"/>
            <w:right w:val="none" w:sz="0" w:space="0" w:color="auto"/>
          </w:divBdr>
          <w:divsChild>
            <w:div w:id="381027249">
              <w:marLeft w:val="0"/>
              <w:marRight w:val="0"/>
              <w:marTop w:val="0"/>
              <w:marBottom w:val="0"/>
              <w:divBdr>
                <w:top w:val="none" w:sz="0" w:space="0" w:color="auto"/>
                <w:left w:val="none" w:sz="0" w:space="0" w:color="auto"/>
                <w:bottom w:val="none" w:sz="0" w:space="0" w:color="auto"/>
                <w:right w:val="none" w:sz="0" w:space="0" w:color="auto"/>
              </w:divBdr>
              <w:divsChild>
                <w:div w:id="102649992">
                  <w:marLeft w:val="0"/>
                  <w:marRight w:val="0"/>
                  <w:marTop w:val="0"/>
                  <w:marBottom w:val="0"/>
                  <w:divBdr>
                    <w:top w:val="none" w:sz="0" w:space="0" w:color="auto"/>
                    <w:left w:val="none" w:sz="0" w:space="0" w:color="auto"/>
                    <w:bottom w:val="none" w:sz="0" w:space="0" w:color="auto"/>
                    <w:right w:val="none" w:sz="0" w:space="0" w:color="auto"/>
                  </w:divBdr>
                  <w:divsChild>
                    <w:div w:id="354966638">
                      <w:marLeft w:val="0"/>
                      <w:marRight w:val="0"/>
                      <w:marTop w:val="0"/>
                      <w:marBottom w:val="0"/>
                      <w:divBdr>
                        <w:top w:val="none" w:sz="0" w:space="0" w:color="auto"/>
                        <w:left w:val="none" w:sz="0" w:space="0" w:color="auto"/>
                        <w:bottom w:val="none" w:sz="0" w:space="0" w:color="auto"/>
                        <w:right w:val="none" w:sz="0" w:space="0" w:color="auto"/>
                      </w:divBdr>
                    </w:div>
                  </w:divsChild>
                </w:div>
                <w:div w:id="119306771">
                  <w:marLeft w:val="0"/>
                  <w:marRight w:val="0"/>
                  <w:marTop w:val="0"/>
                  <w:marBottom w:val="0"/>
                  <w:divBdr>
                    <w:top w:val="none" w:sz="0" w:space="0" w:color="auto"/>
                    <w:left w:val="none" w:sz="0" w:space="0" w:color="auto"/>
                    <w:bottom w:val="none" w:sz="0" w:space="0" w:color="auto"/>
                    <w:right w:val="none" w:sz="0" w:space="0" w:color="auto"/>
                  </w:divBdr>
                  <w:divsChild>
                    <w:div w:id="1683628770">
                      <w:marLeft w:val="0"/>
                      <w:marRight w:val="0"/>
                      <w:marTop w:val="120"/>
                      <w:marBottom w:val="0"/>
                      <w:divBdr>
                        <w:top w:val="none" w:sz="0" w:space="0" w:color="auto"/>
                        <w:left w:val="none" w:sz="0" w:space="0" w:color="auto"/>
                        <w:bottom w:val="none" w:sz="0" w:space="0" w:color="auto"/>
                        <w:right w:val="none" w:sz="0" w:space="0" w:color="auto"/>
                      </w:divBdr>
                    </w:div>
                    <w:div w:id="1731659013">
                      <w:marLeft w:val="0"/>
                      <w:marRight w:val="0"/>
                      <w:marTop w:val="0"/>
                      <w:marBottom w:val="0"/>
                      <w:divBdr>
                        <w:top w:val="none" w:sz="0" w:space="0" w:color="auto"/>
                        <w:left w:val="none" w:sz="0" w:space="0" w:color="auto"/>
                        <w:bottom w:val="none" w:sz="0" w:space="0" w:color="auto"/>
                        <w:right w:val="none" w:sz="0" w:space="0" w:color="auto"/>
                      </w:divBdr>
                      <w:divsChild>
                        <w:div w:id="269704989">
                          <w:marLeft w:val="0"/>
                          <w:marRight w:val="0"/>
                          <w:marTop w:val="0"/>
                          <w:marBottom w:val="0"/>
                          <w:divBdr>
                            <w:top w:val="none" w:sz="0" w:space="0" w:color="auto"/>
                            <w:left w:val="none" w:sz="0" w:space="0" w:color="auto"/>
                            <w:bottom w:val="none" w:sz="0" w:space="0" w:color="auto"/>
                            <w:right w:val="none" w:sz="0" w:space="0" w:color="auto"/>
                          </w:divBdr>
                          <w:divsChild>
                            <w:div w:id="1365401273">
                              <w:marLeft w:val="0"/>
                              <w:marRight w:val="0"/>
                              <w:marTop w:val="120"/>
                              <w:marBottom w:val="0"/>
                              <w:divBdr>
                                <w:top w:val="none" w:sz="0" w:space="0" w:color="auto"/>
                                <w:left w:val="none" w:sz="0" w:space="0" w:color="auto"/>
                                <w:bottom w:val="none" w:sz="0" w:space="0" w:color="auto"/>
                                <w:right w:val="none" w:sz="0" w:space="0" w:color="auto"/>
                              </w:divBdr>
                            </w:div>
                            <w:div w:id="2119253754">
                              <w:marLeft w:val="0"/>
                              <w:marRight w:val="0"/>
                              <w:marTop w:val="0"/>
                              <w:marBottom w:val="0"/>
                              <w:divBdr>
                                <w:top w:val="none" w:sz="0" w:space="0" w:color="auto"/>
                                <w:left w:val="none" w:sz="0" w:space="0" w:color="auto"/>
                                <w:bottom w:val="none" w:sz="0" w:space="0" w:color="auto"/>
                                <w:right w:val="none" w:sz="0" w:space="0" w:color="auto"/>
                              </w:divBdr>
                            </w:div>
                          </w:divsChild>
                        </w:div>
                        <w:div w:id="1860466369">
                          <w:marLeft w:val="0"/>
                          <w:marRight w:val="0"/>
                          <w:marTop w:val="0"/>
                          <w:marBottom w:val="0"/>
                          <w:divBdr>
                            <w:top w:val="none" w:sz="0" w:space="0" w:color="auto"/>
                            <w:left w:val="none" w:sz="0" w:space="0" w:color="auto"/>
                            <w:bottom w:val="none" w:sz="0" w:space="0" w:color="auto"/>
                            <w:right w:val="none" w:sz="0" w:space="0" w:color="auto"/>
                          </w:divBdr>
                          <w:divsChild>
                            <w:div w:id="1163087667">
                              <w:marLeft w:val="0"/>
                              <w:marRight w:val="0"/>
                              <w:marTop w:val="0"/>
                              <w:marBottom w:val="0"/>
                              <w:divBdr>
                                <w:top w:val="none" w:sz="0" w:space="0" w:color="auto"/>
                                <w:left w:val="none" w:sz="0" w:space="0" w:color="auto"/>
                                <w:bottom w:val="none" w:sz="0" w:space="0" w:color="auto"/>
                                <w:right w:val="none" w:sz="0" w:space="0" w:color="auto"/>
                              </w:divBdr>
                            </w:div>
                            <w:div w:id="2135906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9098577">
                  <w:marLeft w:val="0"/>
                  <w:marRight w:val="0"/>
                  <w:marTop w:val="0"/>
                  <w:marBottom w:val="0"/>
                  <w:divBdr>
                    <w:top w:val="none" w:sz="0" w:space="0" w:color="auto"/>
                    <w:left w:val="none" w:sz="0" w:space="0" w:color="auto"/>
                    <w:bottom w:val="none" w:sz="0" w:space="0" w:color="auto"/>
                    <w:right w:val="none" w:sz="0" w:space="0" w:color="auto"/>
                  </w:divBdr>
                  <w:divsChild>
                    <w:div w:id="947203576">
                      <w:marLeft w:val="0"/>
                      <w:marRight w:val="0"/>
                      <w:marTop w:val="0"/>
                      <w:marBottom w:val="0"/>
                      <w:divBdr>
                        <w:top w:val="none" w:sz="0" w:space="0" w:color="auto"/>
                        <w:left w:val="none" w:sz="0" w:space="0" w:color="auto"/>
                        <w:bottom w:val="none" w:sz="0" w:space="0" w:color="auto"/>
                        <w:right w:val="none" w:sz="0" w:space="0" w:color="auto"/>
                      </w:divBdr>
                    </w:div>
                    <w:div w:id="1684629050">
                      <w:marLeft w:val="0"/>
                      <w:marRight w:val="0"/>
                      <w:marTop w:val="120"/>
                      <w:marBottom w:val="0"/>
                      <w:divBdr>
                        <w:top w:val="none" w:sz="0" w:space="0" w:color="auto"/>
                        <w:left w:val="none" w:sz="0" w:space="0" w:color="auto"/>
                        <w:bottom w:val="none" w:sz="0" w:space="0" w:color="auto"/>
                        <w:right w:val="none" w:sz="0" w:space="0" w:color="auto"/>
                      </w:divBdr>
                    </w:div>
                  </w:divsChild>
                </w:div>
                <w:div w:id="313293621">
                  <w:marLeft w:val="0"/>
                  <w:marRight w:val="0"/>
                  <w:marTop w:val="0"/>
                  <w:marBottom w:val="0"/>
                  <w:divBdr>
                    <w:top w:val="none" w:sz="0" w:space="0" w:color="auto"/>
                    <w:left w:val="none" w:sz="0" w:space="0" w:color="auto"/>
                    <w:bottom w:val="none" w:sz="0" w:space="0" w:color="auto"/>
                    <w:right w:val="none" w:sz="0" w:space="0" w:color="auto"/>
                  </w:divBdr>
                  <w:divsChild>
                    <w:div w:id="299962196">
                      <w:marLeft w:val="0"/>
                      <w:marRight w:val="0"/>
                      <w:marTop w:val="0"/>
                      <w:marBottom w:val="0"/>
                      <w:divBdr>
                        <w:top w:val="none" w:sz="0" w:space="0" w:color="auto"/>
                        <w:left w:val="none" w:sz="0" w:space="0" w:color="auto"/>
                        <w:bottom w:val="none" w:sz="0" w:space="0" w:color="auto"/>
                        <w:right w:val="none" w:sz="0" w:space="0" w:color="auto"/>
                      </w:divBdr>
                    </w:div>
                    <w:div w:id="889151422">
                      <w:marLeft w:val="0"/>
                      <w:marRight w:val="0"/>
                      <w:marTop w:val="120"/>
                      <w:marBottom w:val="0"/>
                      <w:divBdr>
                        <w:top w:val="none" w:sz="0" w:space="0" w:color="auto"/>
                        <w:left w:val="none" w:sz="0" w:space="0" w:color="auto"/>
                        <w:bottom w:val="none" w:sz="0" w:space="0" w:color="auto"/>
                        <w:right w:val="none" w:sz="0" w:space="0" w:color="auto"/>
                      </w:divBdr>
                    </w:div>
                  </w:divsChild>
                </w:div>
                <w:div w:id="566497051">
                  <w:marLeft w:val="0"/>
                  <w:marRight w:val="0"/>
                  <w:marTop w:val="0"/>
                  <w:marBottom w:val="0"/>
                  <w:divBdr>
                    <w:top w:val="none" w:sz="0" w:space="0" w:color="auto"/>
                    <w:left w:val="none" w:sz="0" w:space="0" w:color="auto"/>
                    <w:bottom w:val="none" w:sz="0" w:space="0" w:color="auto"/>
                    <w:right w:val="none" w:sz="0" w:space="0" w:color="auto"/>
                  </w:divBdr>
                  <w:divsChild>
                    <w:div w:id="1199125262">
                      <w:marLeft w:val="0"/>
                      <w:marRight w:val="0"/>
                      <w:marTop w:val="120"/>
                      <w:marBottom w:val="0"/>
                      <w:divBdr>
                        <w:top w:val="none" w:sz="0" w:space="0" w:color="auto"/>
                        <w:left w:val="none" w:sz="0" w:space="0" w:color="auto"/>
                        <w:bottom w:val="none" w:sz="0" w:space="0" w:color="auto"/>
                        <w:right w:val="none" w:sz="0" w:space="0" w:color="auto"/>
                      </w:divBdr>
                    </w:div>
                    <w:div w:id="1864318571">
                      <w:marLeft w:val="0"/>
                      <w:marRight w:val="0"/>
                      <w:marTop w:val="0"/>
                      <w:marBottom w:val="0"/>
                      <w:divBdr>
                        <w:top w:val="none" w:sz="0" w:space="0" w:color="auto"/>
                        <w:left w:val="none" w:sz="0" w:space="0" w:color="auto"/>
                        <w:bottom w:val="none" w:sz="0" w:space="0" w:color="auto"/>
                        <w:right w:val="none" w:sz="0" w:space="0" w:color="auto"/>
                      </w:divBdr>
                    </w:div>
                  </w:divsChild>
                </w:div>
                <w:div w:id="635455659">
                  <w:marLeft w:val="0"/>
                  <w:marRight w:val="0"/>
                  <w:marTop w:val="0"/>
                  <w:marBottom w:val="0"/>
                  <w:divBdr>
                    <w:top w:val="none" w:sz="0" w:space="0" w:color="auto"/>
                    <w:left w:val="none" w:sz="0" w:space="0" w:color="auto"/>
                    <w:bottom w:val="none" w:sz="0" w:space="0" w:color="auto"/>
                    <w:right w:val="none" w:sz="0" w:space="0" w:color="auto"/>
                  </w:divBdr>
                  <w:divsChild>
                    <w:div w:id="334037987">
                      <w:marLeft w:val="0"/>
                      <w:marRight w:val="0"/>
                      <w:marTop w:val="0"/>
                      <w:marBottom w:val="0"/>
                      <w:divBdr>
                        <w:top w:val="none" w:sz="0" w:space="0" w:color="auto"/>
                        <w:left w:val="none" w:sz="0" w:space="0" w:color="auto"/>
                        <w:bottom w:val="none" w:sz="0" w:space="0" w:color="auto"/>
                        <w:right w:val="none" w:sz="0" w:space="0" w:color="auto"/>
                      </w:divBdr>
                    </w:div>
                    <w:div w:id="1386415303">
                      <w:marLeft w:val="0"/>
                      <w:marRight w:val="0"/>
                      <w:marTop w:val="120"/>
                      <w:marBottom w:val="0"/>
                      <w:divBdr>
                        <w:top w:val="none" w:sz="0" w:space="0" w:color="auto"/>
                        <w:left w:val="none" w:sz="0" w:space="0" w:color="auto"/>
                        <w:bottom w:val="none" w:sz="0" w:space="0" w:color="auto"/>
                        <w:right w:val="none" w:sz="0" w:space="0" w:color="auto"/>
                      </w:divBdr>
                    </w:div>
                  </w:divsChild>
                </w:div>
                <w:div w:id="853499159">
                  <w:marLeft w:val="0"/>
                  <w:marRight w:val="0"/>
                  <w:marTop w:val="0"/>
                  <w:marBottom w:val="0"/>
                  <w:divBdr>
                    <w:top w:val="none" w:sz="0" w:space="0" w:color="auto"/>
                    <w:left w:val="none" w:sz="0" w:space="0" w:color="auto"/>
                    <w:bottom w:val="none" w:sz="0" w:space="0" w:color="auto"/>
                    <w:right w:val="none" w:sz="0" w:space="0" w:color="auto"/>
                  </w:divBdr>
                  <w:divsChild>
                    <w:div w:id="1148281636">
                      <w:marLeft w:val="0"/>
                      <w:marRight w:val="0"/>
                      <w:marTop w:val="120"/>
                      <w:marBottom w:val="0"/>
                      <w:divBdr>
                        <w:top w:val="none" w:sz="0" w:space="0" w:color="auto"/>
                        <w:left w:val="none" w:sz="0" w:space="0" w:color="auto"/>
                        <w:bottom w:val="none" w:sz="0" w:space="0" w:color="auto"/>
                        <w:right w:val="none" w:sz="0" w:space="0" w:color="auto"/>
                      </w:divBdr>
                    </w:div>
                    <w:div w:id="1748111442">
                      <w:marLeft w:val="0"/>
                      <w:marRight w:val="0"/>
                      <w:marTop w:val="0"/>
                      <w:marBottom w:val="0"/>
                      <w:divBdr>
                        <w:top w:val="none" w:sz="0" w:space="0" w:color="auto"/>
                        <w:left w:val="none" w:sz="0" w:space="0" w:color="auto"/>
                        <w:bottom w:val="none" w:sz="0" w:space="0" w:color="auto"/>
                        <w:right w:val="none" w:sz="0" w:space="0" w:color="auto"/>
                      </w:divBdr>
                    </w:div>
                  </w:divsChild>
                </w:div>
                <w:div w:id="1172378240">
                  <w:marLeft w:val="0"/>
                  <w:marRight w:val="0"/>
                  <w:marTop w:val="0"/>
                  <w:marBottom w:val="0"/>
                  <w:divBdr>
                    <w:top w:val="none" w:sz="0" w:space="0" w:color="auto"/>
                    <w:left w:val="none" w:sz="0" w:space="0" w:color="auto"/>
                    <w:bottom w:val="none" w:sz="0" w:space="0" w:color="auto"/>
                    <w:right w:val="none" w:sz="0" w:space="0" w:color="auto"/>
                  </w:divBdr>
                  <w:divsChild>
                    <w:div w:id="328365942">
                      <w:marLeft w:val="0"/>
                      <w:marRight w:val="0"/>
                      <w:marTop w:val="120"/>
                      <w:marBottom w:val="0"/>
                      <w:divBdr>
                        <w:top w:val="none" w:sz="0" w:space="0" w:color="auto"/>
                        <w:left w:val="none" w:sz="0" w:space="0" w:color="auto"/>
                        <w:bottom w:val="none" w:sz="0" w:space="0" w:color="auto"/>
                        <w:right w:val="none" w:sz="0" w:space="0" w:color="auto"/>
                      </w:divBdr>
                    </w:div>
                    <w:div w:id="19756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84940">
      <w:bodyDiv w:val="1"/>
      <w:marLeft w:val="0"/>
      <w:marRight w:val="0"/>
      <w:marTop w:val="0"/>
      <w:marBottom w:val="0"/>
      <w:divBdr>
        <w:top w:val="none" w:sz="0" w:space="0" w:color="auto"/>
        <w:left w:val="none" w:sz="0" w:space="0" w:color="auto"/>
        <w:bottom w:val="none" w:sz="0" w:space="0" w:color="auto"/>
        <w:right w:val="none" w:sz="0" w:space="0" w:color="auto"/>
      </w:divBdr>
    </w:div>
    <w:div w:id="1052265342">
      <w:bodyDiv w:val="1"/>
      <w:marLeft w:val="0"/>
      <w:marRight w:val="0"/>
      <w:marTop w:val="0"/>
      <w:marBottom w:val="0"/>
      <w:divBdr>
        <w:top w:val="none" w:sz="0" w:space="0" w:color="auto"/>
        <w:left w:val="none" w:sz="0" w:space="0" w:color="auto"/>
        <w:bottom w:val="none" w:sz="0" w:space="0" w:color="auto"/>
        <w:right w:val="none" w:sz="0" w:space="0" w:color="auto"/>
      </w:divBdr>
      <w:divsChild>
        <w:div w:id="1311444487">
          <w:marLeft w:val="0"/>
          <w:marRight w:val="0"/>
          <w:marTop w:val="0"/>
          <w:marBottom w:val="0"/>
          <w:divBdr>
            <w:top w:val="none" w:sz="0" w:space="0" w:color="auto"/>
            <w:left w:val="none" w:sz="0" w:space="0" w:color="auto"/>
            <w:bottom w:val="none" w:sz="0" w:space="0" w:color="auto"/>
            <w:right w:val="none" w:sz="0" w:space="0" w:color="auto"/>
          </w:divBdr>
        </w:div>
      </w:divsChild>
    </w:div>
    <w:div w:id="1054234548">
      <w:bodyDiv w:val="1"/>
      <w:marLeft w:val="0"/>
      <w:marRight w:val="0"/>
      <w:marTop w:val="0"/>
      <w:marBottom w:val="0"/>
      <w:divBdr>
        <w:top w:val="none" w:sz="0" w:space="0" w:color="auto"/>
        <w:left w:val="none" w:sz="0" w:space="0" w:color="auto"/>
        <w:bottom w:val="none" w:sz="0" w:space="0" w:color="auto"/>
        <w:right w:val="none" w:sz="0" w:space="0" w:color="auto"/>
      </w:divBdr>
    </w:div>
    <w:div w:id="1079716563">
      <w:bodyDiv w:val="1"/>
      <w:marLeft w:val="0"/>
      <w:marRight w:val="0"/>
      <w:marTop w:val="0"/>
      <w:marBottom w:val="0"/>
      <w:divBdr>
        <w:top w:val="none" w:sz="0" w:space="0" w:color="auto"/>
        <w:left w:val="none" w:sz="0" w:space="0" w:color="auto"/>
        <w:bottom w:val="none" w:sz="0" w:space="0" w:color="auto"/>
        <w:right w:val="none" w:sz="0" w:space="0" w:color="auto"/>
      </w:divBdr>
    </w:div>
    <w:div w:id="1101802222">
      <w:bodyDiv w:val="1"/>
      <w:marLeft w:val="0"/>
      <w:marRight w:val="0"/>
      <w:marTop w:val="0"/>
      <w:marBottom w:val="0"/>
      <w:divBdr>
        <w:top w:val="none" w:sz="0" w:space="0" w:color="auto"/>
        <w:left w:val="none" w:sz="0" w:space="0" w:color="auto"/>
        <w:bottom w:val="none" w:sz="0" w:space="0" w:color="auto"/>
        <w:right w:val="none" w:sz="0" w:space="0" w:color="auto"/>
      </w:divBdr>
      <w:divsChild>
        <w:div w:id="76943912">
          <w:marLeft w:val="0"/>
          <w:marRight w:val="0"/>
          <w:marTop w:val="0"/>
          <w:marBottom w:val="0"/>
          <w:divBdr>
            <w:top w:val="none" w:sz="0" w:space="0" w:color="auto"/>
            <w:left w:val="none" w:sz="0" w:space="0" w:color="auto"/>
            <w:bottom w:val="none" w:sz="0" w:space="0" w:color="auto"/>
            <w:right w:val="none" w:sz="0" w:space="0" w:color="auto"/>
          </w:divBdr>
          <w:divsChild>
            <w:div w:id="1885284765">
              <w:marLeft w:val="0"/>
              <w:marRight w:val="0"/>
              <w:marTop w:val="0"/>
              <w:marBottom w:val="0"/>
              <w:divBdr>
                <w:top w:val="none" w:sz="0" w:space="0" w:color="auto"/>
                <w:left w:val="none" w:sz="0" w:space="0" w:color="auto"/>
                <w:bottom w:val="none" w:sz="0" w:space="0" w:color="auto"/>
                <w:right w:val="none" w:sz="0" w:space="0" w:color="auto"/>
              </w:divBdr>
              <w:divsChild>
                <w:div w:id="15843391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5084856">
          <w:marLeft w:val="0"/>
          <w:marRight w:val="0"/>
          <w:marTop w:val="0"/>
          <w:marBottom w:val="0"/>
          <w:divBdr>
            <w:top w:val="none" w:sz="0" w:space="0" w:color="auto"/>
            <w:left w:val="none" w:sz="0" w:space="0" w:color="auto"/>
            <w:bottom w:val="none" w:sz="0" w:space="0" w:color="auto"/>
            <w:right w:val="none" w:sz="0" w:space="0" w:color="auto"/>
          </w:divBdr>
          <w:divsChild>
            <w:div w:id="909267468">
              <w:marLeft w:val="0"/>
              <w:marRight w:val="0"/>
              <w:marTop w:val="0"/>
              <w:marBottom w:val="0"/>
              <w:divBdr>
                <w:top w:val="none" w:sz="0" w:space="0" w:color="auto"/>
                <w:left w:val="none" w:sz="0" w:space="0" w:color="auto"/>
                <w:bottom w:val="none" w:sz="0" w:space="0" w:color="auto"/>
                <w:right w:val="none" w:sz="0" w:space="0" w:color="auto"/>
              </w:divBdr>
            </w:div>
          </w:divsChild>
        </w:div>
        <w:div w:id="1464618665">
          <w:marLeft w:val="0"/>
          <w:marRight w:val="0"/>
          <w:marTop w:val="0"/>
          <w:marBottom w:val="0"/>
          <w:divBdr>
            <w:top w:val="none" w:sz="0" w:space="0" w:color="auto"/>
            <w:left w:val="none" w:sz="0" w:space="0" w:color="auto"/>
            <w:bottom w:val="none" w:sz="0" w:space="0" w:color="auto"/>
            <w:right w:val="none" w:sz="0" w:space="0" w:color="auto"/>
          </w:divBdr>
          <w:divsChild>
            <w:div w:id="41248701">
              <w:marLeft w:val="0"/>
              <w:marRight w:val="0"/>
              <w:marTop w:val="0"/>
              <w:marBottom w:val="0"/>
              <w:divBdr>
                <w:top w:val="none" w:sz="0" w:space="0" w:color="auto"/>
                <w:left w:val="none" w:sz="0" w:space="0" w:color="auto"/>
                <w:bottom w:val="none" w:sz="0" w:space="0" w:color="auto"/>
                <w:right w:val="none" w:sz="0" w:space="0" w:color="auto"/>
              </w:divBdr>
              <w:divsChild>
                <w:div w:id="168494095">
                  <w:marLeft w:val="0"/>
                  <w:marRight w:val="0"/>
                  <w:marTop w:val="120"/>
                  <w:marBottom w:val="0"/>
                  <w:divBdr>
                    <w:top w:val="none" w:sz="0" w:space="0" w:color="auto"/>
                    <w:left w:val="none" w:sz="0" w:space="0" w:color="auto"/>
                    <w:bottom w:val="none" w:sz="0" w:space="0" w:color="auto"/>
                    <w:right w:val="none" w:sz="0" w:space="0" w:color="auto"/>
                  </w:divBdr>
                </w:div>
                <w:div w:id="186607203">
                  <w:marLeft w:val="0"/>
                  <w:marRight w:val="0"/>
                  <w:marTop w:val="120"/>
                  <w:marBottom w:val="0"/>
                  <w:divBdr>
                    <w:top w:val="none" w:sz="0" w:space="0" w:color="auto"/>
                    <w:left w:val="none" w:sz="0" w:space="0" w:color="auto"/>
                    <w:bottom w:val="none" w:sz="0" w:space="0" w:color="auto"/>
                    <w:right w:val="none" w:sz="0" w:space="0" w:color="auto"/>
                  </w:divBdr>
                </w:div>
                <w:div w:id="8850721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08045394">
      <w:bodyDiv w:val="1"/>
      <w:marLeft w:val="0"/>
      <w:marRight w:val="0"/>
      <w:marTop w:val="0"/>
      <w:marBottom w:val="0"/>
      <w:divBdr>
        <w:top w:val="none" w:sz="0" w:space="0" w:color="auto"/>
        <w:left w:val="none" w:sz="0" w:space="0" w:color="auto"/>
        <w:bottom w:val="none" w:sz="0" w:space="0" w:color="auto"/>
        <w:right w:val="none" w:sz="0" w:space="0" w:color="auto"/>
      </w:divBdr>
    </w:div>
    <w:div w:id="1115634480">
      <w:bodyDiv w:val="1"/>
      <w:marLeft w:val="0"/>
      <w:marRight w:val="0"/>
      <w:marTop w:val="0"/>
      <w:marBottom w:val="0"/>
      <w:divBdr>
        <w:top w:val="none" w:sz="0" w:space="0" w:color="auto"/>
        <w:left w:val="none" w:sz="0" w:space="0" w:color="auto"/>
        <w:bottom w:val="none" w:sz="0" w:space="0" w:color="auto"/>
        <w:right w:val="none" w:sz="0" w:space="0" w:color="auto"/>
      </w:divBdr>
    </w:div>
    <w:div w:id="1120228521">
      <w:bodyDiv w:val="1"/>
      <w:marLeft w:val="0"/>
      <w:marRight w:val="0"/>
      <w:marTop w:val="0"/>
      <w:marBottom w:val="0"/>
      <w:divBdr>
        <w:top w:val="none" w:sz="0" w:space="0" w:color="auto"/>
        <w:left w:val="none" w:sz="0" w:space="0" w:color="auto"/>
        <w:bottom w:val="none" w:sz="0" w:space="0" w:color="auto"/>
        <w:right w:val="none" w:sz="0" w:space="0" w:color="auto"/>
      </w:divBdr>
    </w:div>
    <w:div w:id="1130513566">
      <w:bodyDiv w:val="1"/>
      <w:marLeft w:val="0"/>
      <w:marRight w:val="0"/>
      <w:marTop w:val="0"/>
      <w:marBottom w:val="0"/>
      <w:divBdr>
        <w:top w:val="none" w:sz="0" w:space="0" w:color="auto"/>
        <w:left w:val="none" w:sz="0" w:space="0" w:color="auto"/>
        <w:bottom w:val="none" w:sz="0" w:space="0" w:color="auto"/>
        <w:right w:val="none" w:sz="0" w:space="0" w:color="auto"/>
      </w:divBdr>
      <w:divsChild>
        <w:div w:id="23141653">
          <w:marLeft w:val="0"/>
          <w:marRight w:val="0"/>
          <w:marTop w:val="0"/>
          <w:marBottom w:val="0"/>
          <w:divBdr>
            <w:top w:val="none" w:sz="0" w:space="0" w:color="auto"/>
            <w:left w:val="none" w:sz="0" w:space="0" w:color="auto"/>
            <w:bottom w:val="none" w:sz="0" w:space="0" w:color="auto"/>
            <w:right w:val="none" w:sz="0" w:space="0" w:color="auto"/>
          </w:divBdr>
          <w:divsChild>
            <w:div w:id="1571379857">
              <w:marLeft w:val="0"/>
              <w:marRight w:val="0"/>
              <w:marTop w:val="0"/>
              <w:marBottom w:val="0"/>
              <w:divBdr>
                <w:top w:val="none" w:sz="0" w:space="0" w:color="auto"/>
                <w:left w:val="none" w:sz="0" w:space="0" w:color="auto"/>
                <w:bottom w:val="none" w:sz="0" w:space="0" w:color="auto"/>
                <w:right w:val="none" w:sz="0" w:space="0" w:color="auto"/>
              </w:divBdr>
              <w:divsChild>
                <w:div w:id="19403141">
                  <w:marLeft w:val="0"/>
                  <w:marRight w:val="0"/>
                  <w:marTop w:val="0"/>
                  <w:marBottom w:val="0"/>
                  <w:divBdr>
                    <w:top w:val="none" w:sz="0" w:space="0" w:color="auto"/>
                    <w:left w:val="none" w:sz="0" w:space="0" w:color="auto"/>
                    <w:bottom w:val="none" w:sz="0" w:space="0" w:color="auto"/>
                    <w:right w:val="none" w:sz="0" w:space="0" w:color="auto"/>
                  </w:divBdr>
                  <w:divsChild>
                    <w:div w:id="202711521">
                      <w:marLeft w:val="0"/>
                      <w:marRight w:val="0"/>
                      <w:marTop w:val="120"/>
                      <w:marBottom w:val="0"/>
                      <w:divBdr>
                        <w:top w:val="none" w:sz="0" w:space="0" w:color="auto"/>
                        <w:left w:val="none" w:sz="0" w:space="0" w:color="auto"/>
                        <w:bottom w:val="none" w:sz="0" w:space="0" w:color="auto"/>
                        <w:right w:val="none" w:sz="0" w:space="0" w:color="auto"/>
                      </w:divBdr>
                    </w:div>
                    <w:div w:id="1153107778">
                      <w:marLeft w:val="0"/>
                      <w:marRight w:val="0"/>
                      <w:marTop w:val="0"/>
                      <w:marBottom w:val="0"/>
                      <w:divBdr>
                        <w:top w:val="none" w:sz="0" w:space="0" w:color="auto"/>
                        <w:left w:val="none" w:sz="0" w:space="0" w:color="auto"/>
                        <w:bottom w:val="none" w:sz="0" w:space="0" w:color="auto"/>
                        <w:right w:val="none" w:sz="0" w:space="0" w:color="auto"/>
                      </w:divBdr>
                    </w:div>
                  </w:divsChild>
                </w:div>
                <w:div w:id="404500522">
                  <w:marLeft w:val="0"/>
                  <w:marRight w:val="0"/>
                  <w:marTop w:val="0"/>
                  <w:marBottom w:val="0"/>
                  <w:divBdr>
                    <w:top w:val="none" w:sz="0" w:space="0" w:color="auto"/>
                    <w:left w:val="none" w:sz="0" w:space="0" w:color="auto"/>
                    <w:bottom w:val="none" w:sz="0" w:space="0" w:color="auto"/>
                    <w:right w:val="none" w:sz="0" w:space="0" w:color="auto"/>
                  </w:divBdr>
                  <w:divsChild>
                    <w:div w:id="79908269">
                      <w:marLeft w:val="0"/>
                      <w:marRight w:val="0"/>
                      <w:marTop w:val="0"/>
                      <w:marBottom w:val="0"/>
                      <w:divBdr>
                        <w:top w:val="none" w:sz="0" w:space="0" w:color="auto"/>
                        <w:left w:val="none" w:sz="0" w:space="0" w:color="auto"/>
                        <w:bottom w:val="none" w:sz="0" w:space="0" w:color="auto"/>
                        <w:right w:val="none" w:sz="0" w:space="0" w:color="auto"/>
                      </w:divBdr>
                    </w:div>
                    <w:div w:id="1371226847">
                      <w:marLeft w:val="0"/>
                      <w:marRight w:val="0"/>
                      <w:marTop w:val="120"/>
                      <w:marBottom w:val="0"/>
                      <w:divBdr>
                        <w:top w:val="none" w:sz="0" w:space="0" w:color="auto"/>
                        <w:left w:val="none" w:sz="0" w:space="0" w:color="auto"/>
                        <w:bottom w:val="none" w:sz="0" w:space="0" w:color="auto"/>
                        <w:right w:val="none" w:sz="0" w:space="0" w:color="auto"/>
                      </w:divBdr>
                    </w:div>
                  </w:divsChild>
                </w:div>
                <w:div w:id="1375545332">
                  <w:marLeft w:val="0"/>
                  <w:marRight w:val="0"/>
                  <w:marTop w:val="0"/>
                  <w:marBottom w:val="0"/>
                  <w:divBdr>
                    <w:top w:val="none" w:sz="0" w:space="0" w:color="auto"/>
                    <w:left w:val="none" w:sz="0" w:space="0" w:color="auto"/>
                    <w:bottom w:val="none" w:sz="0" w:space="0" w:color="auto"/>
                    <w:right w:val="none" w:sz="0" w:space="0" w:color="auto"/>
                  </w:divBdr>
                  <w:divsChild>
                    <w:div w:id="923303033">
                      <w:marLeft w:val="0"/>
                      <w:marRight w:val="0"/>
                      <w:marTop w:val="0"/>
                      <w:marBottom w:val="0"/>
                      <w:divBdr>
                        <w:top w:val="none" w:sz="0" w:space="0" w:color="auto"/>
                        <w:left w:val="none" w:sz="0" w:space="0" w:color="auto"/>
                        <w:bottom w:val="none" w:sz="0" w:space="0" w:color="auto"/>
                        <w:right w:val="none" w:sz="0" w:space="0" w:color="auto"/>
                      </w:divBdr>
                    </w:div>
                    <w:div w:id="1540047551">
                      <w:marLeft w:val="0"/>
                      <w:marRight w:val="0"/>
                      <w:marTop w:val="120"/>
                      <w:marBottom w:val="0"/>
                      <w:divBdr>
                        <w:top w:val="none" w:sz="0" w:space="0" w:color="auto"/>
                        <w:left w:val="none" w:sz="0" w:space="0" w:color="auto"/>
                        <w:bottom w:val="none" w:sz="0" w:space="0" w:color="auto"/>
                        <w:right w:val="none" w:sz="0" w:space="0" w:color="auto"/>
                      </w:divBdr>
                    </w:div>
                  </w:divsChild>
                </w:div>
                <w:div w:id="1856575625">
                  <w:marLeft w:val="0"/>
                  <w:marRight w:val="0"/>
                  <w:marTop w:val="0"/>
                  <w:marBottom w:val="0"/>
                  <w:divBdr>
                    <w:top w:val="none" w:sz="0" w:space="0" w:color="auto"/>
                    <w:left w:val="none" w:sz="0" w:space="0" w:color="auto"/>
                    <w:bottom w:val="none" w:sz="0" w:space="0" w:color="auto"/>
                    <w:right w:val="none" w:sz="0" w:space="0" w:color="auto"/>
                  </w:divBdr>
                  <w:divsChild>
                    <w:div w:id="324671566">
                      <w:marLeft w:val="0"/>
                      <w:marRight w:val="0"/>
                      <w:marTop w:val="0"/>
                      <w:marBottom w:val="0"/>
                      <w:divBdr>
                        <w:top w:val="none" w:sz="0" w:space="0" w:color="auto"/>
                        <w:left w:val="none" w:sz="0" w:space="0" w:color="auto"/>
                        <w:bottom w:val="none" w:sz="0" w:space="0" w:color="auto"/>
                        <w:right w:val="none" w:sz="0" w:space="0" w:color="auto"/>
                      </w:divBdr>
                    </w:div>
                    <w:div w:id="9193693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5321832">
          <w:marLeft w:val="0"/>
          <w:marRight w:val="0"/>
          <w:marTop w:val="0"/>
          <w:marBottom w:val="0"/>
          <w:divBdr>
            <w:top w:val="none" w:sz="0" w:space="0" w:color="auto"/>
            <w:left w:val="none" w:sz="0" w:space="0" w:color="auto"/>
            <w:bottom w:val="none" w:sz="0" w:space="0" w:color="auto"/>
            <w:right w:val="none" w:sz="0" w:space="0" w:color="auto"/>
          </w:divBdr>
          <w:divsChild>
            <w:div w:id="574633284">
              <w:marLeft w:val="0"/>
              <w:marRight w:val="0"/>
              <w:marTop w:val="0"/>
              <w:marBottom w:val="0"/>
              <w:divBdr>
                <w:top w:val="none" w:sz="0" w:space="0" w:color="auto"/>
                <w:left w:val="none" w:sz="0" w:space="0" w:color="auto"/>
                <w:bottom w:val="none" w:sz="0" w:space="0" w:color="auto"/>
                <w:right w:val="none" w:sz="0" w:space="0" w:color="auto"/>
              </w:divBdr>
            </w:div>
          </w:divsChild>
        </w:div>
        <w:div w:id="397871477">
          <w:marLeft w:val="0"/>
          <w:marRight w:val="0"/>
          <w:marTop w:val="0"/>
          <w:marBottom w:val="0"/>
          <w:divBdr>
            <w:top w:val="none" w:sz="0" w:space="0" w:color="auto"/>
            <w:left w:val="none" w:sz="0" w:space="0" w:color="auto"/>
            <w:bottom w:val="none" w:sz="0" w:space="0" w:color="auto"/>
            <w:right w:val="none" w:sz="0" w:space="0" w:color="auto"/>
          </w:divBdr>
          <w:divsChild>
            <w:div w:id="1583023835">
              <w:marLeft w:val="0"/>
              <w:marRight w:val="0"/>
              <w:marTop w:val="0"/>
              <w:marBottom w:val="0"/>
              <w:divBdr>
                <w:top w:val="none" w:sz="0" w:space="0" w:color="auto"/>
                <w:left w:val="none" w:sz="0" w:space="0" w:color="auto"/>
                <w:bottom w:val="none" w:sz="0" w:space="0" w:color="auto"/>
                <w:right w:val="none" w:sz="0" w:space="0" w:color="auto"/>
              </w:divBdr>
              <w:divsChild>
                <w:div w:id="633829797">
                  <w:marLeft w:val="0"/>
                  <w:marRight w:val="0"/>
                  <w:marTop w:val="0"/>
                  <w:marBottom w:val="0"/>
                  <w:divBdr>
                    <w:top w:val="none" w:sz="0" w:space="0" w:color="auto"/>
                    <w:left w:val="none" w:sz="0" w:space="0" w:color="auto"/>
                    <w:bottom w:val="none" w:sz="0" w:space="0" w:color="auto"/>
                    <w:right w:val="none" w:sz="0" w:space="0" w:color="auto"/>
                  </w:divBdr>
                  <w:divsChild>
                    <w:div w:id="212667434">
                      <w:marLeft w:val="0"/>
                      <w:marRight w:val="0"/>
                      <w:marTop w:val="0"/>
                      <w:marBottom w:val="0"/>
                      <w:divBdr>
                        <w:top w:val="none" w:sz="0" w:space="0" w:color="auto"/>
                        <w:left w:val="none" w:sz="0" w:space="0" w:color="auto"/>
                        <w:bottom w:val="none" w:sz="0" w:space="0" w:color="auto"/>
                        <w:right w:val="none" w:sz="0" w:space="0" w:color="auto"/>
                      </w:divBdr>
                    </w:div>
                    <w:div w:id="1632709572">
                      <w:marLeft w:val="0"/>
                      <w:marRight w:val="0"/>
                      <w:marTop w:val="120"/>
                      <w:marBottom w:val="0"/>
                      <w:divBdr>
                        <w:top w:val="none" w:sz="0" w:space="0" w:color="auto"/>
                        <w:left w:val="none" w:sz="0" w:space="0" w:color="auto"/>
                        <w:bottom w:val="none" w:sz="0" w:space="0" w:color="auto"/>
                        <w:right w:val="none" w:sz="0" w:space="0" w:color="auto"/>
                      </w:divBdr>
                    </w:div>
                  </w:divsChild>
                </w:div>
                <w:div w:id="781876445">
                  <w:marLeft w:val="0"/>
                  <w:marRight w:val="0"/>
                  <w:marTop w:val="0"/>
                  <w:marBottom w:val="0"/>
                  <w:divBdr>
                    <w:top w:val="none" w:sz="0" w:space="0" w:color="auto"/>
                    <w:left w:val="none" w:sz="0" w:space="0" w:color="auto"/>
                    <w:bottom w:val="none" w:sz="0" w:space="0" w:color="auto"/>
                    <w:right w:val="none" w:sz="0" w:space="0" w:color="auto"/>
                  </w:divBdr>
                  <w:divsChild>
                    <w:div w:id="1598126681">
                      <w:marLeft w:val="0"/>
                      <w:marRight w:val="0"/>
                      <w:marTop w:val="120"/>
                      <w:marBottom w:val="0"/>
                      <w:divBdr>
                        <w:top w:val="none" w:sz="0" w:space="0" w:color="auto"/>
                        <w:left w:val="none" w:sz="0" w:space="0" w:color="auto"/>
                        <w:bottom w:val="none" w:sz="0" w:space="0" w:color="auto"/>
                        <w:right w:val="none" w:sz="0" w:space="0" w:color="auto"/>
                      </w:divBdr>
                    </w:div>
                    <w:div w:id="1703283767">
                      <w:marLeft w:val="0"/>
                      <w:marRight w:val="0"/>
                      <w:marTop w:val="0"/>
                      <w:marBottom w:val="0"/>
                      <w:divBdr>
                        <w:top w:val="none" w:sz="0" w:space="0" w:color="auto"/>
                        <w:left w:val="none" w:sz="0" w:space="0" w:color="auto"/>
                        <w:bottom w:val="none" w:sz="0" w:space="0" w:color="auto"/>
                        <w:right w:val="none" w:sz="0" w:space="0" w:color="auto"/>
                      </w:divBdr>
                    </w:div>
                  </w:divsChild>
                </w:div>
                <w:div w:id="1248154392">
                  <w:marLeft w:val="0"/>
                  <w:marRight w:val="0"/>
                  <w:marTop w:val="0"/>
                  <w:marBottom w:val="0"/>
                  <w:divBdr>
                    <w:top w:val="none" w:sz="0" w:space="0" w:color="auto"/>
                    <w:left w:val="none" w:sz="0" w:space="0" w:color="auto"/>
                    <w:bottom w:val="none" w:sz="0" w:space="0" w:color="auto"/>
                    <w:right w:val="none" w:sz="0" w:space="0" w:color="auto"/>
                  </w:divBdr>
                  <w:divsChild>
                    <w:div w:id="1067726006">
                      <w:marLeft w:val="0"/>
                      <w:marRight w:val="0"/>
                      <w:marTop w:val="0"/>
                      <w:marBottom w:val="0"/>
                      <w:divBdr>
                        <w:top w:val="none" w:sz="0" w:space="0" w:color="auto"/>
                        <w:left w:val="none" w:sz="0" w:space="0" w:color="auto"/>
                        <w:bottom w:val="none" w:sz="0" w:space="0" w:color="auto"/>
                        <w:right w:val="none" w:sz="0" w:space="0" w:color="auto"/>
                      </w:divBdr>
                    </w:div>
                    <w:div w:id="17974074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53622466">
          <w:marLeft w:val="0"/>
          <w:marRight w:val="0"/>
          <w:marTop w:val="0"/>
          <w:marBottom w:val="0"/>
          <w:divBdr>
            <w:top w:val="none" w:sz="0" w:space="0" w:color="auto"/>
            <w:left w:val="none" w:sz="0" w:space="0" w:color="auto"/>
            <w:bottom w:val="none" w:sz="0" w:space="0" w:color="auto"/>
            <w:right w:val="none" w:sz="0" w:space="0" w:color="auto"/>
          </w:divBdr>
          <w:divsChild>
            <w:div w:id="1666477008">
              <w:marLeft w:val="0"/>
              <w:marRight w:val="0"/>
              <w:marTop w:val="0"/>
              <w:marBottom w:val="0"/>
              <w:divBdr>
                <w:top w:val="none" w:sz="0" w:space="0" w:color="auto"/>
                <w:left w:val="none" w:sz="0" w:space="0" w:color="auto"/>
                <w:bottom w:val="none" w:sz="0" w:space="0" w:color="auto"/>
                <w:right w:val="none" w:sz="0" w:space="0" w:color="auto"/>
              </w:divBdr>
            </w:div>
          </w:divsChild>
        </w:div>
        <w:div w:id="1351839526">
          <w:marLeft w:val="0"/>
          <w:marRight w:val="0"/>
          <w:marTop w:val="0"/>
          <w:marBottom w:val="0"/>
          <w:divBdr>
            <w:top w:val="none" w:sz="0" w:space="0" w:color="auto"/>
            <w:left w:val="none" w:sz="0" w:space="0" w:color="auto"/>
            <w:bottom w:val="none" w:sz="0" w:space="0" w:color="auto"/>
            <w:right w:val="none" w:sz="0" w:space="0" w:color="auto"/>
          </w:divBdr>
          <w:divsChild>
            <w:div w:id="521940070">
              <w:marLeft w:val="0"/>
              <w:marRight w:val="0"/>
              <w:marTop w:val="0"/>
              <w:marBottom w:val="0"/>
              <w:divBdr>
                <w:top w:val="none" w:sz="0" w:space="0" w:color="auto"/>
                <w:left w:val="none" w:sz="0" w:space="0" w:color="auto"/>
                <w:bottom w:val="none" w:sz="0" w:space="0" w:color="auto"/>
                <w:right w:val="none" w:sz="0" w:space="0" w:color="auto"/>
              </w:divBdr>
              <w:divsChild>
                <w:div w:id="665598397">
                  <w:marLeft w:val="0"/>
                  <w:marRight w:val="0"/>
                  <w:marTop w:val="120"/>
                  <w:marBottom w:val="0"/>
                  <w:divBdr>
                    <w:top w:val="none" w:sz="0" w:space="0" w:color="auto"/>
                    <w:left w:val="none" w:sz="0" w:space="0" w:color="auto"/>
                    <w:bottom w:val="none" w:sz="0" w:space="0" w:color="auto"/>
                    <w:right w:val="none" w:sz="0" w:space="0" w:color="auto"/>
                  </w:divBdr>
                </w:div>
                <w:div w:id="1185753302">
                  <w:marLeft w:val="0"/>
                  <w:marRight w:val="0"/>
                  <w:marTop w:val="120"/>
                  <w:marBottom w:val="0"/>
                  <w:divBdr>
                    <w:top w:val="none" w:sz="0" w:space="0" w:color="auto"/>
                    <w:left w:val="none" w:sz="0" w:space="0" w:color="auto"/>
                    <w:bottom w:val="none" w:sz="0" w:space="0" w:color="auto"/>
                    <w:right w:val="none" w:sz="0" w:space="0" w:color="auto"/>
                  </w:divBdr>
                </w:div>
                <w:div w:id="1399590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5011804">
          <w:marLeft w:val="0"/>
          <w:marRight w:val="0"/>
          <w:marTop w:val="0"/>
          <w:marBottom w:val="0"/>
          <w:divBdr>
            <w:top w:val="none" w:sz="0" w:space="0" w:color="auto"/>
            <w:left w:val="none" w:sz="0" w:space="0" w:color="auto"/>
            <w:bottom w:val="none" w:sz="0" w:space="0" w:color="auto"/>
            <w:right w:val="none" w:sz="0" w:space="0" w:color="auto"/>
          </w:divBdr>
          <w:divsChild>
            <w:div w:id="817264168">
              <w:marLeft w:val="0"/>
              <w:marRight w:val="0"/>
              <w:marTop w:val="0"/>
              <w:marBottom w:val="0"/>
              <w:divBdr>
                <w:top w:val="none" w:sz="0" w:space="0" w:color="auto"/>
                <w:left w:val="none" w:sz="0" w:space="0" w:color="auto"/>
                <w:bottom w:val="none" w:sz="0" w:space="0" w:color="auto"/>
                <w:right w:val="none" w:sz="0" w:space="0" w:color="auto"/>
              </w:divBdr>
            </w:div>
          </w:divsChild>
        </w:div>
        <w:div w:id="2029092767">
          <w:marLeft w:val="0"/>
          <w:marRight w:val="0"/>
          <w:marTop w:val="0"/>
          <w:marBottom w:val="0"/>
          <w:divBdr>
            <w:top w:val="none" w:sz="0" w:space="0" w:color="auto"/>
            <w:left w:val="none" w:sz="0" w:space="0" w:color="auto"/>
            <w:bottom w:val="none" w:sz="0" w:space="0" w:color="auto"/>
            <w:right w:val="none" w:sz="0" w:space="0" w:color="auto"/>
          </w:divBdr>
          <w:divsChild>
            <w:div w:id="12231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5950">
      <w:bodyDiv w:val="1"/>
      <w:marLeft w:val="0"/>
      <w:marRight w:val="0"/>
      <w:marTop w:val="0"/>
      <w:marBottom w:val="0"/>
      <w:divBdr>
        <w:top w:val="none" w:sz="0" w:space="0" w:color="auto"/>
        <w:left w:val="none" w:sz="0" w:space="0" w:color="auto"/>
        <w:bottom w:val="none" w:sz="0" w:space="0" w:color="auto"/>
        <w:right w:val="none" w:sz="0" w:space="0" w:color="auto"/>
      </w:divBdr>
    </w:div>
    <w:div w:id="1149638128">
      <w:bodyDiv w:val="1"/>
      <w:marLeft w:val="0"/>
      <w:marRight w:val="0"/>
      <w:marTop w:val="0"/>
      <w:marBottom w:val="0"/>
      <w:divBdr>
        <w:top w:val="none" w:sz="0" w:space="0" w:color="auto"/>
        <w:left w:val="none" w:sz="0" w:space="0" w:color="auto"/>
        <w:bottom w:val="none" w:sz="0" w:space="0" w:color="auto"/>
        <w:right w:val="none" w:sz="0" w:space="0" w:color="auto"/>
      </w:divBdr>
      <w:divsChild>
        <w:div w:id="984165674">
          <w:marLeft w:val="0"/>
          <w:marRight w:val="0"/>
          <w:marTop w:val="0"/>
          <w:marBottom w:val="0"/>
          <w:divBdr>
            <w:top w:val="none" w:sz="0" w:space="0" w:color="auto"/>
            <w:left w:val="none" w:sz="0" w:space="0" w:color="auto"/>
            <w:bottom w:val="none" w:sz="0" w:space="0" w:color="auto"/>
            <w:right w:val="none" w:sz="0" w:space="0" w:color="auto"/>
          </w:divBdr>
          <w:divsChild>
            <w:div w:id="985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5974">
      <w:bodyDiv w:val="1"/>
      <w:marLeft w:val="0"/>
      <w:marRight w:val="0"/>
      <w:marTop w:val="0"/>
      <w:marBottom w:val="0"/>
      <w:divBdr>
        <w:top w:val="none" w:sz="0" w:space="0" w:color="auto"/>
        <w:left w:val="none" w:sz="0" w:space="0" w:color="auto"/>
        <w:bottom w:val="none" w:sz="0" w:space="0" w:color="auto"/>
        <w:right w:val="none" w:sz="0" w:space="0" w:color="auto"/>
      </w:divBdr>
      <w:divsChild>
        <w:div w:id="823202246">
          <w:marLeft w:val="0"/>
          <w:marRight w:val="0"/>
          <w:marTop w:val="0"/>
          <w:marBottom w:val="0"/>
          <w:divBdr>
            <w:top w:val="none" w:sz="0" w:space="0" w:color="auto"/>
            <w:left w:val="none" w:sz="0" w:space="0" w:color="auto"/>
            <w:bottom w:val="none" w:sz="0" w:space="0" w:color="auto"/>
            <w:right w:val="none" w:sz="0" w:space="0" w:color="auto"/>
          </w:divBdr>
          <w:divsChild>
            <w:div w:id="1267495992">
              <w:marLeft w:val="0"/>
              <w:marRight w:val="0"/>
              <w:marTop w:val="0"/>
              <w:marBottom w:val="0"/>
              <w:divBdr>
                <w:top w:val="none" w:sz="0" w:space="0" w:color="auto"/>
                <w:left w:val="none" w:sz="0" w:space="0" w:color="auto"/>
                <w:bottom w:val="none" w:sz="0" w:space="0" w:color="auto"/>
                <w:right w:val="none" w:sz="0" w:space="0" w:color="auto"/>
              </w:divBdr>
            </w:div>
          </w:divsChild>
        </w:div>
        <w:div w:id="908460647">
          <w:marLeft w:val="0"/>
          <w:marRight w:val="0"/>
          <w:marTop w:val="0"/>
          <w:marBottom w:val="0"/>
          <w:divBdr>
            <w:top w:val="none" w:sz="0" w:space="0" w:color="auto"/>
            <w:left w:val="none" w:sz="0" w:space="0" w:color="auto"/>
            <w:bottom w:val="none" w:sz="0" w:space="0" w:color="auto"/>
            <w:right w:val="none" w:sz="0" w:space="0" w:color="auto"/>
          </w:divBdr>
          <w:divsChild>
            <w:div w:id="919486950">
              <w:marLeft w:val="0"/>
              <w:marRight w:val="0"/>
              <w:marTop w:val="0"/>
              <w:marBottom w:val="0"/>
              <w:divBdr>
                <w:top w:val="none" w:sz="0" w:space="0" w:color="auto"/>
                <w:left w:val="none" w:sz="0" w:space="0" w:color="auto"/>
                <w:bottom w:val="none" w:sz="0" w:space="0" w:color="auto"/>
                <w:right w:val="none" w:sz="0" w:space="0" w:color="auto"/>
              </w:divBdr>
              <w:divsChild>
                <w:div w:id="79066290">
                  <w:marLeft w:val="0"/>
                  <w:marRight w:val="0"/>
                  <w:marTop w:val="0"/>
                  <w:marBottom w:val="0"/>
                  <w:divBdr>
                    <w:top w:val="none" w:sz="0" w:space="0" w:color="auto"/>
                    <w:left w:val="none" w:sz="0" w:space="0" w:color="auto"/>
                    <w:bottom w:val="none" w:sz="0" w:space="0" w:color="auto"/>
                    <w:right w:val="none" w:sz="0" w:space="0" w:color="auto"/>
                  </w:divBdr>
                  <w:divsChild>
                    <w:div w:id="1264997608">
                      <w:marLeft w:val="0"/>
                      <w:marRight w:val="0"/>
                      <w:marTop w:val="120"/>
                      <w:marBottom w:val="0"/>
                      <w:divBdr>
                        <w:top w:val="none" w:sz="0" w:space="0" w:color="auto"/>
                        <w:left w:val="none" w:sz="0" w:space="0" w:color="auto"/>
                        <w:bottom w:val="none" w:sz="0" w:space="0" w:color="auto"/>
                        <w:right w:val="none" w:sz="0" w:space="0" w:color="auto"/>
                      </w:divBdr>
                    </w:div>
                    <w:div w:id="1478768167">
                      <w:marLeft w:val="0"/>
                      <w:marRight w:val="0"/>
                      <w:marTop w:val="0"/>
                      <w:marBottom w:val="0"/>
                      <w:divBdr>
                        <w:top w:val="none" w:sz="0" w:space="0" w:color="auto"/>
                        <w:left w:val="none" w:sz="0" w:space="0" w:color="auto"/>
                        <w:bottom w:val="none" w:sz="0" w:space="0" w:color="auto"/>
                        <w:right w:val="none" w:sz="0" w:space="0" w:color="auto"/>
                      </w:divBdr>
                    </w:div>
                  </w:divsChild>
                </w:div>
                <w:div w:id="560792041">
                  <w:marLeft w:val="0"/>
                  <w:marRight w:val="0"/>
                  <w:marTop w:val="0"/>
                  <w:marBottom w:val="0"/>
                  <w:divBdr>
                    <w:top w:val="none" w:sz="0" w:space="0" w:color="auto"/>
                    <w:left w:val="none" w:sz="0" w:space="0" w:color="auto"/>
                    <w:bottom w:val="none" w:sz="0" w:space="0" w:color="auto"/>
                    <w:right w:val="none" w:sz="0" w:space="0" w:color="auto"/>
                  </w:divBdr>
                  <w:divsChild>
                    <w:div w:id="819349877">
                      <w:marLeft w:val="0"/>
                      <w:marRight w:val="0"/>
                      <w:marTop w:val="0"/>
                      <w:marBottom w:val="0"/>
                      <w:divBdr>
                        <w:top w:val="none" w:sz="0" w:space="0" w:color="auto"/>
                        <w:left w:val="none" w:sz="0" w:space="0" w:color="auto"/>
                        <w:bottom w:val="none" w:sz="0" w:space="0" w:color="auto"/>
                        <w:right w:val="none" w:sz="0" w:space="0" w:color="auto"/>
                      </w:divBdr>
                      <w:divsChild>
                        <w:div w:id="602958426">
                          <w:marLeft w:val="0"/>
                          <w:marRight w:val="0"/>
                          <w:marTop w:val="0"/>
                          <w:marBottom w:val="0"/>
                          <w:divBdr>
                            <w:top w:val="none" w:sz="0" w:space="0" w:color="auto"/>
                            <w:left w:val="none" w:sz="0" w:space="0" w:color="auto"/>
                            <w:bottom w:val="none" w:sz="0" w:space="0" w:color="auto"/>
                            <w:right w:val="none" w:sz="0" w:space="0" w:color="auto"/>
                          </w:divBdr>
                          <w:divsChild>
                            <w:div w:id="1538589295">
                              <w:marLeft w:val="0"/>
                              <w:marRight w:val="0"/>
                              <w:marTop w:val="120"/>
                              <w:marBottom w:val="0"/>
                              <w:divBdr>
                                <w:top w:val="none" w:sz="0" w:space="0" w:color="auto"/>
                                <w:left w:val="none" w:sz="0" w:space="0" w:color="auto"/>
                                <w:bottom w:val="none" w:sz="0" w:space="0" w:color="auto"/>
                                <w:right w:val="none" w:sz="0" w:space="0" w:color="auto"/>
                              </w:divBdr>
                            </w:div>
                            <w:div w:id="1816486896">
                              <w:marLeft w:val="0"/>
                              <w:marRight w:val="0"/>
                              <w:marTop w:val="0"/>
                              <w:marBottom w:val="0"/>
                              <w:divBdr>
                                <w:top w:val="none" w:sz="0" w:space="0" w:color="auto"/>
                                <w:left w:val="none" w:sz="0" w:space="0" w:color="auto"/>
                                <w:bottom w:val="none" w:sz="0" w:space="0" w:color="auto"/>
                                <w:right w:val="none" w:sz="0" w:space="0" w:color="auto"/>
                              </w:divBdr>
                            </w:div>
                          </w:divsChild>
                        </w:div>
                        <w:div w:id="669985495">
                          <w:marLeft w:val="0"/>
                          <w:marRight w:val="0"/>
                          <w:marTop w:val="0"/>
                          <w:marBottom w:val="0"/>
                          <w:divBdr>
                            <w:top w:val="none" w:sz="0" w:space="0" w:color="auto"/>
                            <w:left w:val="none" w:sz="0" w:space="0" w:color="auto"/>
                            <w:bottom w:val="none" w:sz="0" w:space="0" w:color="auto"/>
                            <w:right w:val="none" w:sz="0" w:space="0" w:color="auto"/>
                          </w:divBdr>
                          <w:divsChild>
                            <w:div w:id="2318467">
                              <w:marLeft w:val="0"/>
                              <w:marRight w:val="0"/>
                              <w:marTop w:val="120"/>
                              <w:marBottom w:val="0"/>
                              <w:divBdr>
                                <w:top w:val="none" w:sz="0" w:space="0" w:color="auto"/>
                                <w:left w:val="none" w:sz="0" w:space="0" w:color="auto"/>
                                <w:bottom w:val="none" w:sz="0" w:space="0" w:color="auto"/>
                                <w:right w:val="none" w:sz="0" w:space="0" w:color="auto"/>
                              </w:divBdr>
                            </w:div>
                            <w:div w:id="377432485">
                              <w:marLeft w:val="0"/>
                              <w:marRight w:val="0"/>
                              <w:marTop w:val="0"/>
                              <w:marBottom w:val="0"/>
                              <w:divBdr>
                                <w:top w:val="none" w:sz="0" w:space="0" w:color="auto"/>
                                <w:left w:val="none" w:sz="0" w:space="0" w:color="auto"/>
                                <w:bottom w:val="none" w:sz="0" w:space="0" w:color="auto"/>
                                <w:right w:val="none" w:sz="0" w:space="0" w:color="auto"/>
                              </w:divBdr>
                            </w:div>
                          </w:divsChild>
                        </w:div>
                        <w:div w:id="713702198">
                          <w:marLeft w:val="0"/>
                          <w:marRight w:val="0"/>
                          <w:marTop w:val="0"/>
                          <w:marBottom w:val="0"/>
                          <w:divBdr>
                            <w:top w:val="none" w:sz="0" w:space="0" w:color="auto"/>
                            <w:left w:val="none" w:sz="0" w:space="0" w:color="auto"/>
                            <w:bottom w:val="none" w:sz="0" w:space="0" w:color="auto"/>
                            <w:right w:val="none" w:sz="0" w:space="0" w:color="auto"/>
                          </w:divBdr>
                          <w:divsChild>
                            <w:div w:id="568854977">
                              <w:marLeft w:val="0"/>
                              <w:marRight w:val="0"/>
                              <w:marTop w:val="0"/>
                              <w:marBottom w:val="0"/>
                              <w:divBdr>
                                <w:top w:val="none" w:sz="0" w:space="0" w:color="auto"/>
                                <w:left w:val="none" w:sz="0" w:space="0" w:color="auto"/>
                                <w:bottom w:val="none" w:sz="0" w:space="0" w:color="auto"/>
                                <w:right w:val="none" w:sz="0" w:space="0" w:color="auto"/>
                              </w:divBdr>
                            </w:div>
                            <w:div w:id="811823523">
                              <w:marLeft w:val="0"/>
                              <w:marRight w:val="0"/>
                              <w:marTop w:val="120"/>
                              <w:marBottom w:val="0"/>
                              <w:divBdr>
                                <w:top w:val="none" w:sz="0" w:space="0" w:color="auto"/>
                                <w:left w:val="none" w:sz="0" w:space="0" w:color="auto"/>
                                <w:bottom w:val="none" w:sz="0" w:space="0" w:color="auto"/>
                                <w:right w:val="none" w:sz="0" w:space="0" w:color="auto"/>
                              </w:divBdr>
                            </w:div>
                          </w:divsChild>
                        </w:div>
                        <w:div w:id="1417051539">
                          <w:marLeft w:val="0"/>
                          <w:marRight w:val="0"/>
                          <w:marTop w:val="0"/>
                          <w:marBottom w:val="0"/>
                          <w:divBdr>
                            <w:top w:val="none" w:sz="0" w:space="0" w:color="auto"/>
                            <w:left w:val="none" w:sz="0" w:space="0" w:color="auto"/>
                            <w:bottom w:val="none" w:sz="0" w:space="0" w:color="auto"/>
                            <w:right w:val="none" w:sz="0" w:space="0" w:color="auto"/>
                          </w:divBdr>
                          <w:divsChild>
                            <w:div w:id="879241475">
                              <w:marLeft w:val="0"/>
                              <w:marRight w:val="0"/>
                              <w:marTop w:val="120"/>
                              <w:marBottom w:val="0"/>
                              <w:divBdr>
                                <w:top w:val="none" w:sz="0" w:space="0" w:color="auto"/>
                                <w:left w:val="none" w:sz="0" w:space="0" w:color="auto"/>
                                <w:bottom w:val="none" w:sz="0" w:space="0" w:color="auto"/>
                                <w:right w:val="none" w:sz="0" w:space="0" w:color="auto"/>
                              </w:divBdr>
                            </w:div>
                            <w:div w:id="2116290893">
                              <w:marLeft w:val="0"/>
                              <w:marRight w:val="0"/>
                              <w:marTop w:val="0"/>
                              <w:marBottom w:val="0"/>
                              <w:divBdr>
                                <w:top w:val="none" w:sz="0" w:space="0" w:color="auto"/>
                                <w:left w:val="none" w:sz="0" w:space="0" w:color="auto"/>
                                <w:bottom w:val="none" w:sz="0" w:space="0" w:color="auto"/>
                                <w:right w:val="none" w:sz="0" w:space="0" w:color="auto"/>
                              </w:divBdr>
                            </w:div>
                          </w:divsChild>
                        </w:div>
                        <w:div w:id="2066371329">
                          <w:marLeft w:val="0"/>
                          <w:marRight w:val="0"/>
                          <w:marTop w:val="0"/>
                          <w:marBottom w:val="0"/>
                          <w:divBdr>
                            <w:top w:val="none" w:sz="0" w:space="0" w:color="auto"/>
                            <w:left w:val="none" w:sz="0" w:space="0" w:color="auto"/>
                            <w:bottom w:val="none" w:sz="0" w:space="0" w:color="auto"/>
                            <w:right w:val="none" w:sz="0" w:space="0" w:color="auto"/>
                          </w:divBdr>
                          <w:divsChild>
                            <w:div w:id="851064614">
                              <w:marLeft w:val="0"/>
                              <w:marRight w:val="0"/>
                              <w:marTop w:val="120"/>
                              <w:marBottom w:val="0"/>
                              <w:divBdr>
                                <w:top w:val="none" w:sz="0" w:space="0" w:color="auto"/>
                                <w:left w:val="none" w:sz="0" w:space="0" w:color="auto"/>
                                <w:bottom w:val="none" w:sz="0" w:space="0" w:color="auto"/>
                                <w:right w:val="none" w:sz="0" w:space="0" w:color="auto"/>
                              </w:divBdr>
                            </w:div>
                            <w:div w:id="1033504051">
                              <w:marLeft w:val="0"/>
                              <w:marRight w:val="0"/>
                              <w:marTop w:val="0"/>
                              <w:marBottom w:val="0"/>
                              <w:divBdr>
                                <w:top w:val="none" w:sz="0" w:space="0" w:color="auto"/>
                                <w:left w:val="none" w:sz="0" w:space="0" w:color="auto"/>
                                <w:bottom w:val="none" w:sz="0" w:space="0" w:color="auto"/>
                                <w:right w:val="none" w:sz="0" w:space="0" w:color="auto"/>
                              </w:divBdr>
                            </w:div>
                          </w:divsChild>
                        </w:div>
                        <w:div w:id="2102140254">
                          <w:marLeft w:val="0"/>
                          <w:marRight w:val="0"/>
                          <w:marTop w:val="0"/>
                          <w:marBottom w:val="0"/>
                          <w:divBdr>
                            <w:top w:val="none" w:sz="0" w:space="0" w:color="auto"/>
                            <w:left w:val="none" w:sz="0" w:space="0" w:color="auto"/>
                            <w:bottom w:val="none" w:sz="0" w:space="0" w:color="auto"/>
                            <w:right w:val="none" w:sz="0" w:space="0" w:color="auto"/>
                          </w:divBdr>
                          <w:divsChild>
                            <w:div w:id="78185268">
                              <w:marLeft w:val="0"/>
                              <w:marRight w:val="0"/>
                              <w:marTop w:val="0"/>
                              <w:marBottom w:val="0"/>
                              <w:divBdr>
                                <w:top w:val="none" w:sz="0" w:space="0" w:color="auto"/>
                                <w:left w:val="none" w:sz="0" w:space="0" w:color="auto"/>
                                <w:bottom w:val="none" w:sz="0" w:space="0" w:color="auto"/>
                                <w:right w:val="none" w:sz="0" w:space="0" w:color="auto"/>
                              </w:divBdr>
                            </w:div>
                            <w:div w:id="3491427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4402480">
                      <w:marLeft w:val="0"/>
                      <w:marRight w:val="0"/>
                      <w:marTop w:val="120"/>
                      <w:marBottom w:val="0"/>
                      <w:divBdr>
                        <w:top w:val="none" w:sz="0" w:space="0" w:color="auto"/>
                        <w:left w:val="none" w:sz="0" w:space="0" w:color="auto"/>
                        <w:bottom w:val="none" w:sz="0" w:space="0" w:color="auto"/>
                        <w:right w:val="none" w:sz="0" w:space="0" w:color="auto"/>
                      </w:divBdr>
                    </w:div>
                  </w:divsChild>
                </w:div>
                <w:div w:id="1662661982">
                  <w:marLeft w:val="0"/>
                  <w:marRight w:val="0"/>
                  <w:marTop w:val="0"/>
                  <w:marBottom w:val="0"/>
                  <w:divBdr>
                    <w:top w:val="none" w:sz="0" w:space="0" w:color="auto"/>
                    <w:left w:val="none" w:sz="0" w:space="0" w:color="auto"/>
                    <w:bottom w:val="none" w:sz="0" w:space="0" w:color="auto"/>
                    <w:right w:val="none" w:sz="0" w:space="0" w:color="auto"/>
                  </w:divBdr>
                  <w:divsChild>
                    <w:div w:id="525103458">
                      <w:marLeft w:val="0"/>
                      <w:marRight w:val="0"/>
                      <w:marTop w:val="0"/>
                      <w:marBottom w:val="0"/>
                      <w:divBdr>
                        <w:top w:val="none" w:sz="0" w:space="0" w:color="auto"/>
                        <w:left w:val="none" w:sz="0" w:space="0" w:color="auto"/>
                        <w:bottom w:val="none" w:sz="0" w:space="0" w:color="auto"/>
                        <w:right w:val="none" w:sz="0" w:space="0" w:color="auto"/>
                      </w:divBdr>
                    </w:div>
                    <w:div w:id="1706249496">
                      <w:marLeft w:val="0"/>
                      <w:marRight w:val="0"/>
                      <w:marTop w:val="120"/>
                      <w:marBottom w:val="0"/>
                      <w:divBdr>
                        <w:top w:val="none" w:sz="0" w:space="0" w:color="auto"/>
                        <w:left w:val="none" w:sz="0" w:space="0" w:color="auto"/>
                        <w:bottom w:val="none" w:sz="0" w:space="0" w:color="auto"/>
                        <w:right w:val="none" w:sz="0" w:space="0" w:color="auto"/>
                      </w:divBdr>
                    </w:div>
                  </w:divsChild>
                </w:div>
                <w:div w:id="2143687319">
                  <w:marLeft w:val="0"/>
                  <w:marRight w:val="0"/>
                  <w:marTop w:val="0"/>
                  <w:marBottom w:val="0"/>
                  <w:divBdr>
                    <w:top w:val="none" w:sz="0" w:space="0" w:color="auto"/>
                    <w:left w:val="none" w:sz="0" w:space="0" w:color="auto"/>
                    <w:bottom w:val="none" w:sz="0" w:space="0" w:color="auto"/>
                    <w:right w:val="none" w:sz="0" w:space="0" w:color="auto"/>
                  </w:divBdr>
                  <w:divsChild>
                    <w:div w:id="1561556363">
                      <w:marLeft w:val="0"/>
                      <w:marRight w:val="0"/>
                      <w:marTop w:val="0"/>
                      <w:marBottom w:val="0"/>
                      <w:divBdr>
                        <w:top w:val="none" w:sz="0" w:space="0" w:color="auto"/>
                        <w:left w:val="none" w:sz="0" w:space="0" w:color="auto"/>
                        <w:bottom w:val="none" w:sz="0" w:space="0" w:color="auto"/>
                        <w:right w:val="none" w:sz="0" w:space="0" w:color="auto"/>
                      </w:divBdr>
                    </w:div>
                    <w:div w:id="21008264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46374921">
          <w:marLeft w:val="0"/>
          <w:marRight w:val="0"/>
          <w:marTop w:val="0"/>
          <w:marBottom w:val="0"/>
          <w:divBdr>
            <w:top w:val="none" w:sz="0" w:space="0" w:color="auto"/>
            <w:left w:val="none" w:sz="0" w:space="0" w:color="auto"/>
            <w:bottom w:val="none" w:sz="0" w:space="0" w:color="auto"/>
            <w:right w:val="none" w:sz="0" w:space="0" w:color="auto"/>
          </w:divBdr>
          <w:divsChild>
            <w:div w:id="531922604">
              <w:marLeft w:val="0"/>
              <w:marRight w:val="0"/>
              <w:marTop w:val="0"/>
              <w:marBottom w:val="0"/>
              <w:divBdr>
                <w:top w:val="none" w:sz="0" w:space="0" w:color="auto"/>
                <w:left w:val="none" w:sz="0" w:space="0" w:color="auto"/>
                <w:bottom w:val="none" w:sz="0" w:space="0" w:color="auto"/>
                <w:right w:val="none" w:sz="0" w:space="0" w:color="auto"/>
              </w:divBdr>
              <w:divsChild>
                <w:div w:id="1111171315">
                  <w:marLeft w:val="0"/>
                  <w:marRight w:val="0"/>
                  <w:marTop w:val="0"/>
                  <w:marBottom w:val="0"/>
                  <w:divBdr>
                    <w:top w:val="none" w:sz="0" w:space="0" w:color="auto"/>
                    <w:left w:val="none" w:sz="0" w:space="0" w:color="auto"/>
                    <w:bottom w:val="none" w:sz="0" w:space="0" w:color="auto"/>
                    <w:right w:val="none" w:sz="0" w:space="0" w:color="auto"/>
                  </w:divBdr>
                  <w:divsChild>
                    <w:div w:id="1116221135">
                      <w:marLeft w:val="0"/>
                      <w:marRight w:val="0"/>
                      <w:marTop w:val="0"/>
                      <w:marBottom w:val="0"/>
                      <w:divBdr>
                        <w:top w:val="none" w:sz="0" w:space="0" w:color="auto"/>
                        <w:left w:val="none" w:sz="0" w:space="0" w:color="auto"/>
                        <w:bottom w:val="none" w:sz="0" w:space="0" w:color="auto"/>
                        <w:right w:val="none" w:sz="0" w:space="0" w:color="auto"/>
                      </w:divBdr>
                    </w:div>
                    <w:div w:id="1202785551">
                      <w:marLeft w:val="0"/>
                      <w:marRight w:val="0"/>
                      <w:marTop w:val="120"/>
                      <w:marBottom w:val="0"/>
                      <w:divBdr>
                        <w:top w:val="none" w:sz="0" w:space="0" w:color="auto"/>
                        <w:left w:val="none" w:sz="0" w:space="0" w:color="auto"/>
                        <w:bottom w:val="none" w:sz="0" w:space="0" w:color="auto"/>
                        <w:right w:val="none" w:sz="0" w:space="0" w:color="auto"/>
                      </w:divBdr>
                    </w:div>
                  </w:divsChild>
                </w:div>
                <w:div w:id="1427192010">
                  <w:marLeft w:val="0"/>
                  <w:marRight w:val="0"/>
                  <w:marTop w:val="0"/>
                  <w:marBottom w:val="0"/>
                  <w:divBdr>
                    <w:top w:val="none" w:sz="0" w:space="0" w:color="auto"/>
                    <w:left w:val="none" w:sz="0" w:space="0" w:color="auto"/>
                    <w:bottom w:val="none" w:sz="0" w:space="0" w:color="auto"/>
                    <w:right w:val="none" w:sz="0" w:space="0" w:color="auto"/>
                  </w:divBdr>
                  <w:divsChild>
                    <w:div w:id="234439811">
                      <w:marLeft w:val="0"/>
                      <w:marRight w:val="0"/>
                      <w:marTop w:val="120"/>
                      <w:marBottom w:val="0"/>
                      <w:divBdr>
                        <w:top w:val="none" w:sz="0" w:space="0" w:color="auto"/>
                        <w:left w:val="none" w:sz="0" w:space="0" w:color="auto"/>
                        <w:bottom w:val="none" w:sz="0" w:space="0" w:color="auto"/>
                        <w:right w:val="none" w:sz="0" w:space="0" w:color="auto"/>
                      </w:divBdr>
                    </w:div>
                    <w:div w:id="17589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3907">
          <w:marLeft w:val="0"/>
          <w:marRight w:val="0"/>
          <w:marTop w:val="0"/>
          <w:marBottom w:val="0"/>
          <w:divBdr>
            <w:top w:val="none" w:sz="0" w:space="0" w:color="auto"/>
            <w:left w:val="none" w:sz="0" w:space="0" w:color="auto"/>
            <w:bottom w:val="none" w:sz="0" w:space="0" w:color="auto"/>
            <w:right w:val="none" w:sz="0" w:space="0" w:color="auto"/>
          </w:divBdr>
          <w:divsChild>
            <w:div w:id="19781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4954">
      <w:bodyDiv w:val="1"/>
      <w:marLeft w:val="0"/>
      <w:marRight w:val="0"/>
      <w:marTop w:val="0"/>
      <w:marBottom w:val="0"/>
      <w:divBdr>
        <w:top w:val="none" w:sz="0" w:space="0" w:color="auto"/>
        <w:left w:val="none" w:sz="0" w:space="0" w:color="auto"/>
        <w:bottom w:val="none" w:sz="0" w:space="0" w:color="auto"/>
        <w:right w:val="none" w:sz="0" w:space="0" w:color="auto"/>
      </w:divBdr>
      <w:divsChild>
        <w:div w:id="197089040">
          <w:marLeft w:val="0"/>
          <w:marRight w:val="0"/>
          <w:marTop w:val="0"/>
          <w:marBottom w:val="0"/>
          <w:divBdr>
            <w:top w:val="none" w:sz="0" w:space="0" w:color="auto"/>
            <w:left w:val="none" w:sz="0" w:space="0" w:color="auto"/>
            <w:bottom w:val="none" w:sz="0" w:space="0" w:color="auto"/>
            <w:right w:val="none" w:sz="0" w:space="0" w:color="auto"/>
          </w:divBdr>
          <w:divsChild>
            <w:div w:id="394285529">
              <w:marLeft w:val="0"/>
              <w:marRight w:val="0"/>
              <w:marTop w:val="0"/>
              <w:marBottom w:val="0"/>
              <w:divBdr>
                <w:top w:val="none" w:sz="0" w:space="0" w:color="auto"/>
                <w:left w:val="none" w:sz="0" w:space="0" w:color="auto"/>
                <w:bottom w:val="none" w:sz="0" w:space="0" w:color="auto"/>
                <w:right w:val="none" w:sz="0" w:space="0" w:color="auto"/>
              </w:divBdr>
              <w:divsChild>
                <w:div w:id="636027928">
                  <w:marLeft w:val="0"/>
                  <w:marRight w:val="0"/>
                  <w:marTop w:val="0"/>
                  <w:marBottom w:val="0"/>
                  <w:divBdr>
                    <w:top w:val="none" w:sz="0" w:space="0" w:color="auto"/>
                    <w:left w:val="none" w:sz="0" w:space="0" w:color="auto"/>
                    <w:bottom w:val="none" w:sz="0" w:space="0" w:color="auto"/>
                    <w:right w:val="none" w:sz="0" w:space="0" w:color="auto"/>
                  </w:divBdr>
                  <w:divsChild>
                    <w:div w:id="504511993">
                      <w:marLeft w:val="0"/>
                      <w:marRight w:val="0"/>
                      <w:marTop w:val="0"/>
                      <w:marBottom w:val="0"/>
                      <w:divBdr>
                        <w:top w:val="none" w:sz="0" w:space="0" w:color="auto"/>
                        <w:left w:val="none" w:sz="0" w:space="0" w:color="auto"/>
                        <w:bottom w:val="none" w:sz="0" w:space="0" w:color="auto"/>
                        <w:right w:val="none" w:sz="0" w:space="0" w:color="auto"/>
                      </w:divBdr>
                    </w:div>
                    <w:div w:id="1778909965">
                      <w:marLeft w:val="0"/>
                      <w:marRight w:val="0"/>
                      <w:marTop w:val="120"/>
                      <w:marBottom w:val="0"/>
                      <w:divBdr>
                        <w:top w:val="none" w:sz="0" w:space="0" w:color="auto"/>
                        <w:left w:val="none" w:sz="0" w:space="0" w:color="auto"/>
                        <w:bottom w:val="none" w:sz="0" w:space="0" w:color="auto"/>
                        <w:right w:val="none" w:sz="0" w:space="0" w:color="auto"/>
                      </w:divBdr>
                    </w:div>
                  </w:divsChild>
                </w:div>
                <w:div w:id="885988620">
                  <w:marLeft w:val="0"/>
                  <w:marRight w:val="0"/>
                  <w:marTop w:val="0"/>
                  <w:marBottom w:val="0"/>
                  <w:divBdr>
                    <w:top w:val="none" w:sz="0" w:space="0" w:color="auto"/>
                    <w:left w:val="none" w:sz="0" w:space="0" w:color="auto"/>
                    <w:bottom w:val="none" w:sz="0" w:space="0" w:color="auto"/>
                    <w:right w:val="none" w:sz="0" w:space="0" w:color="auto"/>
                  </w:divBdr>
                  <w:divsChild>
                    <w:div w:id="678460421">
                      <w:marLeft w:val="0"/>
                      <w:marRight w:val="0"/>
                      <w:marTop w:val="120"/>
                      <w:marBottom w:val="0"/>
                      <w:divBdr>
                        <w:top w:val="none" w:sz="0" w:space="0" w:color="auto"/>
                        <w:left w:val="none" w:sz="0" w:space="0" w:color="auto"/>
                        <w:bottom w:val="none" w:sz="0" w:space="0" w:color="auto"/>
                        <w:right w:val="none" w:sz="0" w:space="0" w:color="auto"/>
                      </w:divBdr>
                    </w:div>
                    <w:div w:id="1927030815">
                      <w:marLeft w:val="0"/>
                      <w:marRight w:val="0"/>
                      <w:marTop w:val="0"/>
                      <w:marBottom w:val="0"/>
                      <w:divBdr>
                        <w:top w:val="none" w:sz="0" w:space="0" w:color="auto"/>
                        <w:left w:val="none" w:sz="0" w:space="0" w:color="auto"/>
                        <w:bottom w:val="none" w:sz="0" w:space="0" w:color="auto"/>
                        <w:right w:val="none" w:sz="0" w:space="0" w:color="auto"/>
                      </w:divBdr>
                    </w:div>
                  </w:divsChild>
                </w:div>
                <w:div w:id="1116292554">
                  <w:marLeft w:val="0"/>
                  <w:marRight w:val="0"/>
                  <w:marTop w:val="0"/>
                  <w:marBottom w:val="0"/>
                  <w:divBdr>
                    <w:top w:val="none" w:sz="0" w:space="0" w:color="auto"/>
                    <w:left w:val="none" w:sz="0" w:space="0" w:color="auto"/>
                    <w:bottom w:val="none" w:sz="0" w:space="0" w:color="auto"/>
                    <w:right w:val="none" w:sz="0" w:space="0" w:color="auto"/>
                  </w:divBdr>
                  <w:divsChild>
                    <w:div w:id="1494495065">
                      <w:marLeft w:val="0"/>
                      <w:marRight w:val="0"/>
                      <w:marTop w:val="120"/>
                      <w:marBottom w:val="0"/>
                      <w:divBdr>
                        <w:top w:val="none" w:sz="0" w:space="0" w:color="auto"/>
                        <w:left w:val="none" w:sz="0" w:space="0" w:color="auto"/>
                        <w:bottom w:val="none" w:sz="0" w:space="0" w:color="auto"/>
                        <w:right w:val="none" w:sz="0" w:space="0" w:color="auto"/>
                      </w:divBdr>
                    </w:div>
                    <w:div w:id="2125733051">
                      <w:marLeft w:val="0"/>
                      <w:marRight w:val="0"/>
                      <w:marTop w:val="0"/>
                      <w:marBottom w:val="0"/>
                      <w:divBdr>
                        <w:top w:val="none" w:sz="0" w:space="0" w:color="auto"/>
                        <w:left w:val="none" w:sz="0" w:space="0" w:color="auto"/>
                        <w:bottom w:val="none" w:sz="0" w:space="0" w:color="auto"/>
                        <w:right w:val="none" w:sz="0" w:space="0" w:color="auto"/>
                      </w:divBdr>
                    </w:div>
                  </w:divsChild>
                </w:div>
                <w:div w:id="1211724312">
                  <w:marLeft w:val="0"/>
                  <w:marRight w:val="0"/>
                  <w:marTop w:val="0"/>
                  <w:marBottom w:val="0"/>
                  <w:divBdr>
                    <w:top w:val="none" w:sz="0" w:space="0" w:color="auto"/>
                    <w:left w:val="none" w:sz="0" w:space="0" w:color="auto"/>
                    <w:bottom w:val="none" w:sz="0" w:space="0" w:color="auto"/>
                    <w:right w:val="none" w:sz="0" w:space="0" w:color="auto"/>
                  </w:divBdr>
                  <w:divsChild>
                    <w:div w:id="1653021424">
                      <w:marLeft w:val="0"/>
                      <w:marRight w:val="0"/>
                      <w:marTop w:val="120"/>
                      <w:marBottom w:val="0"/>
                      <w:divBdr>
                        <w:top w:val="none" w:sz="0" w:space="0" w:color="auto"/>
                        <w:left w:val="none" w:sz="0" w:space="0" w:color="auto"/>
                        <w:bottom w:val="none" w:sz="0" w:space="0" w:color="auto"/>
                        <w:right w:val="none" w:sz="0" w:space="0" w:color="auto"/>
                      </w:divBdr>
                    </w:div>
                    <w:div w:id="17773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070844">
          <w:marLeft w:val="0"/>
          <w:marRight w:val="0"/>
          <w:marTop w:val="0"/>
          <w:marBottom w:val="0"/>
          <w:divBdr>
            <w:top w:val="none" w:sz="0" w:space="0" w:color="auto"/>
            <w:left w:val="none" w:sz="0" w:space="0" w:color="auto"/>
            <w:bottom w:val="none" w:sz="0" w:space="0" w:color="auto"/>
            <w:right w:val="none" w:sz="0" w:space="0" w:color="auto"/>
          </w:divBdr>
          <w:divsChild>
            <w:div w:id="1290238883">
              <w:marLeft w:val="0"/>
              <w:marRight w:val="0"/>
              <w:marTop w:val="0"/>
              <w:marBottom w:val="0"/>
              <w:divBdr>
                <w:top w:val="none" w:sz="0" w:space="0" w:color="auto"/>
                <w:left w:val="none" w:sz="0" w:space="0" w:color="auto"/>
                <w:bottom w:val="none" w:sz="0" w:space="0" w:color="auto"/>
                <w:right w:val="none" w:sz="0" w:space="0" w:color="auto"/>
              </w:divBdr>
            </w:div>
          </w:divsChild>
        </w:div>
        <w:div w:id="1699158980">
          <w:marLeft w:val="0"/>
          <w:marRight w:val="0"/>
          <w:marTop w:val="0"/>
          <w:marBottom w:val="0"/>
          <w:divBdr>
            <w:top w:val="none" w:sz="0" w:space="0" w:color="auto"/>
            <w:left w:val="none" w:sz="0" w:space="0" w:color="auto"/>
            <w:bottom w:val="none" w:sz="0" w:space="0" w:color="auto"/>
            <w:right w:val="none" w:sz="0" w:space="0" w:color="auto"/>
          </w:divBdr>
          <w:divsChild>
            <w:div w:id="944770525">
              <w:marLeft w:val="0"/>
              <w:marRight w:val="0"/>
              <w:marTop w:val="0"/>
              <w:marBottom w:val="0"/>
              <w:divBdr>
                <w:top w:val="none" w:sz="0" w:space="0" w:color="auto"/>
                <w:left w:val="none" w:sz="0" w:space="0" w:color="auto"/>
                <w:bottom w:val="none" w:sz="0" w:space="0" w:color="auto"/>
                <w:right w:val="none" w:sz="0" w:space="0" w:color="auto"/>
              </w:divBdr>
            </w:div>
          </w:divsChild>
        </w:div>
        <w:div w:id="1944337694">
          <w:marLeft w:val="0"/>
          <w:marRight w:val="0"/>
          <w:marTop w:val="0"/>
          <w:marBottom w:val="0"/>
          <w:divBdr>
            <w:top w:val="none" w:sz="0" w:space="0" w:color="auto"/>
            <w:left w:val="none" w:sz="0" w:space="0" w:color="auto"/>
            <w:bottom w:val="none" w:sz="0" w:space="0" w:color="auto"/>
            <w:right w:val="none" w:sz="0" w:space="0" w:color="auto"/>
          </w:divBdr>
          <w:divsChild>
            <w:div w:id="4157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6912">
      <w:bodyDiv w:val="1"/>
      <w:marLeft w:val="0"/>
      <w:marRight w:val="0"/>
      <w:marTop w:val="0"/>
      <w:marBottom w:val="0"/>
      <w:divBdr>
        <w:top w:val="none" w:sz="0" w:space="0" w:color="auto"/>
        <w:left w:val="none" w:sz="0" w:space="0" w:color="auto"/>
        <w:bottom w:val="none" w:sz="0" w:space="0" w:color="auto"/>
        <w:right w:val="none" w:sz="0" w:space="0" w:color="auto"/>
      </w:divBdr>
      <w:divsChild>
        <w:div w:id="718630595">
          <w:marLeft w:val="0"/>
          <w:marRight w:val="0"/>
          <w:marTop w:val="0"/>
          <w:marBottom w:val="0"/>
          <w:divBdr>
            <w:top w:val="none" w:sz="0" w:space="0" w:color="auto"/>
            <w:left w:val="none" w:sz="0" w:space="0" w:color="auto"/>
            <w:bottom w:val="none" w:sz="0" w:space="0" w:color="auto"/>
            <w:right w:val="none" w:sz="0" w:space="0" w:color="auto"/>
          </w:divBdr>
          <w:divsChild>
            <w:div w:id="1456093619">
              <w:marLeft w:val="0"/>
              <w:marRight w:val="0"/>
              <w:marTop w:val="0"/>
              <w:marBottom w:val="0"/>
              <w:divBdr>
                <w:top w:val="none" w:sz="0" w:space="0" w:color="auto"/>
                <w:left w:val="none" w:sz="0" w:space="0" w:color="auto"/>
                <w:bottom w:val="none" w:sz="0" w:space="0" w:color="auto"/>
                <w:right w:val="none" w:sz="0" w:space="0" w:color="auto"/>
              </w:divBdr>
              <w:divsChild>
                <w:div w:id="1075861716">
                  <w:marLeft w:val="0"/>
                  <w:marRight w:val="0"/>
                  <w:marTop w:val="120"/>
                  <w:marBottom w:val="0"/>
                  <w:divBdr>
                    <w:top w:val="none" w:sz="0" w:space="0" w:color="auto"/>
                    <w:left w:val="none" w:sz="0" w:space="0" w:color="auto"/>
                    <w:bottom w:val="none" w:sz="0" w:space="0" w:color="auto"/>
                    <w:right w:val="none" w:sz="0" w:space="0" w:color="auto"/>
                  </w:divBdr>
                </w:div>
                <w:div w:id="1529952322">
                  <w:marLeft w:val="0"/>
                  <w:marRight w:val="0"/>
                  <w:marTop w:val="0"/>
                  <w:marBottom w:val="0"/>
                  <w:divBdr>
                    <w:top w:val="none" w:sz="0" w:space="0" w:color="auto"/>
                    <w:left w:val="none" w:sz="0" w:space="0" w:color="auto"/>
                    <w:bottom w:val="none" w:sz="0" w:space="0" w:color="auto"/>
                    <w:right w:val="none" w:sz="0" w:space="0" w:color="auto"/>
                  </w:divBdr>
                </w:div>
              </w:divsChild>
            </w:div>
            <w:div w:id="1560088194">
              <w:marLeft w:val="0"/>
              <w:marRight w:val="0"/>
              <w:marTop w:val="0"/>
              <w:marBottom w:val="0"/>
              <w:divBdr>
                <w:top w:val="none" w:sz="0" w:space="0" w:color="auto"/>
                <w:left w:val="none" w:sz="0" w:space="0" w:color="auto"/>
                <w:bottom w:val="none" w:sz="0" w:space="0" w:color="auto"/>
                <w:right w:val="none" w:sz="0" w:space="0" w:color="auto"/>
              </w:divBdr>
              <w:divsChild>
                <w:div w:id="567420696">
                  <w:marLeft w:val="0"/>
                  <w:marRight w:val="0"/>
                  <w:marTop w:val="0"/>
                  <w:marBottom w:val="0"/>
                  <w:divBdr>
                    <w:top w:val="none" w:sz="0" w:space="0" w:color="auto"/>
                    <w:left w:val="none" w:sz="0" w:space="0" w:color="auto"/>
                    <w:bottom w:val="none" w:sz="0" w:space="0" w:color="auto"/>
                    <w:right w:val="none" w:sz="0" w:space="0" w:color="auto"/>
                  </w:divBdr>
                </w:div>
                <w:div w:id="6186820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1132888">
          <w:marLeft w:val="0"/>
          <w:marRight w:val="0"/>
          <w:marTop w:val="120"/>
          <w:marBottom w:val="0"/>
          <w:divBdr>
            <w:top w:val="none" w:sz="0" w:space="0" w:color="auto"/>
            <w:left w:val="none" w:sz="0" w:space="0" w:color="auto"/>
            <w:bottom w:val="none" w:sz="0" w:space="0" w:color="auto"/>
            <w:right w:val="none" w:sz="0" w:space="0" w:color="auto"/>
          </w:divBdr>
        </w:div>
      </w:divsChild>
    </w:div>
    <w:div w:id="1183782561">
      <w:bodyDiv w:val="1"/>
      <w:marLeft w:val="0"/>
      <w:marRight w:val="0"/>
      <w:marTop w:val="0"/>
      <w:marBottom w:val="0"/>
      <w:divBdr>
        <w:top w:val="none" w:sz="0" w:space="0" w:color="auto"/>
        <w:left w:val="none" w:sz="0" w:space="0" w:color="auto"/>
        <w:bottom w:val="none" w:sz="0" w:space="0" w:color="auto"/>
        <w:right w:val="none" w:sz="0" w:space="0" w:color="auto"/>
      </w:divBdr>
      <w:divsChild>
        <w:div w:id="367220726">
          <w:marLeft w:val="600"/>
          <w:marRight w:val="0"/>
          <w:marTop w:val="0"/>
          <w:marBottom w:val="0"/>
          <w:divBdr>
            <w:top w:val="none" w:sz="0" w:space="0" w:color="auto"/>
            <w:left w:val="none" w:sz="0" w:space="0" w:color="auto"/>
            <w:bottom w:val="none" w:sz="0" w:space="0" w:color="auto"/>
            <w:right w:val="none" w:sz="0" w:space="0" w:color="auto"/>
          </w:divBdr>
        </w:div>
        <w:div w:id="618343652">
          <w:marLeft w:val="600"/>
          <w:marRight w:val="0"/>
          <w:marTop w:val="0"/>
          <w:marBottom w:val="0"/>
          <w:divBdr>
            <w:top w:val="none" w:sz="0" w:space="0" w:color="auto"/>
            <w:left w:val="none" w:sz="0" w:space="0" w:color="auto"/>
            <w:bottom w:val="none" w:sz="0" w:space="0" w:color="auto"/>
            <w:right w:val="none" w:sz="0" w:space="0" w:color="auto"/>
          </w:divBdr>
        </w:div>
        <w:div w:id="1203399349">
          <w:marLeft w:val="720"/>
          <w:marRight w:val="0"/>
          <w:marTop w:val="0"/>
          <w:marBottom w:val="0"/>
          <w:divBdr>
            <w:top w:val="none" w:sz="0" w:space="0" w:color="auto"/>
            <w:left w:val="none" w:sz="0" w:space="0" w:color="auto"/>
            <w:bottom w:val="none" w:sz="0" w:space="0" w:color="auto"/>
            <w:right w:val="none" w:sz="0" w:space="0" w:color="auto"/>
          </w:divBdr>
        </w:div>
      </w:divsChild>
    </w:div>
    <w:div w:id="1184049180">
      <w:bodyDiv w:val="1"/>
      <w:marLeft w:val="0"/>
      <w:marRight w:val="0"/>
      <w:marTop w:val="0"/>
      <w:marBottom w:val="0"/>
      <w:divBdr>
        <w:top w:val="none" w:sz="0" w:space="0" w:color="auto"/>
        <w:left w:val="none" w:sz="0" w:space="0" w:color="auto"/>
        <w:bottom w:val="none" w:sz="0" w:space="0" w:color="auto"/>
        <w:right w:val="none" w:sz="0" w:space="0" w:color="auto"/>
      </w:divBdr>
    </w:div>
    <w:div w:id="1185753524">
      <w:bodyDiv w:val="1"/>
      <w:marLeft w:val="0"/>
      <w:marRight w:val="0"/>
      <w:marTop w:val="0"/>
      <w:marBottom w:val="0"/>
      <w:divBdr>
        <w:top w:val="none" w:sz="0" w:space="0" w:color="auto"/>
        <w:left w:val="none" w:sz="0" w:space="0" w:color="auto"/>
        <w:bottom w:val="none" w:sz="0" w:space="0" w:color="auto"/>
        <w:right w:val="none" w:sz="0" w:space="0" w:color="auto"/>
      </w:divBdr>
    </w:div>
    <w:div w:id="1188249667">
      <w:bodyDiv w:val="1"/>
      <w:marLeft w:val="0"/>
      <w:marRight w:val="0"/>
      <w:marTop w:val="0"/>
      <w:marBottom w:val="0"/>
      <w:divBdr>
        <w:top w:val="none" w:sz="0" w:space="0" w:color="auto"/>
        <w:left w:val="none" w:sz="0" w:space="0" w:color="auto"/>
        <w:bottom w:val="none" w:sz="0" w:space="0" w:color="auto"/>
        <w:right w:val="none" w:sz="0" w:space="0" w:color="auto"/>
      </w:divBdr>
      <w:divsChild>
        <w:div w:id="524175046">
          <w:marLeft w:val="0"/>
          <w:marRight w:val="0"/>
          <w:marTop w:val="0"/>
          <w:marBottom w:val="0"/>
          <w:divBdr>
            <w:top w:val="none" w:sz="0" w:space="0" w:color="auto"/>
            <w:left w:val="none" w:sz="0" w:space="0" w:color="auto"/>
            <w:bottom w:val="none" w:sz="0" w:space="0" w:color="auto"/>
            <w:right w:val="none" w:sz="0" w:space="0" w:color="auto"/>
          </w:divBdr>
          <w:divsChild>
            <w:div w:id="1787770412">
              <w:marLeft w:val="0"/>
              <w:marRight w:val="0"/>
              <w:marTop w:val="0"/>
              <w:marBottom w:val="0"/>
              <w:divBdr>
                <w:top w:val="none" w:sz="0" w:space="0" w:color="auto"/>
                <w:left w:val="none" w:sz="0" w:space="0" w:color="auto"/>
                <w:bottom w:val="none" w:sz="0" w:space="0" w:color="auto"/>
                <w:right w:val="none" w:sz="0" w:space="0" w:color="auto"/>
              </w:divBdr>
            </w:div>
            <w:div w:id="1470971217">
              <w:marLeft w:val="0"/>
              <w:marRight w:val="0"/>
              <w:marTop w:val="0"/>
              <w:marBottom w:val="0"/>
              <w:divBdr>
                <w:top w:val="none" w:sz="0" w:space="0" w:color="auto"/>
                <w:left w:val="none" w:sz="0" w:space="0" w:color="auto"/>
                <w:bottom w:val="none" w:sz="0" w:space="0" w:color="auto"/>
                <w:right w:val="none" w:sz="0" w:space="0" w:color="auto"/>
              </w:divBdr>
              <w:divsChild>
                <w:div w:id="856238175">
                  <w:marLeft w:val="0"/>
                  <w:marRight w:val="0"/>
                  <w:marTop w:val="0"/>
                  <w:marBottom w:val="0"/>
                  <w:divBdr>
                    <w:top w:val="none" w:sz="0" w:space="0" w:color="auto"/>
                    <w:left w:val="none" w:sz="0" w:space="0" w:color="auto"/>
                    <w:bottom w:val="none" w:sz="0" w:space="0" w:color="auto"/>
                    <w:right w:val="none" w:sz="0" w:space="0" w:color="auto"/>
                  </w:divBdr>
                  <w:divsChild>
                    <w:div w:id="679506953">
                      <w:marLeft w:val="0"/>
                      <w:marRight w:val="0"/>
                      <w:marTop w:val="0"/>
                      <w:marBottom w:val="0"/>
                      <w:divBdr>
                        <w:top w:val="none" w:sz="0" w:space="0" w:color="auto"/>
                        <w:left w:val="none" w:sz="0" w:space="0" w:color="auto"/>
                        <w:bottom w:val="none" w:sz="0" w:space="0" w:color="auto"/>
                        <w:right w:val="none" w:sz="0" w:space="0" w:color="auto"/>
                      </w:divBdr>
                      <w:divsChild>
                        <w:div w:id="1086683478">
                          <w:marLeft w:val="0"/>
                          <w:marRight w:val="0"/>
                          <w:marTop w:val="120"/>
                          <w:marBottom w:val="0"/>
                          <w:divBdr>
                            <w:top w:val="none" w:sz="0" w:space="0" w:color="auto"/>
                            <w:left w:val="none" w:sz="0" w:space="0" w:color="auto"/>
                            <w:bottom w:val="none" w:sz="0" w:space="0" w:color="auto"/>
                            <w:right w:val="none" w:sz="0" w:space="0" w:color="auto"/>
                          </w:divBdr>
                        </w:div>
                        <w:div w:id="2043817364">
                          <w:marLeft w:val="0"/>
                          <w:marRight w:val="0"/>
                          <w:marTop w:val="0"/>
                          <w:marBottom w:val="0"/>
                          <w:divBdr>
                            <w:top w:val="none" w:sz="0" w:space="0" w:color="auto"/>
                            <w:left w:val="none" w:sz="0" w:space="0" w:color="auto"/>
                            <w:bottom w:val="none" w:sz="0" w:space="0" w:color="auto"/>
                            <w:right w:val="none" w:sz="0" w:space="0" w:color="auto"/>
                          </w:divBdr>
                        </w:div>
                      </w:divsChild>
                    </w:div>
                    <w:div w:id="2080131055">
                      <w:marLeft w:val="0"/>
                      <w:marRight w:val="0"/>
                      <w:marTop w:val="0"/>
                      <w:marBottom w:val="0"/>
                      <w:divBdr>
                        <w:top w:val="none" w:sz="0" w:space="0" w:color="auto"/>
                        <w:left w:val="none" w:sz="0" w:space="0" w:color="auto"/>
                        <w:bottom w:val="none" w:sz="0" w:space="0" w:color="auto"/>
                        <w:right w:val="none" w:sz="0" w:space="0" w:color="auto"/>
                      </w:divBdr>
                      <w:divsChild>
                        <w:div w:id="976490492">
                          <w:marLeft w:val="0"/>
                          <w:marRight w:val="0"/>
                          <w:marTop w:val="120"/>
                          <w:marBottom w:val="0"/>
                          <w:divBdr>
                            <w:top w:val="none" w:sz="0" w:space="0" w:color="auto"/>
                            <w:left w:val="none" w:sz="0" w:space="0" w:color="auto"/>
                            <w:bottom w:val="none" w:sz="0" w:space="0" w:color="auto"/>
                            <w:right w:val="none" w:sz="0" w:space="0" w:color="auto"/>
                          </w:divBdr>
                        </w:div>
                        <w:div w:id="1367681724">
                          <w:marLeft w:val="0"/>
                          <w:marRight w:val="0"/>
                          <w:marTop w:val="0"/>
                          <w:marBottom w:val="0"/>
                          <w:divBdr>
                            <w:top w:val="none" w:sz="0" w:space="0" w:color="auto"/>
                            <w:left w:val="none" w:sz="0" w:space="0" w:color="auto"/>
                            <w:bottom w:val="none" w:sz="0" w:space="0" w:color="auto"/>
                            <w:right w:val="none" w:sz="0" w:space="0" w:color="auto"/>
                          </w:divBdr>
                        </w:div>
                      </w:divsChild>
                    </w:div>
                    <w:div w:id="1394430815">
                      <w:marLeft w:val="0"/>
                      <w:marRight w:val="0"/>
                      <w:marTop w:val="0"/>
                      <w:marBottom w:val="0"/>
                      <w:divBdr>
                        <w:top w:val="none" w:sz="0" w:space="0" w:color="auto"/>
                        <w:left w:val="none" w:sz="0" w:space="0" w:color="auto"/>
                        <w:bottom w:val="none" w:sz="0" w:space="0" w:color="auto"/>
                        <w:right w:val="none" w:sz="0" w:space="0" w:color="auto"/>
                      </w:divBdr>
                      <w:divsChild>
                        <w:div w:id="1077168536">
                          <w:marLeft w:val="0"/>
                          <w:marRight w:val="0"/>
                          <w:marTop w:val="120"/>
                          <w:marBottom w:val="0"/>
                          <w:divBdr>
                            <w:top w:val="none" w:sz="0" w:space="0" w:color="auto"/>
                            <w:left w:val="none" w:sz="0" w:space="0" w:color="auto"/>
                            <w:bottom w:val="none" w:sz="0" w:space="0" w:color="auto"/>
                            <w:right w:val="none" w:sz="0" w:space="0" w:color="auto"/>
                          </w:divBdr>
                        </w:div>
                        <w:div w:id="1463573536">
                          <w:marLeft w:val="0"/>
                          <w:marRight w:val="0"/>
                          <w:marTop w:val="0"/>
                          <w:marBottom w:val="0"/>
                          <w:divBdr>
                            <w:top w:val="none" w:sz="0" w:space="0" w:color="auto"/>
                            <w:left w:val="none" w:sz="0" w:space="0" w:color="auto"/>
                            <w:bottom w:val="none" w:sz="0" w:space="0" w:color="auto"/>
                            <w:right w:val="none" w:sz="0" w:space="0" w:color="auto"/>
                          </w:divBdr>
                        </w:div>
                      </w:divsChild>
                    </w:div>
                    <w:div w:id="316229077">
                      <w:marLeft w:val="0"/>
                      <w:marRight w:val="0"/>
                      <w:marTop w:val="0"/>
                      <w:marBottom w:val="0"/>
                      <w:divBdr>
                        <w:top w:val="none" w:sz="0" w:space="0" w:color="auto"/>
                        <w:left w:val="none" w:sz="0" w:space="0" w:color="auto"/>
                        <w:bottom w:val="none" w:sz="0" w:space="0" w:color="auto"/>
                        <w:right w:val="none" w:sz="0" w:space="0" w:color="auto"/>
                      </w:divBdr>
                      <w:divsChild>
                        <w:div w:id="295450023">
                          <w:marLeft w:val="0"/>
                          <w:marRight w:val="0"/>
                          <w:marTop w:val="120"/>
                          <w:marBottom w:val="0"/>
                          <w:divBdr>
                            <w:top w:val="none" w:sz="0" w:space="0" w:color="auto"/>
                            <w:left w:val="none" w:sz="0" w:space="0" w:color="auto"/>
                            <w:bottom w:val="none" w:sz="0" w:space="0" w:color="auto"/>
                            <w:right w:val="none" w:sz="0" w:space="0" w:color="auto"/>
                          </w:divBdr>
                        </w:div>
                        <w:div w:id="1384601249">
                          <w:marLeft w:val="0"/>
                          <w:marRight w:val="0"/>
                          <w:marTop w:val="0"/>
                          <w:marBottom w:val="0"/>
                          <w:divBdr>
                            <w:top w:val="none" w:sz="0" w:space="0" w:color="auto"/>
                            <w:left w:val="none" w:sz="0" w:space="0" w:color="auto"/>
                            <w:bottom w:val="none" w:sz="0" w:space="0" w:color="auto"/>
                            <w:right w:val="none" w:sz="0" w:space="0" w:color="auto"/>
                          </w:divBdr>
                        </w:div>
                      </w:divsChild>
                    </w:div>
                    <w:div w:id="573855542">
                      <w:marLeft w:val="0"/>
                      <w:marRight w:val="0"/>
                      <w:marTop w:val="0"/>
                      <w:marBottom w:val="0"/>
                      <w:divBdr>
                        <w:top w:val="none" w:sz="0" w:space="0" w:color="auto"/>
                        <w:left w:val="none" w:sz="0" w:space="0" w:color="auto"/>
                        <w:bottom w:val="none" w:sz="0" w:space="0" w:color="auto"/>
                        <w:right w:val="none" w:sz="0" w:space="0" w:color="auto"/>
                      </w:divBdr>
                      <w:divsChild>
                        <w:div w:id="156114648">
                          <w:marLeft w:val="0"/>
                          <w:marRight w:val="0"/>
                          <w:marTop w:val="120"/>
                          <w:marBottom w:val="0"/>
                          <w:divBdr>
                            <w:top w:val="none" w:sz="0" w:space="0" w:color="auto"/>
                            <w:left w:val="none" w:sz="0" w:space="0" w:color="auto"/>
                            <w:bottom w:val="none" w:sz="0" w:space="0" w:color="auto"/>
                            <w:right w:val="none" w:sz="0" w:space="0" w:color="auto"/>
                          </w:divBdr>
                        </w:div>
                        <w:div w:id="1545558930">
                          <w:marLeft w:val="0"/>
                          <w:marRight w:val="0"/>
                          <w:marTop w:val="0"/>
                          <w:marBottom w:val="0"/>
                          <w:divBdr>
                            <w:top w:val="none" w:sz="0" w:space="0" w:color="auto"/>
                            <w:left w:val="none" w:sz="0" w:space="0" w:color="auto"/>
                            <w:bottom w:val="none" w:sz="0" w:space="0" w:color="auto"/>
                            <w:right w:val="none" w:sz="0" w:space="0" w:color="auto"/>
                          </w:divBdr>
                        </w:div>
                      </w:divsChild>
                    </w:div>
                    <w:div w:id="2033218877">
                      <w:marLeft w:val="0"/>
                      <w:marRight w:val="0"/>
                      <w:marTop w:val="0"/>
                      <w:marBottom w:val="0"/>
                      <w:divBdr>
                        <w:top w:val="none" w:sz="0" w:space="0" w:color="auto"/>
                        <w:left w:val="none" w:sz="0" w:space="0" w:color="auto"/>
                        <w:bottom w:val="none" w:sz="0" w:space="0" w:color="auto"/>
                        <w:right w:val="none" w:sz="0" w:space="0" w:color="auto"/>
                      </w:divBdr>
                      <w:divsChild>
                        <w:div w:id="1368414245">
                          <w:marLeft w:val="0"/>
                          <w:marRight w:val="0"/>
                          <w:marTop w:val="120"/>
                          <w:marBottom w:val="0"/>
                          <w:divBdr>
                            <w:top w:val="none" w:sz="0" w:space="0" w:color="auto"/>
                            <w:left w:val="none" w:sz="0" w:space="0" w:color="auto"/>
                            <w:bottom w:val="none" w:sz="0" w:space="0" w:color="auto"/>
                            <w:right w:val="none" w:sz="0" w:space="0" w:color="auto"/>
                          </w:divBdr>
                        </w:div>
                        <w:div w:id="579751130">
                          <w:marLeft w:val="0"/>
                          <w:marRight w:val="0"/>
                          <w:marTop w:val="0"/>
                          <w:marBottom w:val="0"/>
                          <w:divBdr>
                            <w:top w:val="none" w:sz="0" w:space="0" w:color="auto"/>
                            <w:left w:val="none" w:sz="0" w:space="0" w:color="auto"/>
                            <w:bottom w:val="none" w:sz="0" w:space="0" w:color="auto"/>
                            <w:right w:val="none" w:sz="0" w:space="0" w:color="auto"/>
                          </w:divBdr>
                        </w:div>
                      </w:divsChild>
                    </w:div>
                    <w:div w:id="463278578">
                      <w:marLeft w:val="0"/>
                      <w:marRight w:val="0"/>
                      <w:marTop w:val="0"/>
                      <w:marBottom w:val="0"/>
                      <w:divBdr>
                        <w:top w:val="none" w:sz="0" w:space="0" w:color="auto"/>
                        <w:left w:val="none" w:sz="0" w:space="0" w:color="auto"/>
                        <w:bottom w:val="none" w:sz="0" w:space="0" w:color="auto"/>
                        <w:right w:val="none" w:sz="0" w:space="0" w:color="auto"/>
                      </w:divBdr>
                      <w:divsChild>
                        <w:div w:id="1086340284">
                          <w:marLeft w:val="0"/>
                          <w:marRight w:val="0"/>
                          <w:marTop w:val="120"/>
                          <w:marBottom w:val="0"/>
                          <w:divBdr>
                            <w:top w:val="none" w:sz="0" w:space="0" w:color="auto"/>
                            <w:left w:val="none" w:sz="0" w:space="0" w:color="auto"/>
                            <w:bottom w:val="none" w:sz="0" w:space="0" w:color="auto"/>
                            <w:right w:val="none" w:sz="0" w:space="0" w:color="auto"/>
                          </w:divBdr>
                        </w:div>
                        <w:div w:id="1803574366">
                          <w:marLeft w:val="0"/>
                          <w:marRight w:val="0"/>
                          <w:marTop w:val="0"/>
                          <w:marBottom w:val="0"/>
                          <w:divBdr>
                            <w:top w:val="none" w:sz="0" w:space="0" w:color="auto"/>
                            <w:left w:val="none" w:sz="0" w:space="0" w:color="auto"/>
                            <w:bottom w:val="none" w:sz="0" w:space="0" w:color="auto"/>
                            <w:right w:val="none" w:sz="0" w:space="0" w:color="auto"/>
                          </w:divBdr>
                          <w:divsChild>
                            <w:div w:id="1606694957">
                              <w:marLeft w:val="0"/>
                              <w:marRight w:val="0"/>
                              <w:marTop w:val="0"/>
                              <w:marBottom w:val="0"/>
                              <w:divBdr>
                                <w:top w:val="none" w:sz="0" w:space="0" w:color="auto"/>
                                <w:left w:val="none" w:sz="0" w:space="0" w:color="auto"/>
                                <w:bottom w:val="none" w:sz="0" w:space="0" w:color="auto"/>
                                <w:right w:val="none" w:sz="0" w:space="0" w:color="auto"/>
                              </w:divBdr>
                              <w:divsChild>
                                <w:div w:id="433398835">
                                  <w:marLeft w:val="0"/>
                                  <w:marRight w:val="0"/>
                                  <w:marTop w:val="120"/>
                                  <w:marBottom w:val="0"/>
                                  <w:divBdr>
                                    <w:top w:val="none" w:sz="0" w:space="0" w:color="auto"/>
                                    <w:left w:val="none" w:sz="0" w:space="0" w:color="auto"/>
                                    <w:bottom w:val="none" w:sz="0" w:space="0" w:color="auto"/>
                                    <w:right w:val="none" w:sz="0" w:space="0" w:color="auto"/>
                                  </w:divBdr>
                                </w:div>
                                <w:div w:id="1525099309">
                                  <w:marLeft w:val="0"/>
                                  <w:marRight w:val="0"/>
                                  <w:marTop w:val="0"/>
                                  <w:marBottom w:val="0"/>
                                  <w:divBdr>
                                    <w:top w:val="none" w:sz="0" w:space="0" w:color="auto"/>
                                    <w:left w:val="none" w:sz="0" w:space="0" w:color="auto"/>
                                    <w:bottom w:val="none" w:sz="0" w:space="0" w:color="auto"/>
                                    <w:right w:val="none" w:sz="0" w:space="0" w:color="auto"/>
                                  </w:divBdr>
                                </w:div>
                              </w:divsChild>
                            </w:div>
                            <w:div w:id="645286180">
                              <w:marLeft w:val="0"/>
                              <w:marRight w:val="0"/>
                              <w:marTop w:val="0"/>
                              <w:marBottom w:val="0"/>
                              <w:divBdr>
                                <w:top w:val="none" w:sz="0" w:space="0" w:color="auto"/>
                                <w:left w:val="none" w:sz="0" w:space="0" w:color="auto"/>
                                <w:bottom w:val="none" w:sz="0" w:space="0" w:color="auto"/>
                                <w:right w:val="none" w:sz="0" w:space="0" w:color="auto"/>
                              </w:divBdr>
                              <w:divsChild>
                                <w:div w:id="644316336">
                                  <w:marLeft w:val="0"/>
                                  <w:marRight w:val="0"/>
                                  <w:marTop w:val="120"/>
                                  <w:marBottom w:val="0"/>
                                  <w:divBdr>
                                    <w:top w:val="none" w:sz="0" w:space="0" w:color="auto"/>
                                    <w:left w:val="none" w:sz="0" w:space="0" w:color="auto"/>
                                    <w:bottom w:val="none" w:sz="0" w:space="0" w:color="auto"/>
                                    <w:right w:val="none" w:sz="0" w:space="0" w:color="auto"/>
                                  </w:divBdr>
                                </w:div>
                                <w:div w:id="139886135">
                                  <w:marLeft w:val="0"/>
                                  <w:marRight w:val="0"/>
                                  <w:marTop w:val="0"/>
                                  <w:marBottom w:val="0"/>
                                  <w:divBdr>
                                    <w:top w:val="none" w:sz="0" w:space="0" w:color="auto"/>
                                    <w:left w:val="none" w:sz="0" w:space="0" w:color="auto"/>
                                    <w:bottom w:val="none" w:sz="0" w:space="0" w:color="auto"/>
                                    <w:right w:val="none" w:sz="0" w:space="0" w:color="auto"/>
                                  </w:divBdr>
                                </w:div>
                              </w:divsChild>
                            </w:div>
                            <w:div w:id="1454253510">
                              <w:marLeft w:val="0"/>
                              <w:marRight w:val="0"/>
                              <w:marTop w:val="0"/>
                              <w:marBottom w:val="0"/>
                              <w:divBdr>
                                <w:top w:val="none" w:sz="0" w:space="0" w:color="auto"/>
                                <w:left w:val="none" w:sz="0" w:space="0" w:color="auto"/>
                                <w:bottom w:val="none" w:sz="0" w:space="0" w:color="auto"/>
                                <w:right w:val="none" w:sz="0" w:space="0" w:color="auto"/>
                              </w:divBdr>
                              <w:divsChild>
                                <w:div w:id="202404184">
                                  <w:marLeft w:val="0"/>
                                  <w:marRight w:val="0"/>
                                  <w:marTop w:val="120"/>
                                  <w:marBottom w:val="0"/>
                                  <w:divBdr>
                                    <w:top w:val="none" w:sz="0" w:space="0" w:color="auto"/>
                                    <w:left w:val="none" w:sz="0" w:space="0" w:color="auto"/>
                                    <w:bottom w:val="none" w:sz="0" w:space="0" w:color="auto"/>
                                    <w:right w:val="none" w:sz="0" w:space="0" w:color="auto"/>
                                  </w:divBdr>
                                </w:div>
                                <w:div w:id="1589117107">
                                  <w:marLeft w:val="0"/>
                                  <w:marRight w:val="0"/>
                                  <w:marTop w:val="0"/>
                                  <w:marBottom w:val="0"/>
                                  <w:divBdr>
                                    <w:top w:val="none" w:sz="0" w:space="0" w:color="auto"/>
                                    <w:left w:val="none" w:sz="0" w:space="0" w:color="auto"/>
                                    <w:bottom w:val="none" w:sz="0" w:space="0" w:color="auto"/>
                                    <w:right w:val="none" w:sz="0" w:space="0" w:color="auto"/>
                                  </w:divBdr>
                                </w:div>
                              </w:divsChild>
                            </w:div>
                            <w:div w:id="1765957766">
                              <w:marLeft w:val="0"/>
                              <w:marRight w:val="0"/>
                              <w:marTop w:val="0"/>
                              <w:marBottom w:val="0"/>
                              <w:divBdr>
                                <w:top w:val="none" w:sz="0" w:space="0" w:color="auto"/>
                                <w:left w:val="none" w:sz="0" w:space="0" w:color="auto"/>
                                <w:bottom w:val="none" w:sz="0" w:space="0" w:color="auto"/>
                                <w:right w:val="none" w:sz="0" w:space="0" w:color="auto"/>
                              </w:divBdr>
                              <w:divsChild>
                                <w:div w:id="528836203">
                                  <w:marLeft w:val="0"/>
                                  <w:marRight w:val="0"/>
                                  <w:marTop w:val="120"/>
                                  <w:marBottom w:val="0"/>
                                  <w:divBdr>
                                    <w:top w:val="none" w:sz="0" w:space="0" w:color="auto"/>
                                    <w:left w:val="none" w:sz="0" w:space="0" w:color="auto"/>
                                    <w:bottom w:val="none" w:sz="0" w:space="0" w:color="auto"/>
                                    <w:right w:val="none" w:sz="0" w:space="0" w:color="auto"/>
                                  </w:divBdr>
                                </w:div>
                                <w:div w:id="756099137">
                                  <w:marLeft w:val="0"/>
                                  <w:marRight w:val="0"/>
                                  <w:marTop w:val="0"/>
                                  <w:marBottom w:val="0"/>
                                  <w:divBdr>
                                    <w:top w:val="none" w:sz="0" w:space="0" w:color="auto"/>
                                    <w:left w:val="none" w:sz="0" w:space="0" w:color="auto"/>
                                    <w:bottom w:val="none" w:sz="0" w:space="0" w:color="auto"/>
                                    <w:right w:val="none" w:sz="0" w:space="0" w:color="auto"/>
                                  </w:divBdr>
                                </w:div>
                              </w:divsChild>
                            </w:div>
                            <w:div w:id="890386920">
                              <w:marLeft w:val="0"/>
                              <w:marRight w:val="0"/>
                              <w:marTop w:val="0"/>
                              <w:marBottom w:val="0"/>
                              <w:divBdr>
                                <w:top w:val="none" w:sz="0" w:space="0" w:color="auto"/>
                                <w:left w:val="none" w:sz="0" w:space="0" w:color="auto"/>
                                <w:bottom w:val="none" w:sz="0" w:space="0" w:color="auto"/>
                                <w:right w:val="none" w:sz="0" w:space="0" w:color="auto"/>
                              </w:divBdr>
                              <w:divsChild>
                                <w:div w:id="554391973">
                                  <w:marLeft w:val="0"/>
                                  <w:marRight w:val="0"/>
                                  <w:marTop w:val="120"/>
                                  <w:marBottom w:val="0"/>
                                  <w:divBdr>
                                    <w:top w:val="none" w:sz="0" w:space="0" w:color="auto"/>
                                    <w:left w:val="none" w:sz="0" w:space="0" w:color="auto"/>
                                    <w:bottom w:val="none" w:sz="0" w:space="0" w:color="auto"/>
                                    <w:right w:val="none" w:sz="0" w:space="0" w:color="auto"/>
                                  </w:divBdr>
                                </w:div>
                                <w:div w:id="871770843">
                                  <w:marLeft w:val="0"/>
                                  <w:marRight w:val="0"/>
                                  <w:marTop w:val="0"/>
                                  <w:marBottom w:val="0"/>
                                  <w:divBdr>
                                    <w:top w:val="none" w:sz="0" w:space="0" w:color="auto"/>
                                    <w:left w:val="none" w:sz="0" w:space="0" w:color="auto"/>
                                    <w:bottom w:val="none" w:sz="0" w:space="0" w:color="auto"/>
                                    <w:right w:val="none" w:sz="0" w:space="0" w:color="auto"/>
                                  </w:divBdr>
                                </w:div>
                              </w:divsChild>
                            </w:div>
                            <w:div w:id="112285275">
                              <w:marLeft w:val="0"/>
                              <w:marRight w:val="0"/>
                              <w:marTop w:val="0"/>
                              <w:marBottom w:val="0"/>
                              <w:divBdr>
                                <w:top w:val="none" w:sz="0" w:space="0" w:color="auto"/>
                                <w:left w:val="none" w:sz="0" w:space="0" w:color="auto"/>
                                <w:bottom w:val="none" w:sz="0" w:space="0" w:color="auto"/>
                                <w:right w:val="none" w:sz="0" w:space="0" w:color="auto"/>
                              </w:divBdr>
                              <w:divsChild>
                                <w:div w:id="255988917">
                                  <w:marLeft w:val="0"/>
                                  <w:marRight w:val="0"/>
                                  <w:marTop w:val="120"/>
                                  <w:marBottom w:val="0"/>
                                  <w:divBdr>
                                    <w:top w:val="none" w:sz="0" w:space="0" w:color="auto"/>
                                    <w:left w:val="none" w:sz="0" w:space="0" w:color="auto"/>
                                    <w:bottom w:val="none" w:sz="0" w:space="0" w:color="auto"/>
                                    <w:right w:val="none" w:sz="0" w:space="0" w:color="auto"/>
                                  </w:divBdr>
                                </w:div>
                                <w:div w:id="2044019056">
                                  <w:marLeft w:val="0"/>
                                  <w:marRight w:val="0"/>
                                  <w:marTop w:val="0"/>
                                  <w:marBottom w:val="0"/>
                                  <w:divBdr>
                                    <w:top w:val="none" w:sz="0" w:space="0" w:color="auto"/>
                                    <w:left w:val="none" w:sz="0" w:space="0" w:color="auto"/>
                                    <w:bottom w:val="none" w:sz="0" w:space="0" w:color="auto"/>
                                    <w:right w:val="none" w:sz="0" w:space="0" w:color="auto"/>
                                  </w:divBdr>
                                </w:div>
                              </w:divsChild>
                            </w:div>
                            <w:div w:id="1403215661">
                              <w:marLeft w:val="0"/>
                              <w:marRight w:val="0"/>
                              <w:marTop w:val="0"/>
                              <w:marBottom w:val="0"/>
                              <w:divBdr>
                                <w:top w:val="none" w:sz="0" w:space="0" w:color="auto"/>
                                <w:left w:val="none" w:sz="0" w:space="0" w:color="auto"/>
                                <w:bottom w:val="none" w:sz="0" w:space="0" w:color="auto"/>
                                <w:right w:val="none" w:sz="0" w:space="0" w:color="auto"/>
                              </w:divBdr>
                              <w:divsChild>
                                <w:div w:id="2005475414">
                                  <w:marLeft w:val="0"/>
                                  <w:marRight w:val="0"/>
                                  <w:marTop w:val="120"/>
                                  <w:marBottom w:val="0"/>
                                  <w:divBdr>
                                    <w:top w:val="none" w:sz="0" w:space="0" w:color="auto"/>
                                    <w:left w:val="none" w:sz="0" w:space="0" w:color="auto"/>
                                    <w:bottom w:val="none" w:sz="0" w:space="0" w:color="auto"/>
                                    <w:right w:val="none" w:sz="0" w:space="0" w:color="auto"/>
                                  </w:divBdr>
                                </w:div>
                                <w:div w:id="1934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7492">
                      <w:marLeft w:val="0"/>
                      <w:marRight w:val="0"/>
                      <w:marTop w:val="0"/>
                      <w:marBottom w:val="0"/>
                      <w:divBdr>
                        <w:top w:val="none" w:sz="0" w:space="0" w:color="auto"/>
                        <w:left w:val="none" w:sz="0" w:space="0" w:color="auto"/>
                        <w:bottom w:val="none" w:sz="0" w:space="0" w:color="auto"/>
                        <w:right w:val="none" w:sz="0" w:space="0" w:color="auto"/>
                      </w:divBdr>
                      <w:divsChild>
                        <w:div w:id="129055249">
                          <w:marLeft w:val="0"/>
                          <w:marRight w:val="0"/>
                          <w:marTop w:val="120"/>
                          <w:marBottom w:val="0"/>
                          <w:divBdr>
                            <w:top w:val="none" w:sz="0" w:space="0" w:color="auto"/>
                            <w:left w:val="none" w:sz="0" w:space="0" w:color="auto"/>
                            <w:bottom w:val="none" w:sz="0" w:space="0" w:color="auto"/>
                            <w:right w:val="none" w:sz="0" w:space="0" w:color="auto"/>
                          </w:divBdr>
                        </w:div>
                        <w:div w:id="950208600">
                          <w:marLeft w:val="0"/>
                          <w:marRight w:val="0"/>
                          <w:marTop w:val="0"/>
                          <w:marBottom w:val="0"/>
                          <w:divBdr>
                            <w:top w:val="none" w:sz="0" w:space="0" w:color="auto"/>
                            <w:left w:val="none" w:sz="0" w:space="0" w:color="auto"/>
                            <w:bottom w:val="none" w:sz="0" w:space="0" w:color="auto"/>
                            <w:right w:val="none" w:sz="0" w:space="0" w:color="auto"/>
                          </w:divBdr>
                        </w:div>
                      </w:divsChild>
                    </w:div>
                    <w:div w:id="1732458563">
                      <w:marLeft w:val="0"/>
                      <w:marRight w:val="0"/>
                      <w:marTop w:val="0"/>
                      <w:marBottom w:val="0"/>
                      <w:divBdr>
                        <w:top w:val="none" w:sz="0" w:space="0" w:color="auto"/>
                        <w:left w:val="none" w:sz="0" w:space="0" w:color="auto"/>
                        <w:bottom w:val="none" w:sz="0" w:space="0" w:color="auto"/>
                        <w:right w:val="none" w:sz="0" w:space="0" w:color="auto"/>
                      </w:divBdr>
                      <w:divsChild>
                        <w:div w:id="1326593287">
                          <w:marLeft w:val="0"/>
                          <w:marRight w:val="0"/>
                          <w:marTop w:val="120"/>
                          <w:marBottom w:val="0"/>
                          <w:divBdr>
                            <w:top w:val="none" w:sz="0" w:space="0" w:color="auto"/>
                            <w:left w:val="none" w:sz="0" w:space="0" w:color="auto"/>
                            <w:bottom w:val="none" w:sz="0" w:space="0" w:color="auto"/>
                            <w:right w:val="none" w:sz="0" w:space="0" w:color="auto"/>
                          </w:divBdr>
                        </w:div>
                        <w:div w:id="325482113">
                          <w:marLeft w:val="0"/>
                          <w:marRight w:val="0"/>
                          <w:marTop w:val="0"/>
                          <w:marBottom w:val="0"/>
                          <w:divBdr>
                            <w:top w:val="none" w:sz="0" w:space="0" w:color="auto"/>
                            <w:left w:val="none" w:sz="0" w:space="0" w:color="auto"/>
                            <w:bottom w:val="none" w:sz="0" w:space="0" w:color="auto"/>
                            <w:right w:val="none" w:sz="0" w:space="0" w:color="auto"/>
                          </w:divBdr>
                          <w:divsChild>
                            <w:div w:id="1995405685">
                              <w:marLeft w:val="0"/>
                              <w:marRight w:val="0"/>
                              <w:marTop w:val="0"/>
                              <w:marBottom w:val="0"/>
                              <w:divBdr>
                                <w:top w:val="none" w:sz="0" w:space="0" w:color="auto"/>
                                <w:left w:val="none" w:sz="0" w:space="0" w:color="auto"/>
                                <w:bottom w:val="none" w:sz="0" w:space="0" w:color="auto"/>
                                <w:right w:val="none" w:sz="0" w:space="0" w:color="auto"/>
                              </w:divBdr>
                              <w:divsChild>
                                <w:div w:id="1491482618">
                                  <w:marLeft w:val="0"/>
                                  <w:marRight w:val="0"/>
                                  <w:marTop w:val="120"/>
                                  <w:marBottom w:val="0"/>
                                  <w:divBdr>
                                    <w:top w:val="none" w:sz="0" w:space="0" w:color="auto"/>
                                    <w:left w:val="none" w:sz="0" w:space="0" w:color="auto"/>
                                    <w:bottom w:val="none" w:sz="0" w:space="0" w:color="auto"/>
                                    <w:right w:val="none" w:sz="0" w:space="0" w:color="auto"/>
                                  </w:divBdr>
                                </w:div>
                                <w:div w:id="454524776">
                                  <w:marLeft w:val="0"/>
                                  <w:marRight w:val="0"/>
                                  <w:marTop w:val="0"/>
                                  <w:marBottom w:val="0"/>
                                  <w:divBdr>
                                    <w:top w:val="none" w:sz="0" w:space="0" w:color="auto"/>
                                    <w:left w:val="none" w:sz="0" w:space="0" w:color="auto"/>
                                    <w:bottom w:val="none" w:sz="0" w:space="0" w:color="auto"/>
                                    <w:right w:val="none" w:sz="0" w:space="0" w:color="auto"/>
                                  </w:divBdr>
                                </w:div>
                              </w:divsChild>
                            </w:div>
                            <w:div w:id="1560364072">
                              <w:marLeft w:val="0"/>
                              <w:marRight w:val="0"/>
                              <w:marTop w:val="0"/>
                              <w:marBottom w:val="0"/>
                              <w:divBdr>
                                <w:top w:val="none" w:sz="0" w:space="0" w:color="auto"/>
                                <w:left w:val="none" w:sz="0" w:space="0" w:color="auto"/>
                                <w:bottom w:val="none" w:sz="0" w:space="0" w:color="auto"/>
                                <w:right w:val="none" w:sz="0" w:space="0" w:color="auto"/>
                              </w:divBdr>
                              <w:divsChild>
                                <w:div w:id="1009412217">
                                  <w:marLeft w:val="0"/>
                                  <w:marRight w:val="0"/>
                                  <w:marTop w:val="120"/>
                                  <w:marBottom w:val="0"/>
                                  <w:divBdr>
                                    <w:top w:val="none" w:sz="0" w:space="0" w:color="auto"/>
                                    <w:left w:val="none" w:sz="0" w:space="0" w:color="auto"/>
                                    <w:bottom w:val="none" w:sz="0" w:space="0" w:color="auto"/>
                                    <w:right w:val="none" w:sz="0" w:space="0" w:color="auto"/>
                                  </w:divBdr>
                                </w:div>
                                <w:div w:id="246809019">
                                  <w:marLeft w:val="0"/>
                                  <w:marRight w:val="0"/>
                                  <w:marTop w:val="0"/>
                                  <w:marBottom w:val="0"/>
                                  <w:divBdr>
                                    <w:top w:val="none" w:sz="0" w:space="0" w:color="auto"/>
                                    <w:left w:val="none" w:sz="0" w:space="0" w:color="auto"/>
                                    <w:bottom w:val="none" w:sz="0" w:space="0" w:color="auto"/>
                                    <w:right w:val="none" w:sz="0" w:space="0" w:color="auto"/>
                                  </w:divBdr>
                                </w:div>
                              </w:divsChild>
                            </w:div>
                            <w:div w:id="1152412133">
                              <w:marLeft w:val="0"/>
                              <w:marRight w:val="0"/>
                              <w:marTop w:val="0"/>
                              <w:marBottom w:val="0"/>
                              <w:divBdr>
                                <w:top w:val="none" w:sz="0" w:space="0" w:color="auto"/>
                                <w:left w:val="none" w:sz="0" w:space="0" w:color="auto"/>
                                <w:bottom w:val="none" w:sz="0" w:space="0" w:color="auto"/>
                                <w:right w:val="none" w:sz="0" w:space="0" w:color="auto"/>
                              </w:divBdr>
                              <w:divsChild>
                                <w:div w:id="1120414584">
                                  <w:marLeft w:val="0"/>
                                  <w:marRight w:val="0"/>
                                  <w:marTop w:val="120"/>
                                  <w:marBottom w:val="0"/>
                                  <w:divBdr>
                                    <w:top w:val="none" w:sz="0" w:space="0" w:color="auto"/>
                                    <w:left w:val="none" w:sz="0" w:space="0" w:color="auto"/>
                                    <w:bottom w:val="none" w:sz="0" w:space="0" w:color="auto"/>
                                    <w:right w:val="none" w:sz="0" w:space="0" w:color="auto"/>
                                  </w:divBdr>
                                </w:div>
                                <w:div w:id="9970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08229">
                      <w:marLeft w:val="0"/>
                      <w:marRight w:val="0"/>
                      <w:marTop w:val="0"/>
                      <w:marBottom w:val="0"/>
                      <w:divBdr>
                        <w:top w:val="none" w:sz="0" w:space="0" w:color="auto"/>
                        <w:left w:val="none" w:sz="0" w:space="0" w:color="auto"/>
                        <w:bottom w:val="none" w:sz="0" w:space="0" w:color="auto"/>
                        <w:right w:val="none" w:sz="0" w:space="0" w:color="auto"/>
                      </w:divBdr>
                      <w:divsChild>
                        <w:div w:id="172231787">
                          <w:marLeft w:val="0"/>
                          <w:marRight w:val="0"/>
                          <w:marTop w:val="120"/>
                          <w:marBottom w:val="0"/>
                          <w:divBdr>
                            <w:top w:val="none" w:sz="0" w:space="0" w:color="auto"/>
                            <w:left w:val="none" w:sz="0" w:space="0" w:color="auto"/>
                            <w:bottom w:val="none" w:sz="0" w:space="0" w:color="auto"/>
                            <w:right w:val="none" w:sz="0" w:space="0" w:color="auto"/>
                          </w:divBdr>
                        </w:div>
                        <w:div w:id="2131777330">
                          <w:marLeft w:val="0"/>
                          <w:marRight w:val="0"/>
                          <w:marTop w:val="0"/>
                          <w:marBottom w:val="0"/>
                          <w:divBdr>
                            <w:top w:val="none" w:sz="0" w:space="0" w:color="auto"/>
                            <w:left w:val="none" w:sz="0" w:space="0" w:color="auto"/>
                            <w:bottom w:val="none" w:sz="0" w:space="0" w:color="auto"/>
                            <w:right w:val="none" w:sz="0" w:space="0" w:color="auto"/>
                          </w:divBdr>
                        </w:div>
                      </w:divsChild>
                    </w:div>
                    <w:div w:id="1468626253">
                      <w:marLeft w:val="0"/>
                      <w:marRight w:val="0"/>
                      <w:marTop w:val="0"/>
                      <w:marBottom w:val="0"/>
                      <w:divBdr>
                        <w:top w:val="none" w:sz="0" w:space="0" w:color="auto"/>
                        <w:left w:val="none" w:sz="0" w:space="0" w:color="auto"/>
                        <w:bottom w:val="none" w:sz="0" w:space="0" w:color="auto"/>
                        <w:right w:val="none" w:sz="0" w:space="0" w:color="auto"/>
                      </w:divBdr>
                      <w:divsChild>
                        <w:div w:id="719134988">
                          <w:marLeft w:val="0"/>
                          <w:marRight w:val="0"/>
                          <w:marTop w:val="120"/>
                          <w:marBottom w:val="0"/>
                          <w:divBdr>
                            <w:top w:val="none" w:sz="0" w:space="0" w:color="auto"/>
                            <w:left w:val="none" w:sz="0" w:space="0" w:color="auto"/>
                            <w:bottom w:val="none" w:sz="0" w:space="0" w:color="auto"/>
                            <w:right w:val="none" w:sz="0" w:space="0" w:color="auto"/>
                          </w:divBdr>
                        </w:div>
                        <w:div w:id="1717118564">
                          <w:marLeft w:val="0"/>
                          <w:marRight w:val="0"/>
                          <w:marTop w:val="0"/>
                          <w:marBottom w:val="0"/>
                          <w:divBdr>
                            <w:top w:val="none" w:sz="0" w:space="0" w:color="auto"/>
                            <w:left w:val="none" w:sz="0" w:space="0" w:color="auto"/>
                            <w:bottom w:val="none" w:sz="0" w:space="0" w:color="auto"/>
                            <w:right w:val="none" w:sz="0" w:space="0" w:color="auto"/>
                          </w:divBdr>
                        </w:div>
                      </w:divsChild>
                    </w:div>
                    <w:div w:id="1964723668">
                      <w:marLeft w:val="0"/>
                      <w:marRight w:val="0"/>
                      <w:marTop w:val="0"/>
                      <w:marBottom w:val="0"/>
                      <w:divBdr>
                        <w:top w:val="none" w:sz="0" w:space="0" w:color="auto"/>
                        <w:left w:val="none" w:sz="0" w:space="0" w:color="auto"/>
                        <w:bottom w:val="none" w:sz="0" w:space="0" w:color="auto"/>
                        <w:right w:val="none" w:sz="0" w:space="0" w:color="auto"/>
                      </w:divBdr>
                      <w:divsChild>
                        <w:div w:id="1068499043">
                          <w:marLeft w:val="0"/>
                          <w:marRight w:val="0"/>
                          <w:marTop w:val="120"/>
                          <w:marBottom w:val="0"/>
                          <w:divBdr>
                            <w:top w:val="none" w:sz="0" w:space="0" w:color="auto"/>
                            <w:left w:val="none" w:sz="0" w:space="0" w:color="auto"/>
                            <w:bottom w:val="none" w:sz="0" w:space="0" w:color="auto"/>
                            <w:right w:val="none" w:sz="0" w:space="0" w:color="auto"/>
                          </w:divBdr>
                        </w:div>
                        <w:div w:id="1671448978">
                          <w:marLeft w:val="0"/>
                          <w:marRight w:val="0"/>
                          <w:marTop w:val="0"/>
                          <w:marBottom w:val="0"/>
                          <w:divBdr>
                            <w:top w:val="none" w:sz="0" w:space="0" w:color="auto"/>
                            <w:left w:val="none" w:sz="0" w:space="0" w:color="auto"/>
                            <w:bottom w:val="none" w:sz="0" w:space="0" w:color="auto"/>
                            <w:right w:val="none" w:sz="0" w:space="0" w:color="auto"/>
                          </w:divBdr>
                        </w:div>
                      </w:divsChild>
                    </w:div>
                    <w:div w:id="1129006277">
                      <w:marLeft w:val="0"/>
                      <w:marRight w:val="0"/>
                      <w:marTop w:val="0"/>
                      <w:marBottom w:val="0"/>
                      <w:divBdr>
                        <w:top w:val="none" w:sz="0" w:space="0" w:color="auto"/>
                        <w:left w:val="none" w:sz="0" w:space="0" w:color="auto"/>
                        <w:bottom w:val="none" w:sz="0" w:space="0" w:color="auto"/>
                        <w:right w:val="none" w:sz="0" w:space="0" w:color="auto"/>
                      </w:divBdr>
                      <w:divsChild>
                        <w:div w:id="1579948695">
                          <w:marLeft w:val="0"/>
                          <w:marRight w:val="0"/>
                          <w:marTop w:val="120"/>
                          <w:marBottom w:val="0"/>
                          <w:divBdr>
                            <w:top w:val="none" w:sz="0" w:space="0" w:color="auto"/>
                            <w:left w:val="none" w:sz="0" w:space="0" w:color="auto"/>
                            <w:bottom w:val="none" w:sz="0" w:space="0" w:color="auto"/>
                            <w:right w:val="none" w:sz="0" w:space="0" w:color="auto"/>
                          </w:divBdr>
                        </w:div>
                        <w:div w:id="311756088">
                          <w:marLeft w:val="0"/>
                          <w:marRight w:val="0"/>
                          <w:marTop w:val="0"/>
                          <w:marBottom w:val="0"/>
                          <w:divBdr>
                            <w:top w:val="none" w:sz="0" w:space="0" w:color="auto"/>
                            <w:left w:val="none" w:sz="0" w:space="0" w:color="auto"/>
                            <w:bottom w:val="none" w:sz="0" w:space="0" w:color="auto"/>
                            <w:right w:val="none" w:sz="0" w:space="0" w:color="auto"/>
                          </w:divBdr>
                        </w:div>
                      </w:divsChild>
                    </w:div>
                    <w:div w:id="477841856">
                      <w:marLeft w:val="0"/>
                      <w:marRight w:val="0"/>
                      <w:marTop w:val="0"/>
                      <w:marBottom w:val="0"/>
                      <w:divBdr>
                        <w:top w:val="none" w:sz="0" w:space="0" w:color="auto"/>
                        <w:left w:val="none" w:sz="0" w:space="0" w:color="auto"/>
                        <w:bottom w:val="none" w:sz="0" w:space="0" w:color="auto"/>
                        <w:right w:val="none" w:sz="0" w:space="0" w:color="auto"/>
                      </w:divBdr>
                      <w:divsChild>
                        <w:div w:id="1184784268">
                          <w:marLeft w:val="0"/>
                          <w:marRight w:val="0"/>
                          <w:marTop w:val="120"/>
                          <w:marBottom w:val="0"/>
                          <w:divBdr>
                            <w:top w:val="none" w:sz="0" w:space="0" w:color="auto"/>
                            <w:left w:val="none" w:sz="0" w:space="0" w:color="auto"/>
                            <w:bottom w:val="none" w:sz="0" w:space="0" w:color="auto"/>
                            <w:right w:val="none" w:sz="0" w:space="0" w:color="auto"/>
                          </w:divBdr>
                        </w:div>
                        <w:div w:id="727459927">
                          <w:marLeft w:val="0"/>
                          <w:marRight w:val="0"/>
                          <w:marTop w:val="0"/>
                          <w:marBottom w:val="0"/>
                          <w:divBdr>
                            <w:top w:val="none" w:sz="0" w:space="0" w:color="auto"/>
                            <w:left w:val="none" w:sz="0" w:space="0" w:color="auto"/>
                            <w:bottom w:val="none" w:sz="0" w:space="0" w:color="auto"/>
                            <w:right w:val="none" w:sz="0" w:space="0" w:color="auto"/>
                          </w:divBdr>
                        </w:div>
                      </w:divsChild>
                    </w:div>
                    <w:div w:id="1806314350">
                      <w:marLeft w:val="0"/>
                      <w:marRight w:val="0"/>
                      <w:marTop w:val="0"/>
                      <w:marBottom w:val="0"/>
                      <w:divBdr>
                        <w:top w:val="none" w:sz="0" w:space="0" w:color="auto"/>
                        <w:left w:val="none" w:sz="0" w:space="0" w:color="auto"/>
                        <w:bottom w:val="none" w:sz="0" w:space="0" w:color="auto"/>
                        <w:right w:val="none" w:sz="0" w:space="0" w:color="auto"/>
                      </w:divBdr>
                      <w:divsChild>
                        <w:div w:id="1906715899">
                          <w:marLeft w:val="0"/>
                          <w:marRight w:val="0"/>
                          <w:marTop w:val="120"/>
                          <w:marBottom w:val="0"/>
                          <w:divBdr>
                            <w:top w:val="none" w:sz="0" w:space="0" w:color="auto"/>
                            <w:left w:val="none" w:sz="0" w:space="0" w:color="auto"/>
                            <w:bottom w:val="none" w:sz="0" w:space="0" w:color="auto"/>
                            <w:right w:val="none" w:sz="0" w:space="0" w:color="auto"/>
                          </w:divBdr>
                        </w:div>
                        <w:div w:id="8900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40045">
              <w:marLeft w:val="0"/>
              <w:marRight w:val="0"/>
              <w:marTop w:val="0"/>
              <w:marBottom w:val="0"/>
              <w:divBdr>
                <w:top w:val="none" w:sz="0" w:space="0" w:color="auto"/>
                <w:left w:val="none" w:sz="0" w:space="0" w:color="auto"/>
                <w:bottom w:val="none" w:sz="0" w:space="0" w:color="auto"/>
                <w:right w:val="none" w:sz="0" w:space="0" w:color="auto"/>
              </w:divBdr>
              <w:divsChild>
                <w:div w:id="1801339940">
                  <w:marLeft w:val="0"/>
                  <w:marRight w:val="0"/>
                  <w:marTop w:val="0"/>
                  <w:marBottom w:val="0"/>
                  <w:divBdr>
                    <w:top w:val="none" w:sz="0" w:space="0" w:color="auto"/>
                    <w:left w:val="none" w:sz="0" w:space="0" w:color="auto"/>
                    <w:bottom w:val="none" w:sz="0" w:space="0" w:color="auto"/>
                    <w:right w:val="none" w:sz="0" w:space="0" w:color="auto"/>
                  </w:divBdr>
                  <w:divsChild>
                    <w:div w:id="1319575024">
                      <w:marLeft w:val="0"/>
                      <w:marRight w:val="0"/>
                      <w:marTop w:val="0"/>
                      <w:marBottom w:val="0"/>
                      <w:divBdr>
                        <w:top w:val="none" w:sz="0" w:space="0" w:color="auto"/>
                        <w:left w:val="none" w:sz="0" w:space="0" w:color="auto"/>
                        <w:bottom w:val="none" w:sz="0" w:space="0" w:color="auto"/>
                        <w:right w:val="none" w:sz="0" w:space="0" w:color="auto"/>
                      </w:divBdr>
                      <w:divsChild>
                        <w:div w:id="1709525365">
                          <w:marLeft w:val="0"/>
                          <w:marRight w:val="0"/>
                          <w:marTop w:val="120"/>
                          <w:marBottom w:val="0"/>
                          <w:divBdr>
                            <w:top w:val="none" w:sz="0" w:space="0" w:color="auto"/>
                            <w:left w:val="none" w:sz="0" w:space="0" w:color="auto"/>
                            <w:bottom w:val="none" w:sz="0" w:space="0" w:color="auto"/>
                            <w:right w:val="none" w:sz="0" w:space="0" w:color="auto"/>
                          </w:divBdr>
                        </w:div>
                        <w:div w:id="366414170">
                          <w:marLeft w:val="0"/>
                          <w:marRight w:val="0"/>
                          <w:marTop w:val="0"/>
                          <w:marBottom w:val="0"/>
                          <w:divBdr>
                            <w:top w:val="none" w:sz="0" w:space="0" w:color="auto"/>
                            <w:left w:val="none" w:sz="0" w:space="0" w:color="auto"/>
                            <w:bottom w:val="none" w:sz="0" w:space="0" w:color="auto"/>
                            <w:right w:val="none" w:sz="0" w:space="0" w:color="auto"/>
                          </w:divBdr>
                          <w:divsChild>
                            <w:div w:id="207691610">
                              <w:marLeft w:val="0"/>
                              <w:marRight w:val="0"/>
                              <w:marTop w:val="0"/>
                              <w:marBottom w:val="0"/>
                              <w:divBdr>
                                <w:top w:val="none" w:sz="0" w:space="0" w:color="auto"/>
                                <w:left w:val="none" w:sz="0" w:space="0" w:color="auto"/>
                                <w:bottom w:val="none" w:sz="0" w:space="0" w:color="auto"/>
                                <w:right w:val="none" w:sz="0" w:space="0" w:color="auto"/>
                              </w:divBdr>
                              <w:divsChild>
                                <w:div w:id="777990511">
                                  <w:marLeft w:val="0"/>
                                  <w:marRight w:val="0"/>
                                  <w:marTop w:val="120"/>
                                  <w:marBottom w:val="0"/>
                                  <w:divBdr>
                                    <w:top w:val="none" w:sz="0" w:space="0" w:color="auto"/>
                                    <w:left w:val="none" w:sz="0" w:space="0" w:color="auto"/>
                                    <w:bottom w:val="none" w:sz="0" w:space="0" w:color="auto"/>
                                    <w:right w:val="none" w:sz="0" w:space="0" w:color="auto"/>
                                  </w:divBdr>
                                </w:div>
                                <w:div w:id="329791712">
                                  <w:marLeft w:val="0"/>
                                  <w:marRight w:val="0"/>
                                  <w:marTop w:val="0"/>
                                  <w:marBottom w:val="0"/>
                                  <w:divBdr>
                                    <w:top w:val="none" w:sz="0" w:space="0" w:color="auto"/>
                                    <w:left w:val="none" w:sz="0" w:space="0" w:color="auto"/>
                                    <w:bottom w:val="none" w:sz="0" w:space="0" w:color="auto"/>
                                    <w:right w:val="none" w:sz="0" w:space="0" w:color="auto"/>
                                  </w:divBdr>
                                </w:div>
                              </w:divsChild>
                            </w:div>
                            <w:div w:id="1686712197">
                              <w:marLeft w:val="0"/>
                              <w:marRight w:val="0"/>
                              <w:marTop w:val="0"/>
                              <w:marBottom w:val="0"/>
                              <w:divBdr>
                                <w:top w:val="none" w:sz="0" w:space="0" w:color="auto"/>
                                <w:left w:val="none" w:sz="0" w:space="0" w:color="auto"/>
                                <w:bottom w:val="none" w:sz="0" w:space="0" w:color="auto"/>
                                <w:right w:val="none" w:sz="0" w:space="0" w:color="auto"/>
                              </w:divBdr>
                              <w:divsChild>
                                <w:div w:id="1418747782">
                                  <w:marLeft w:val="0"/>
                                  <w:marRight w:val="0"/>
                                  <w:marTop w:val="120"/>
                                  <w:marBottom w:val="0"/>
                                  <w:divBdr>
                                    <w:top w:val="none" w:sz="0" w:space="0" w:color="auto"/>
                                    <w:left w:val="none" w:sz="0" w:space="0" w:color="auto"/>
                                    <w:bottom w:val="none" w:sz="0" w:space="0" w:color="auto"/>
                                    <w:right w:val="none" w:sz="0" w:space="0" w:color="auto"/>
                                  </w:divBdr>
                                </w:div>
                                <w:div w:id="1093472683">
                                  <w:marLeft w:val="0"/>
                                  <w:marRight w:val="0"/>
                                  <w:marTop w:val="0"/>
                                  <w:marBottom w:val="0"/>
                                  <w:divBdr>
                                    <w:top w:val="none" w:sz="0" w:space="0" w:color="auto"/>
                                    <w:left w:val="none" w:sz="0" w:space="0" w:color="auto"/>
                                    <w:bottom w:val="none" w:sz="0" w:space="0" w:color="auto"/>
                                    <w:right w:val="none" w:sz="0" w:space="0" w:color="auto"/>
                                  </w:divBdr>
                                </w:div>
                              </w:divsChild>
                            </w:div>
                            <w:div w:id="363940207">
                              <w:marLeft w:val="0"/>
                              <w:marRight w:val="0"/>
                              <w:marTop w:val="0"/>
                              <w:marBottom w:val="0"/>
                              <w:divBdr>
                                <w:top w:val="none" w:sz="0" w:space="0" w:color="auto"/>
                                <w:left w:val="none" w:sz="0" w:space="0" w:color="auto"/>
                                <w:bottom w:val="none" w:sz="0" w:space="0" w:color="auto"/>
                                <w:right w:val="none" w:sz="0" w:space="0" w:color="auto"/>
                              </w:divBdr>
                              <w:divsChild>
                                <w:div w:id="452479362">
                                  <w:marLeft w:val="0"/>
                                  <w:marRight w:val="0"/>
                                  <w:marTop w:val="120"/>
                                  <w:marBottom w:val="0"/>
                                  <w:divBdr>
                                    <w:top w:val="none" w:sz="0" w:space="0" w:color="auto"/>
                                    <w:left w:val="none" w:sz="0" w:space="0" w:color="auto"/>
                                    <w:bottom w:val="none" w:sz="0" w:space="0" w:color="auto"/>
                                    <w:right w:val="none" w:sz="0" w:space="0" w:color="auto"/>
                                  </w:divBdr>
                                </w:div>
                                <w:div w:id="742685278">
                                  <w:marLeft w:val="0"/>
                                  <w:marRight w:val="0"/>
                                  <w:marTop w:val="0"/>
                                  <w:marBottom w:val="0"/>
                                  <w:divBdr>
                                    <w:top w:val="none" w:sz="0" w:space="0" w:color="auto"/>
                                    <w:left w:val="none" w:sz="0" w:space="0" w:color="auto"/>
                                    <w:bottom w:val="none" w:sz="0" w:space="0" w:color="auto"/>
                                    <w:right w:val="none" w:sz="0" w:space="0" w:color="auto"/>
                                  </w:divBdr>
                                </w:div>
                              </w:divsChild>
                            </w:div>
                            <w:div w:id="506359946">
                              <w:marLeft w:val="0"/>
                              <w:marRight w:val="0"/>
                              <w:marTop w:val="0"/>
                              <w:marBottom w:val="0"/>
                              <w:divBdr>
                                <w:top w:val="none" w:sz="0" w:space="0" w:color="auto"/>
                                <w:left w:val="none" w:sz="0" w:space="0" w:color="auto"/>
                                <w:bottom w:val="none" w:sz="0" w:space="0" w:color="auto"/>
                                <w:right w:val="none" w:sz="0" w:space="0" w:color="auto"/>
                              </w:divBdr>
                              <w:divsChild>
                                <w:div w:id="909385232">
                                  <w:marLeft w:val="0"/>
                                  <w:marRight w:val="0"/>
                                  <w:marTop w:val="120"/>
                                  <w:marBottom w:val="0"/>
                                  <w:divBdr>
                                    <w:top w:val="none" w:sz="0" w:space="0" w:color="auto"/>
                                    <w:left w:val="none" w:sz="0" w:space="0" w:color="auto"/>
                                    <w:bottom w:val="none" w:sz="0" w:space="0" w:color="auto"/>
                                    <w:right w:val="none" w:sz="0" w:space="0" w:color="auto"/>
                                  </w:divBdr>
                                </w:div>
                                <w:div w:id="1703363039">
                                  <w:marLeft w:val="0"/>
                                  <w:marRight w:val="0"/>
                                  <w:marTop w:val="0"/>
                                  <w:marBottom w:val="0"/>
                                  <w:divBdr>
                                    <w:top w:val="none" w:sz="0" w:space="0" w:color="auto"/>
                                    <w:left w:val="none" w:sz="0" w:space="0" w:color="auto"/>
                                    <w:bottom w:val="none" w:sz="0" w:space="0" w:color="auto"/>
                                    <w:right w:val="none" w:sz="0" w:space="0" w:color="auto"/>
                                  </w:divBdr>
                                  <w:divsChild>
                                    <w:div w:id="446004697">
                                      <w:marLeft w:val="0"/>
                                      <w:marRight w:val="0"/>
                                      <w:marTop w:val="0"/>
                                      <w:marBottom w:val="0"/>
                                      <w:divBdr>
                                        <w:top w:val="none" w:sz="0" w:space="0" w:color="auto"/>
                                        <w:left w:val="none" w:sz="0" w:space="0" w:color="auto"/>
                                        <w:bottom w:val="none" w:sz="0" w:space="0" w:color="auto"/>
                                        <w:right w:val="none" w:sz="0" w:space="0" w:color="auto"/>
                                      </w:divBdr>
                                      <w:divsChild>
                                        <w:div w:id="1734738739">
                                          <w:marLeft w:val="0"/>
                                          <w:marRight w:val="0"/>
                                          <w:marTop w:val="120"/>
                                          <w:marBottom w:val="0"/>
                                          <w:divBdr>
                                            <w:top w:val="none" w:sz="0" w:space="0" w:color="auto"/>
                                            <w:left w:val="none" w:sz="0" w:space="0" w:color="auto"/>
                                            <w:bottom w:val="none" w:sz="0" w:space="0" w:color="auto"/>
                                            <w:right w:val="none" w:sz="0" w:space="0" w:color="auto"/>
                                          </w:divBdr>
                                        </w:div>
                                        <w:div w:id="1445614408">
                                          <w:marLeft w:val="0"/>
                                          <w:marRight w:val="0"/>
                                          <w:marTop w:val="0"/>
                                          <w:marBottom w:val="0"/>
                                          <w:divBdr>
                                            <w:top w:val="none" w:sz="0" w:space="0" w:color="auto"/>
                                            <w:left w:val="none" w:sz="0" w:space="0" w:color="auto"/>
                                            <w:bottom w:val="none" w:sz="0" w:space="0" w:color="auto"/>
                                            <w:right w:val="none" w:sz="0" w:space="0" w:color="auto"/>
                                          </w:divBdr>
                                          <w:divsChild>
                                            <w:div w:id="14092295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6777754">
                                      <w:marLeft w:val="0"/>
                                      <w:marRight w:val="0"/>
                                      <w:marTop w:val="0"/>
                                      <w:marBottom w:val="0"/>
                                      <w:divBdr>
                                        <w:top w:val="none" w:sz="0" w:space="0" w:color="auto"/>
                                        <w:left w:val="none" w:sz="0" w:space="0" w:color="auto"/>
                                        <w:bottom w:val="none" w:sz="0" w:space="0" w:color="auto"/>
                                        <w:right w:val="none" w:sz="0" w:space="0" w:color="auto"/>
                                      </w:divBdr>
                                      <w:divsChild>
                                        <w:div w:id="573902179">
                                          <w:marLeft w:val="0"/>
                                          <w:marRight w:val="0"/>
                                          <w:marTop w:val="120"/>
                                          <w:marBottom w:val="0"/>
                                          <w:divBdr>
                                            <w:top w:val="none" w:sz="0" w:space="0" w:color="auto"/>
                                            <w:left w:val="none" w:sz="0" w:space="0" w:color="auto"/>
                                            <w:bottom w:val="none" w:sz="0" w:space="0" w:color="auto"/>
                                            <w:right w:val="none" w:sz="0" w:space="0" w:color="auto"/>
                                          </w:divBdr>
                                        </w:div>
                                        <w:div w:id="1403987439">
                                          <w:marLeft w:val="0"/>
                                          <w:marRight w:val="0"/>
                                          <w:marTop w:val="0"/>
                                          <w:marBottom w:val="0"/>
                                          <w:divBdr>
                                            <w:top w:val="none" w:sz="0" w:space="0" w:color="auto"/>
                                            <w:left w:val="none" w:sz="0" w:space="0" w:color="auto"/>
                                            <w:bottom w:val="none" w:sz="0" w:space="0" w:color="auto"/>
                                            <w:right w:val="none" w:sz="0" w:space="0" w:color="auto"/>
                                          </w:divBdr>
                                          <w:divsChild>
                                            <w:div w:id="6901886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10805295">
                                      <w:marLeft w:val="0"/>
                                      <w:marRight w:val="0"/>
                                      <w:marTop w:val="0"/>
                                      <w:marBottom w:val="0"/>
                                      <w:divBdr>
                                        <w:top w:val="none" w:sz="0" w:space="0" w:color="auto"/>
                                        <w:left w:val="none" w:sz="0" w:space="0" w:color="auto"/>
                                        <w:bottom w:val="none" w:sz="0" w:space="0" w:color="auto"/>
                                        <w:right w:val="none" w:sz="0" w:space="0" w:color="auto"/>
                                      </w:divBdr>
                                      <w:divsChild>
                                        <w:div w:id="11496173">
                                          <w:marLeft w:val="0"/>
                                          <w:marRight w:val="0"/>
                                          <w:marTop w:val="120"/>
                                          <w:marBottom w:val="0"/>
                                          <w:divBdr>
                                            <w:top w:val="none" w:sz="0" w:space="0" w:color="auto"/>
                                            <w:left w:val="none" w:sz="0" w:space="0" w:color="auto"/>
                                            <w:bottom w:val="none" w:sz="0" w:space="0" w:color="auto"/>
                                            <w:right w:val="none" w:sz="0" w:space="0" w:color="auto"/>
                                          </w:divBdr>
                                        </w:div>
                                        <w:div w:id="790707310">
                                          <w:marLeft w:val="0"/>
                                          <w:marRight w:val="0"/>
                                          <w:marTop w:val="0"/>
                                          <w:marBottom w:val="0"/>
                                          <w:divBdr>
                                            <w:top w:val="none" w:sz="0" w:space="0" w:color="auto"/>
                                            <w:left w:val="none" w:sz="0" w:space="0" w:color="auto"/>
                                            <w:bottom w:val="none" w:sz="0" w:space="0" w:color="auto"/>
                                            <w:right w:val="none" w:sz="0" w:space="0" w:color="auto"/>
                                          </w:divBdr>
                                          <w:divsChild>
                                            <w:div w:id="8784733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806835">
                      <w:marLeft w:val="0"/>
                      <w:marRight w:val="0"/>
                      <w:marTop w:val="0"/>
                      <w:marBottom w:val="0"/>
                      <w:divBdr>
                        <w:top w:val="none" w:sz="0" w:space="0" w:color="auto"/>
                        <w:left w:val="none" w:sz="0" w:space="0" w:color="auto"/>
                        <w:bottom w:val="none" w:sz="0" w:space="0" w:color="auto"/>
                        <w:right w:val="none" w:sz="0" w:space="0" w:color="auto"/>
                      </w:divBdr>
                      <w:divsChild>
                        <w:div w:id="398746589">
                          <w:marLeft w:val="0"/>
                          <w:marRight w:val="0"/>
                          <w:marTop w:val="120"/>
                          <w:marBottom w:val="0"/>
                          <w:divBdr>
                            <w:top w:val="none" w:sz="0" w:space="0" w:color="auto"/>
                            <w:left w:val="none" w:sz="0" w:space="0" w:color="auto"/>
                            <w:bottom w:val="none" w:sz="0" w:space="0" w:color="auto"/>
                            <w:right w:val="none" w:sz="0" w:space="0" w:color="auto"/>
                          </w:divBdr>
                        </w:div>
                        <w:div w:id="1047530617">
                          <w:marLeft w:val="0"/>
                          <w:marRight w:val="0"/>
                          <w:marTop w:val="0"/>
                          <w:marBottom w:val="0"/>
                          <w:divBdr>
                            <w:top w:val="none" w:sz="0" w:space="0" w:color="auto"/>
                            <w:left w:val="none" w:sz="0" w:space="0" w:color="auto"/>
                            <w:bottom w:val="none" w:sz="0" w:space="0" w:color="auto"/>
                            <w:right w:val="none" w:sz="0" w:space="0" w:color="auto"/>
                          </w:divBdr>
                          <w:divsChild>
                            <w:div w:id="687684860">
                              <w:marLeft w:val="0"/>
                              <w:marRight w:val="0"/>
                              <w:marTop w:val="0"/>
                              <w:marBottom w:val="0"/>
                              <w:divBdr>
                                <w:top w:val="none" w:sz="0" w:space="0" w:color="auto"/>
                                <w:left w:val="none" w:sz="0" w:space="0" w:color="auto"/>
                                <w:bottom w:val="none" w:sz="0" w:space="0" w:color="auto"/>
                                <w:right w:val="none" w:sz="0" w:space="0" w:color="auto"/>
                              </w:divBdr>
                              <w:divsChild>
                                <w:div w:id="1287420633">
                                  <w:marLeft w:val="0"/>
                                  <w:marRight w:val="0"/>
                                  <w:marTop w:val="120"/>
                                  <w:marBottom w:val="0"/>
                                  <w:divBdr>
                                    <w:top w:val="none" w:sz="0" w:space="0" w:color="auto"/>
                                    <w:left w:val="none" w:sz="0" w:space="0" w:color="auto"/>
                                    <w:bottom w:val="none" w:sz="0" w:space="0" w:color="auto"/>
                                    <w:right w:val="none" w:sz="0" w:space="0" w:color="auto"/>
                                  </w:divBdr>
                                </w:div>
                                <w:div w:id="210121989">
                                  <w:marLeft w:val="0"/>
                                  <w:marRight w:val="0"/>
                                  <w:marTop w:val="0"/>
                                  <w:marBottom w:val="0"/>
                                  <w:divBdr>
                                    <w:top w:val="none" w:sz="0" w:space="0" w:color="auto"/>
                                    <w:left w:val="none" w:sz="0" w:space="0" w:color="auto"/>
                                    <w:bottom w:val="none" w:sz="0" w:space="0" w:color="auto"/>
                                    <w:right w:val="none" w:sz="0" w:space="0" w:color="auto"/>
                                  </w:divBdr>
                                </w:div>
                              </w:divsChild>
                            </w:div>
                            <w:div w:id="1124427376">
                              <w:marLeft w:val="0"/>
                              <w:marRight w:val="0"/>
                              <w:marTop w:val="0"/>
                              <w:marBottom w:val="0"/>
                              <w:divBdr>
                                <w:top w:val="none" w:sz="0" w:space="0" w:color="auto"/>
                                <w:left w:val="none" w:sz="0" w:space="0" w:color="auto"/>
                                <w:bottom w:val="none" w:sz="0" w:space="0" w:color="auto"/>
                                <w:right w:val="none" w:sz="0" w:space="0" w:color="auto"/>
                              </w:divBdr>
                              <w:divsChild>
                                <w:div w:id="1009989892">
                                  <w:marLeft w:val="0"/>
                                  <w:marRight w:val="0"/>
                                  <w:marTop w:val="120"/>
                                  <w:marBottom w:val="0"/>
                                  <w:divBdr>
                                    <w:top w:val="none" w:sz="0" w:space="0" w:color="auto"/>
                                    <w:left w:val="none" w:sz="0" w:space="0" w:color="auto"/>
                                    <w:bottom w:val="none" w:sz="0" w:space="0" w:color="auto"/>
                                    <w:right w:val="none" w:sz="0" w:space="0" w:color="auto"/>
                                  </w:divBdr>
                                </w:div>
                                <w:div w:id="1518228888">
                                  <w:marLeft w:val="0"/>
                                  <w:marRight w:val="0"/>
                                  <w:marTop w:val="0"/>
                                  <w:marBottom w:val="0"/>
                                  <w:divBdr>
                                    <w:top w:val="none" w:sz="0" w:space="0" w:color="auto"/>
                                    <w:left w:val="none" w:sz="0" w:space="0" w:color="auto"/>
                                    <w:bottom w:val="none" w:sz="0" w:space="0" w:color="auto"/>
                                    <w:right w:val="none" w:sz="0" w:space="0" w:color="auto"/>
                                  </w:divBdr>
                                </w:div>
                              </w:divsChild>
                            </w:div>
                            <w:div w:id="1927877627">
                              <w:marLeft w:val="0"/>
                              <w:marRight w:val="0"/>
                              <w:marTop w:val="0"/>
                              <w:marBottom w:val="0"/>
                              <w:divBdr>
                                <w:top w:val="none" w:sz="0" w:space="0" w:color="auto"/>
                                <w:left w:val="none" w:sz="0" w:space="0" w:color="auto"/>
                                <w:bottom w:val="none" w:sz="0" w:space="0" w:color="auto"/>
                                <w:right w:val="none" w:sz="0" w:space="0" w:color="auto"/>
                              </w:divBdr>
                              <w:divsChild>
                                <w:div w:id="138109047">
                                  <w:marLeft w:val="0"/>
                                  <w:marRight w:val="0"/>
                                  <w:marTop w:val="120"/>
                                  <w:marBottom w:val="0"/>
                                  <w:divBdr>
                                    <w:top w:val="none" w:sz="0" w:space="0" w:color="auto"/>
                                    <w:left w:val="none" w:sz="0" w:space="0" w:color="auto"/>
                                    <w:bottom w:val="none" w:sz="0" w:space="0" w:color="auto"/>
                                    <w:right w:val="none" w:sz="0" w:space="0" w:color="auto"/>
                                  </w:divBdr>
                                </w:div>
                                <w:div w:id="1789397613">
                                  <w:marLeft w:val="0"/>
                                  <w:marRight w:val="0"/>
                                  <w:marTop w:val="0"/>
                                  <w:marBottom w:val="0"/>
                                  <w:divBdr>
                                    <w:top w:val="none" w:sz="0" w:space="0" w:color="auto"/>
                                    <w:left w:val="none" w:sz="0" w:space="0" w:color="auto"/>
                                    <w:bottom w:val="none" w:sz="0" w:space="0" w:color="auto"/>
                                    <w:right w:val="none" w:sz="0" w:space="0" w:color="auto"/>
                                  </w:divBdr>
                                </w:div>
                              </w:divsChild>
                            </w:div>
                            <w:div w:id="1827240512">
                              <w:marLeft w:val="0"/>
                              <w:marRight w:val="0"/>
                              <w:marTop w:val="0"/>
                              <w:marBottom w:val="0"/>
                              <w:divBdr>
                                <w:top w:val="none" w:sz="0" w:space="0" w:color="auto"/>
                                <w:left w:val="none" w:sz="0" w:space="0" w:color="auto"/>
                                <w:bottom w:val="none" w:sz="0" w:space="0" w:color="auto"/>
                                <w:right w:val="none" w:sz="0" w:space="0" w:color="auto"/>
                              </w:divBdr>
                              <w:divsChild>
                                <w:div w:id="406459333">
                                  <w:marLeft w:val="0"/>
                                  <w:marRight w:val="0"/>
                                  <w:marTop w:val="120"/>
                                  <w:marBottom w:val="0"/>
                                  <w:divBdr>
                                    <w:top w:val="none" w:sz="0" w:space="0" w:color="auto"/>
                                    <w:left w:val="none" w:sz="0" w:space="0" w:color="auto"/>
                                    <w:bottom w:val="none" w:sz="0" w:space="0" w:color="auto"/>
                                    <w:right w:val="none" w:sz="0" w:space="0" w:color="auto"/>
                                  </w:divBdr>
                                </w:div>
                                <w:div w:id="188567787">
                                  <w:marLeft w:val="0"/>
                                  <w:marRight w:val="0"/>
                                  <w:marTop w:val="0"/>
                                  <w:marBottom w:val="0"/>
                                  <w:divBdr>
                                    <w:top w:val="none" w:sz="0" w:space="0" w:color="auto"/>
                                    <w:left w:val="none" w:sz="0" w:space="0" w:color="auto"/>
                                    <w:bottom w:val="none" w:sz="0" w:space="0" w:color="auto"/>
                                    <w:right w:val="none" w:sz="0" w:space="0" w:color="auto"/>
                                  </w:divBdr>
                                </w:div>
                              </w:divsChild>
                            </w:div>
                            <w:div w:id="663051028">
                              <w:marLeft w:val="0"/>
                              <w:marRight w:val="0"/>
                              <w:marTop w:val="0"/>
                              <w:marBottom w:val="0"/>
                              <w:divBdr>
                                <w:top w:val="none" w:sz="0" w:space="0" w:color="auto"/>
                                <w:left w:val="none" w:sz="0" w:space="0" w:color="auto"/>
                                <w:bottom w:val="none" w:sz="0" w:space="0" w:color="auto"/>
                                <w:right w:val="none" w:sz="0" w:space="0" w:color="auto"/>
                              </w:divBdr>
                              <w:divsChild>
                                <w:div w:id="85658295">
                                  <w:marLeft w:val="0"/>
                                  <w:marRight w:val="0"/>
                                  <w:marTop w:val="120"/>
                                  <w:marBottom w:val="0"/>
                                  <w:divBdr>
                                    <w:top w:val="none" w:sz="0" w:space="0" w:color="auto"/>
                                    <w:left w:val="none" w:sz="0" w:space="0" w:color="auto"/>
                                    <w:bottom w:val="none" w:sz="0" w:space="0" w:color="auto"/>
                                    <w:right w:val="none" w:sz="0" w:space="0" w:color="auto"/>
                                  </w:divBdr>
                                </w:div>
                                <w:div w:id="188295292">
                                  <w:marLeft w:val="0"/>
                                  <w:marRight w:val="0"/>
                                  <w:marTop w:val="0"/>
                                  <w:marBottom w:val="0"/>
                                  <w:divBdr>
                                    <w:top w:val="none" w:sz="0" w:space="0" w:color="auto"/>
                                    <w:left w:val="none" w:sz="0" w:space="0" w:color="auto"/>
                                    <w:bottom w:val="none" w:sz="0" w:space="0" w:color="auto"/>
                                    <w:right w:val="none" w:sz="0" w:space="0" w:color="auto"/>
                                  </w:divBdr>
                                </w:div>
                              </w:divsChild>
                            </w:div>
                            <w:div w:id="1347638983">
                              <w:marLeft w:val="0"/>
                              <w:marRight w:val="0"/>
                              <w:marTop w:val="0"/>
                              <w:marBottom w:val="0"/>
                              <w:divBdr>
                                <w:top w:val="none" w:sz="0" w:space="0" w:color="auto"/>
                                <w:left w:val="none" w:sz="0" w:space="0" w:color="auto"/>
                                <w:bottom w:val="none" w:sz="0" w:space="0" w:color="auto"/>
                                <w:right w:val="none" w:sz="0" w:space="0" w:color="auto"/>
                              </w:divBdr>
                              <w:divsChild>
                                <w:div w:id="609707923">
                                  <w:marLeft w:val="0"/>
                                  <w:marRight w:val="0"/>
                                  <w:marTop w:val="120"/>
                                  <w:marBottom w:val="0"/>
                                  <w:divBdr>
                                    <w:top w:val="none" w:sz="0" w:space="0" w:color="auto"/>
                                    <w:left w:val="none" w:sz="0" w:space="0" w:color="auto"/>
                                    <w:bottom w:val="none" w:sz="0" w:space="0" w:color="auto"/>
                                    <w:right w:val="none" w:sz="0" w:space="0" w:color="auto"/>
                                  </w:divBdr>
                                </w:div>
                                <w:div w:id="2546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60814">
              <w:marLeft w:val="0"/>
              <w:marRight w:val="0"/>
              <w:marTop w:val="0"/>
              <w:marBottom w:val="0"/>
              <w:divBdr>
                <w:top w:val="none" w:sz="0" w:space="0" w:color="auto"/>
                <w:left w:val="none" w:sz="0" w:space="0" w:color="auto"/>
                <w:bottom w:val="none" w:sz="0" w:space="0" w:color="auto"/>
                <w:right w:val="none" w:sz="0" w:space="0" w:color="auto"/>
              </w:divBdr>
              <w:divsChild>
                <w:div w:id="1661345098">
                  <w:marLeft w:val="0"/>
                  <w:marRight w:val="0"/>
                  <w:marTop w:val="0"/>
                  <w:marBottom w:val="0"/>
                  <w:divBdr>
                    <w:top w:val="none" w:sz="0" w:space="0" w:color="auto"/>
                    <w:left w:val="none" w:sz="0" w:space="0" w:color="auto"/>
                    <w:bottom w:val="none" w:sz="0" w:space="0" w:color="auto"/>
                    <w:right w:val="none" w:sz="0" w:space="0" w:color="auto"/>
                  </w:divBdr>
                </w:div>
              </w:divsChild>
            </w:div>
            <w:div w:id="1476336935">
              <w:marLeft w:val="0"/>
              <w:marRight w:val="0"/>
              <w:marTop w:val="0"/>
              <w:marBottom w:val="0"/>
              <w:divBdr>
                <w:top w:val="none" w:sz="0" w:space="0" w:color="auto"/>
                <w:left w:val="none" w:sz="0" w:space="0" w:color="auto"/>
                <w:bottom w:val="none" w:sz="0" w:space="0" w:color="auto"/>
                <w:right w:val="none" w:sz="0" w:space="0" w:color="auto"/>
              </w:divBdr>
              <w:divsChild>
                <w:div w:id="1080442229">
                  <w:marLeft w:val="0"/>
                  <w:marRight w:val="0"/>
                  <w:marTop w:val="0"/>
                  <w:marBottom w:val="0"/>
                  <w:divBdr>
                    <w:top w:val="none" w:sz="0" w:space="0" w:color="auto"/>
                    <w:left w:val="none" w:sz="0" w:space="0" w:color="auto"/>
                    <w:bottom w:val="none" w:sz="0" w:space="0" w:color="auto"/>
                    <w:right w:val="none" w:sz="0" w:space="0" w:color="auto"/>
                  </w:divBdr>
                </w:div>
              </w:divsChild>
            </w:div>
            <w:div w:id="878275515">
              <w:marLeft w:val="0"/>
              <w:marRight w:val="0"/>
              <w:marTop w:val="0"/>
              <w:marBottom w:val="0"/>
              <w:divBdr>
                <w:top w:val="none" w:sz="0" w:space="0" w:color="auto"/>
                <w:left w:val="none" w:sz="0" w:space="0" w:color="auto"/>
                <w:bottom w:val="none" w:sz="0" w:space="0" w:color="auto"/>
                <w:right w:val="none" w:sz="0" w:space="0" w:color="auto"/>
              </w:divBdr>
              <w:divsChild>
                <w:div w:id="2015917542">
                  <w:marLeft w:val="0"/>
                  <w:marRight w:val="0"/>
                  <w:marTop w:val="0"/>
                  <w:marBottom w:val="0"/>
                  <w:divBdr>
                    <w:top w:val="none" w:sz="0" w:space="0" w:color="auto"/>
                    <w:left w:val="none" w:sz="0" w:space="0" w:color="auto"/>
                    <w:bottom w:val="none" w:sz="0" w:space="0" w:color="auto"/>
                    <w:right w:val="none" w:sz="0" w:space="0" w:color="auto"/>
                  </w:divBdr>
                  <w:divsChild>
                    <w:div w:id="845555142">
                      <w:marLeft w:val="0"/>
                      <w:marRight w:val="0"/>
                      <w:marTop w:val="0"/>
                      <w:marBottom w:val="0"/>
                      <w:divBdr>
                        <w:top w:val="none" w:sz="0" w:space="0" w:color="auto"/>
                        <w:left w:val="none" w:sz="0" w:space="0" w:color="auto"/>
                        <w:bottom w:val="none" w:sz="0" w:space="0" w:color="auto"/>
                        <w:right w:val="none" w:sz="0" w:space="0" w:color="auto"/>
                      </w:divBdr>
                      <w:divsChild>
                        <w:div w:id="2078898894">
                          <w:marLeft w:val="0"/>
                          <w:marRight w:val="0"/>
                          <w:marTop w:val="120"/>
                          <w:marBottom w:val="0"/>
                          <w:divBdr>
                            <w:top w:val="none" w:sz="0" w:space="0" w:color="auto"/>
                            <w:left w:val="none" w:sz="0" w:space="0" w:color="auto"/>
                            <w:bottom w:val="none" w:sz="0" w:space="0" w:color="auto"/>
                            <w:right w:val="none" w:sz="0" w:space="0" w:color="auto"/>
                          </w:divBdr>
                        </w:div>
                        <w:div w:id="1634940052">
                          <w:marLeft w:val="0"/>
                          <w:marRight w:val="0"/>
                          <w:marTop w:val="0"/>
                          <w:marBottom w:val="0"/>
                          <w:divBdr>
                            <w:top w:val="none" w:sz="0" w:space="0" w:color="auto"/>
                            <w:left w:val="none" w:sz="0" w:space="0" w:color="auto"/>
                            <w:bottom w:val="none" w:sz="0" w:space="0" w:color="auto"/>
                            <w:right w:val="none" w:sz="0" w:space="0" w:color="auto"/>
                          </w:divBdr>
                        </w:div>
                      </w:divsChild>
                    </w:div>
                    <w:div w:id="2107652627">
                      <w:marLeft w:val="0"/>
                      <w:marRight w:val="0"/>
                      <w:marTop w:val="0"/>
                      <w:marBottom w:val="0"/>
                      <w:divBdr>
                        <w:top w:val="none" w:sz="0" w:space="0" w:color="auto"/>
                        <w:left w:val="none" w:sz="0" w:space="0" w:color="auto"/>
                        <w:bottom w:val="none" w:sz="0" w:space="0" w:color="auto"/>
                        <w:right w:val="none" w:sz="0" w:space="0" w:color="auto"/>
                      </w:divBdr>
                      <w:divsChild>
                        <w:div w:id="762651671">
                          <w:marLeft w:val="0"/>
                          <w:marRight w:val="0"/>
                          <w:marTop w:val="120"/>
                          <w:marBottom w:val="0"/>
                          <w:divBdr>
                            <w:top w:val="none" w:sz="0" w:space="0" w:color="auto"/>
                            <w:left w:val="none" w:sz="0" w:space="0" w:color="auto"/>
                            <w:bottom w:val="none" w:sz="0" w:space="0" w:color="auto"/>
                            <w:right w:val="none" w:sz="0" w:space="0" w:color="auto"/>
                          </w:divBdr>
                        </w:div>
                        <w:div w:id="586505162">
                          <w:marLeft w:val="0"/>
                          <w:marRight w:val="0"/>
                          <w:marTop w:val="0"/>
                          <w:marBottom w:val="0"/>
                          <w:divBdr>
                            <w:top w:val="none" w:sz="0" w:space="0" w:color="auto"/>
                            <w:left w:val="none" w:sz="0" w:space="0" w:color="auto"/>
                            <w:bottom w:val="none" w:sz="0" w:space="0" w:color="auto"/>
                            <w:right w:val="none" w:sz="0" w:space="0" w:color="auto"/>
                          </w:divBdr>
                        </w:div>
                      </w:divsChild>
                    </w:div>
                    <w:div w:id="871695887">
                      <w:marLeft w:val="0"/>
                      <w:marRight w:val="0"/>
                      <w:marTop w:val="0"/>
                      <w:marBottom w:val="0"/>
                      <w:divBdr>
                        <w:top w:val="none" w:sz="0" w:space="0" w:color="auto"/>
                        <w:left w:val="none" w:sz="0" w:space="0" w:color="auto"/>
                        <w:bottom w:val="none" w:sz="0" w:space="0" w:color="auto"/>
                        <w:right w:val="none" w:sz="0" w:space="0" w:color="auto"/>
                      </w:divBdr>
                      <w:divsChild>
                        <w:div w:id="262035670">
                          <w:marLeft w:val="0"/>
                          <w:marRight w:val="0"/>
                          <w:marTop w:val="120"/>
                          <w:marBottom w:val="0"/>
                          <w:divBdr>
                            <w:top w:val="none" w:sz="0" w:space="0" w:color="auto"/>
                            <w:left w:val="none" w:sz="0" w:space="0" w:color="auto"/>
                            <w:bottom w:val="none" w:sz="0" w:space="0" w:color="auto"/>
                            <w:right w:val="none" w:sz="0" w:space="0" w:color="auto"/>
                          </w:divBdr>
                        </w:div>
                        <w:div w:id="10537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410826">
      <w:bodyDiv w:val="1"/>
      <w:marLeft w:val="0"/>
      <w:marRight w:val="0"/>
      <w:marTop w:val="0"/>
      <w:marBottom w:val="0"/>
      <w:divBdr>
        <w:top w:val="none" w:sz="0" w:space="0" w:color="auto"/>
        <w:left w:val="none" w:sz="0" w:space="0" w:color="auto"/>
        <w:bottom w:val="none" w:sz="0" w:space="0" w:color="auto"/>
        <w:right w:val="none" w:sz="0" w:space="0" w:color="auto"/>
      </w:divBdr>
    </w:div>
    <w:div w:id="1201474254">
      <w:bodyDiv w:val="1"/>
      <w:marLeft w:val="0"/>
      <w:marRight w:val="0"/>
      <w:marTop w:val="0"/>
      <w:marBottom w:val="0"/>
      <w:divBdr>
        <w:top w:val="none" w:sz="0" w:space="0" w:color="auto"/>
        <w:left w:val="none" w:sz="0" w:space="0" w:color="auto"/>
        <w:bottom w:val="none" w:sz="0" w:space="0" w:color="auto"/>
        <w:right w:val="none" w:sz="0" w:space="0" w:color="auto"/>
      </w:divBdr>
    </w:div>
    <w:div w:id="1204710785">
      <w:bodyDiv w:val="1"/>
      <w:marLeft w:val="0"/>
      <w:marRight w:val="0"/>
      <w:marTop w:val="0"/>
      <w:marBottom w:val="0"/>
      <w:divBdr>
        <w:top w:val="none" w:sz="0" w:space="0" w:color="auto"/>
        <w:left w:val="none" w:sz="0" w:space="0" w:color="auto"/>
        <w:bottom w:val="none" w:sz="0" w:space="0" w:color="auto"/>
        <w:right w:val="none" w:sz="0" w:space="0" w:color="auto"/>
      </w:divBdr>
      <w:divsChild>
        <w:div w:id="2112626992">
          <w:marLeft w:val="0"/>
          <w:marRight w:val="0"/>
          <w:marTop w:val="0"/>
          <w:marBottom w:val="0"/>
          <w:divBdr>
            <w:top w:val="none" w:sz="0" w:space="0" w:color="auto"/>
            <w:left w:val="none" w:sz="0" w:space="0" w:color="auto"/>
            <w:bottom w:val="none" w:sz="0" w:space="0" w:color="auto"/>
            <w:right w:val="none" w:sz="0" w:space="0" w:color="auto"/>
          </w:divBdr>
          <w:divsChild>
            <w:div w:id="302275747">
              <w:marLeft w:val="0"/>
              <w:marRight w:val="0"/>
              <w:marTop w:val="0"/>
              <w:marBottom w:val="0"/>
              <w:divBdr>
                <w:top w:val="none" w:sz="0" w:space="0" w:color="auto"/>
                <w:left w:val="none" w:sz="0" w:space="0" w:color="auto"/>
                <w:bottom w:val="none" w:sz="0" w:space="0" w:color="auto"/>
                <w:right w:val="none" w:sz="0" w:space="0" w:color="auto"/>
              </w:divBdr>
              <w:divsChild>
                <w:div w:id="273445861">
                  <w:marLeft w:val="0"/>
                  <w:marRight w:val="0"/>
                  <w:marTop w:val="120"/>
                  <w:marBottom w:val="0"/>
                  <w:divBdr>
                    <w:top w:val="none" w:sz="0" w:space="0" w:color="auto"/>
                    <w:left w:val="none" w:sz="0" w:space="0" w:color="auto"/>
                    <w:bottom w:val="none" w:sz="0" w:space="0" w:color="auto"/>
                    <w:right w:val="none" w:sz="0" w:space="0" w:color="auto"/>
                  </w:divBdr>
                </w:div>
                <w:div w:id="1320620020">
                  <w:marLeft w:val="0"/>
                  <w:marRight w:val="0"/>
                  <w:marTop w:val="0"/>
                  <w:marBottom w:val="0"/>
                  <w:divBdr>
                    <w:top w:val="none" w:sz="0" w:space="0" w:color="auto"/>
                    <w:left w:val="none" w:sz="0" w:space="0" w:color="auto"/>
                    <w:bottom w:val="none" w:sz="0" w:space="0" w:color="auto"/>
                    <w:right w:val="none" w:sz="0" w:space="0" w:color="auto"/>
                  </w:divBdr>
                </w:div>
              </w:divsChild>
            </w:div>
            <w:div w:id="980577074">
              <w:marLeft w:val="0"/>
              <w:marRight w:val="0"/>
              <w:marTop w:val="0"/>
              <w:marBottom w:val="0"/>
              <w:divBdr>
                <w:top w:val="none" w:sz="0" w:space="0" w:color="auto"/>
                <w:left w:val="none" w:sz="0" w:space="0" w:color="auto"/>
                <w:bottom w:val="none" w:sz="0" w:space="0" w:color="auto"/>
                <w:right w:val="none" w:sz="0" w:space="0" w:color="auto"/>
              </w:divBdr>
              <w:divsChild>
                <w:div w:id="484931600">
                  <w:marLeft w:val="0"/>
                  <w:marRight w:val="0"/>
                  <w:marTop w:val="0"/>
                  <w:marBottom w:val="0"/>
                  <w:divBdr>
                    <w:top w:val="none" w:sz="0" w:space="0" w:color="auto"/>
                    <w:left w:val="none" w:sz="0" w:space="0" w:color="auto"/>
                    <w:bottom w:val="none" w:sz="0" w:space="0" w:color="auto"/>
                    <w:right w:val="none" w:sz="0" w:space="0" w:color="auto"/>
                  </w:divBdr>
                </w:div>
                <w:div w:id="1915775411">
                  <w:marLeft w:val="0"/>
                  <w:marRight w:val="0"/>
                  <w:marTop w:val="120"/>
                  <w:marBottom w:val="0"/>
                  <w:divBdr>
                    <w:top w:val="none" w:sz="0" w:space="0" w:color="auto"/>
                    <w:left w:val="none" w:sz="0" w:space="0" w:color="auto"/>
                    <w:bottom w:val="none" w:sz="0" w:space="0" w:color="auto"/>
                    <w:right w:val="none" w:sz="0" w:space="0" w:color="auto"/>
                  </w:divBdr>
                </w:div>
              </w:divsChild>
            </w:div>
            <w:div w:id="2044283839">
              <w:marLeft w:val="0"/>
              <w:marRight w:val="0"/>
              <w:marTop w:val="0"/>
              <w:marBottom w:val="0"/>
              <w:divBdr>
                <w:top w:val="none" w:sz="0" w:space="0" w:color="auto"/>
                <w:left w:val="none" w:sz="0" w:space="0" w:color="auto"/>
                <w:bottom w:val="none" w:sz="0" w:space="0" w:color="auto"/>
                <w:right w:val="none" w:sz="0" w:space="0" w:color="auto"/>
              </w:divBdr>
              <w:divsChild>
                <w:div w:id="116460248">
                  <w:marLeft w:val="0"/>
                  <w:marRight w:val="0"/>
                  <w:marTop w:val="120"/>
                  <w:marBottom w:val="0"/>
                  <w:divBdr>
                    <w:top w:val="none" w:sz="0" w:space="0" w:color="auto"/>
                    <w:left w:val="none" w:sz="0" w:space="0" w:color="auto"/>
                    <w:bottom w:val="none" w:sz="0" w:space="0" w:color="auto"/>
                    <w:right w:val="none" w:sz="0" w:space="0" w:color="auto"/>
                  </w:divBdr>
                </w:div>
                <w:div w:id="20452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29226">
      <w:bodyDiv w:val="1"/>
      <w:marLeft w:val="0"/>
      <w:marRight w:val="0"/>
      <w:marTop w:val="0"/>
      <w:marBottom w:val="0"/>
      <w:divBdr>
        <w:top w:val="none" w:sz="0" w:space="0" w:color="auto"/>
        <w:left w:val="none" w:sz="0" w:space="0" w:color="auto"/>
        <w:bottom w:val="none" w:sz="0" w:space="0" w:color="auto"/>
        <w:right w:val="none" w:sz="0" w:space="0" w:color="auto"/>
      </w:divBdr>
      <w:divsChild>
        <w:div w:id="880441047">
          <w:marLeft w:val="0"/>
          <w:marRight w:val="0"/>
          <w:marTop w:val="0"/>
          <w:marBottom w:val="0"/>
          <w:divBdr>
            <w:top w:val="none" w:sz="0" w:space="0" w:color="auto"/>
            <w:left w:val="none" w:sz="0" w:space="0" w:color="auto"/>
            <w:bottom w:val="none" w:sz="0" w:space="0" w:color="auto"/>
            <w:right w:val="none" w:sz="0" w:space="0" w:color="auto"/>
          </w:divBdr>
        </w:div>
      </w:divsChild>
    </w:div>
    <w:div w:id="1220550777">
      <w:bodyDiv w:val="1"/>
      <w:marLeft w:val="0"/>
      <w:marRight w:val="0"/>
      <w:marTop w:val="0"/>
      <w:marBottom w:val="0"/>
      <w:divBdr>
        <w:top w:val="none" w:sz="0" w:space="0" w:color="auto"/>
        <w:left w:val="none" w:sz="0" w:space="0" w:color="auto"/>
        <w:bottom w:val="none" w:sz="0" w:space="0" w:color="auto"/>
        <w:right w:val="none" w:sz="0" w:space="0" w:color="auto"/>
      </w:divBdr>
    </w:div>
    <w:div w:id="1221794054">
      <w:bodyDiv w:val="1"/>
      <w:marLeft w:val="0"/>
      <w:marRight w:val="0"/>
      <w:marTop w:val="0"/>
      <w:marBottom w:val="0"/>
      <w:divBdr>
        <w:top w:val="none" w:sz="0" w:space="0" w:color="auto"/>
        <w:left w:val="none" w:sz="0" w:space="0" w:color="auto"/>
        <w:bottom w:val="none" w:sz="0" w:space="0" w:color="auto"/>
        <w:right w:val="none" w:sz="0" w:space="0" w:color="auto"/>
      </w:divBdr>
    </w:div>
    <w:div w:id="1222601177">
      <w:bodyDiv w:val="1"/>
      <w:marLeft w:val="0"/>
      <w:marRight w:val="0"/>
      <w:marTop w:val="0"/>
      <w:marBottom w:val="0"/>
      <w:divBdr>
        <w:top w:val="none" w:sz="0" w:space="0" w:color="auto"/>
        <w:left w:val="none" w:sz="0" w:space="0" w:color="auto"/>
        <w:bottom w:val="none" w:sz="0" w:space="0" w:color="auto"/>
        <w:right w:val="none" w:sz="0" w:space="0" w:color="auto"/>
      </w:divBdr>
      <w:divsChild>
        <w:div w:id="771781398">
          <w:marLeft w:val="0"/>
          <w:marRight w:val="0"/>
          <w:marTop w:val="0"/>
          <w:marBottom w:val="0"/>
          <w:divBdr>
            <w:top w:val="none" w:sz="0" w:space="0" w:color="auto"/>
            <w:left w:val="none" w:sz="0" w:space="0" w:color="auto"/>
            <w:bottom w:val="none" w:sz="0" w:space="0" w:color="auto"/>
            <w:right w:val="none" w:sz="0" w:space="0" w:color="auto"/>
          </w:divBdr>
          <w:divsChild>
            <w:div w:id="1357001699">
              <w:marLeft w:val="0"/>
              <w:marRight w:val="0"/>
              <w:marTop w:val="0"/>
              <w:marBottom w:val="0"/>
              <w:divBdr>
                <w:top w:val="none" w:sz="0" w:space="0" w:color="auto"/>
                <w:left w:val="none" w:sz="0" w:space="0" w:color="auto"/>
                <w:bottom w:val="none" w:sz="0" w:space="0" w:color="auto"/>
                <w:right w:val="none" w:sz="0" w:space="0" w:color="auto"/>
              </w:divBdr>
              <w:divsChild>
                <w:div w:id="891112532">
                  <w:marLeft w:val="0"/>
                  <w:marRight w:val="0"/>
                  <w:marTop w:val="0"/>
                  <w:marBottom w:val="0"/>
                  <w:divBdr>
                    <w:top w:val="none" w:sz="0" w:space="0" w:color="auto"/>
                    <w:left w:val="none" w:sz="0" w:space="0" w:color="auto"/>
                    <w:bottom w:val="none" w:sz="0" w:space="0" w:color="auto"/>
                    <w:right w:val="none" w:sz="0" w:space="0" w:color="auto"/>
                  </w:divBdr>
                  <w:divsChild>
                    <w:div w:id="963004906">
                      <w:marLeft w:val="0"/>
                      <w:marRight w:val="0"/>
                      <w:marTop w:val="0"/>
                      <w:marBottom w:val="0"/>
                      <w:divBdr>
                        <w:top w:val="none" w:sz="0" w:space="0" w:color="auto"/>
                        <w:left w:val="none" w:sz="0" w:space="0" w:color="auto"/>
                        <w:bottom w:val="none" w:sz="0" w:space="0" w:color="auto"/>
                        <w:right w:val="none" w:sz="0" w:space="0" w:color="auto"/>
                      </w:divBdr>
                    </w:div>
                    <w:div w:id="1697846445">
                      <w:marLeft w:val="0"/>
                      <w:marRight w:val="0"/>
                      <w:marTop w:val="120"/>
                      <w:marBottom w:val="0"/>
                      <w:divBdr>
                        <w:top w:val="none" w:sz="0" w:space="0" w:color="auto"/>
                        <w:left w:val="none" w:sz="0" w:space="0" w:color="auto"/>
                        <w:bottom w:val="none" w:sz="0" w:space="0" w:color="auto"/>
                        <w:right w:val="none" w:sz="0" w:space="0" w:color="auto"/>
                      </w:divBdr>
                    </w:div>
                  </w:divsChild>
                </w:div>
                <w:div w:id="1528520086">
                  <w:marLeft w:val="0"/>
                  <w:marRight w:val="0"/>
                  <w:marTop w:val="0"/>
                  <w:marBottom w:val="0"/>
                  <w:divBdr>
                    <w:top w:val="none" w:sz="0" w:space="0" w:color="auto"/>
                    <w:left w:val="none" w:sz="0" w:space="0" w:color="auto"/>
                    <w:bottom w:val="none" w:sz="0" w:space="0" w:color="auto"/>
                    <w:right w:val="none" w:sz="0" w:space="0" w:color="auto"/>
                  </w:divBdr>
                  <w:divsChild>
                    <w:div w:id="754089087">
                      <w:marLeft w:val="0"/>
                      <w:marRight w:val="0"/>
                      <w:marTop w:val="120"/>
                      <w:marBottom w:val="0"/>
                      <w:divBdr>
                        <w:top w:val="none" w:sz="0" w:space="0" w:color="auto"/>
                        <w:left w:val="none" w:sz="0" w:space="0" w:color="auto"/>
                        <w:bottom w:val="none" w:sz="0" w:space="0" w:color="auto"/>
                        <w:right w:val="none" w:sz="0" w:space="0" w:color="auto"/>
                      </w:divBdr>
                    </w:div>
                    <w:div w:id="10256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33682">
          <w:marLeft w:val="0"/>
          <w:marRight w:val="0"/>
          <w:marTop w:val="0"/>
          <w:marBottom w:val="0"/>
          <w:divBdr>
            <w:top w:val="none" w:sz="0" w:space="0" w:color="auto"/>
            <w:left w:val="none" w:sz="0" w:space="0" w:color="auto"/>
            <w:bottom w:val="none" w:sz="0" w:space="0" w:color="auto"/>
            <w:right w:val="none" w:sz="0" w:space="0" w:color="auto"/>
          </w:divBdr>
          <w:divsChild>
            <w:div w:id="905608579">
              <w:marLeft w:val="0"/>
              <w:marRight w:val="0"/>
              <w:marTop w:val="0"/>
              <w:marBottom w:val="0"/>
              <w:divBdr>
                <w:top w:val="none" w:sz="0" w:space="0" w:color="auto"/>
                <w:left w:val="none" w:sz="0" w:space="0" w:color="auto"/>
                <w:bottom w:val="none" w:sz="0" w:space="0" w:color="auto"/>
                <w:right w:val="none" w:sz="0" w:space="0" w:color="auto"/>
              </w:divBdr>
              <w:divsChild>
                <w:div w:id="1492331868">
                  <w:marLeft w:val="0"/>
                  <w:marRight w:val="0"/>
                  <w:marTop w:val="0"/>
                  <w:marBottom w:val="0"/>
                  <w:divBdr>
                    <w:top w:val="none" w:sz="0" w:space="0" w:color="auto"/>
                    <w:left w:val="none" w:sz="0" w:space="0" w:color="auto"/>
                    <w:bottom w:val="none" w:sz="0" w:space="0" w:color="auto"/>
                    <w:right w:val="none" w:sz="0" w:space="0" w:color="auto"/>
                  </w:divBdr>
                  <w:divsChild>
                    <w:div w:id="14422911">
                      <w:marLeft w:val="0"/>
                      <w:marRight w:val="0"/>
                      <w:marTop w:val="120"/>
                      <w:marBottom w:val="0"/>
                      <w:divBdr>
                        <w:top w:val="none" w:sz="0" w:space="0" w:color="auto"/>
                        <w:left w:val="none" w:sz="0" w:space="0" w:color="auto"/>
                        <w:bottom w:val="none" w:sz="0" w:space="0" w:color="auto"/>
                        <w:right w:val="none" w:sz="0" w:space="0" w:color="auto"/>
                      </w:divBdr>
                    </w:div>
                    <w:div w:id="1989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90314">
          <w:marLeft w:val="0"/>
          <w:marRight w:val="0"/>
          <w:marTop w:val="0"/>
          <w:marBottom w:val="0"/>
          <w:divBdr>
            <w:top w:val="none" w:sz="0" w:space="0" w:color="auto"/>
            <w:left w:val="none" w:sz="0" w:space="0" w:color="auto"/>
            <w:bottom w:val="none" w:sz="0" w:space="0" w:color="auto"/>
            <w:right w:val="none" w:sz="0" w:space="0" w:color="auto"/>
          </w:divBdr>
          <w:divsChild>
            <w:div w:id="7844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95181">
      <w:bodyDiv w:val="1"/>
      <w:marLeft w:val="0"/>
      <w:marRight w:val="0"/>
      <w:marTop w:val="0"/>
      <w:marBottom w:val="0"/>
      <w:divBdr>
        <w:top w:val="none" w:sz="0" w:space="0" w:color="auto"/>
        <w:left w:val="none" w:sz="0" w:space="0" w:color="auto"/>
        <w:bottom w:val="none" w:sz="0" w:space="0" w:color="auto"/>
        <w:right w:val="none" w:sz="0" w:space="0" w:color="auto"/>
      </w:divBdr>
    </w:div>
    <w:div w:id="1231380848">
      <w:bodyDiv w:val="1"/>
      <w:marLeft w:val="0"/>
      <w:marRight w:val="0"/>
      <w:marTop w:val="0"/>
      <w:marBottom w:val="0"/>
      <w:divBdr>
        <w:top w:val="none" w:sz="0" w:space="0" w:color="auto"/>
        <w:left w:val="none" w:sz="0" w:space="0" w:color="auto"/>
        <w:bottom w:val="none" w:sz="0" w:space="0" w:color="auto"/>
        <w:right w:val="none" w:sz="0" w:space="0" w:color="auto"/>
      </w:divBdr>
      <w:divsChild>
        <w:div w:id="42170968">
          <w:marLeft w:val="0"/>
          <w:marRight w:val="0"/>
          <w:marTop w:val="0"/>
          <w:marBottom w:val="0"/>
          <w:divBdr>
            <w:top w:val="none" w:sz="0" w:space="0" w:color="auto"/>
            <w:left w:val="none" w:sz="0" w:space="0" w:color="auto"/>
            <w:bottom w:val="none" w:sz="0" w:space="0" w:color="auto"/>
            <w:right w:val="none" w:sz="0" w:space="0" w:color="auto"/>
          </w:divBdr>
          <w:divsChild>
            <w:div w:id="407313854">
              <w:marLeft w:val="0"/>
              <w:marRight w:val="0"/>
              <w:marTop w:val="0"/>
              <w:marBottom w:val="0"/>
              <w:divBdr>
                <w:top w:val="none" w:sz="0" w:space="0" w:color="auto"/>
                <w:left w:val="none" w:sz="0" w:space="0" w:color="auto"/>
                <w:bottom w:val="none" w:sz="0" w:space="0" w:color="auto"/>
                <w:right w:val="none" w:sz="0" w:space="0" w:color="auto"/>
              </w:divBdr>
              <w:divsChild>
                <w:div w:id="72169659">
                  <w:marLeft w:val="0"/>
                  <w:marRight w:val="0"/>
                  <w:marTop w:val="0"/>
                  <w:marBottom w:val="0"/>
                  <w:divBdr>
                    <w:top w:val="none" w:sz="0" w:space="0" w:color="auto"/>
                    <w:left w:val="none" w:sz="0" w:space="0" w:color="auto"/>
                    <w:bottom w:val="none" w:sz="0" w:space="0" w:color="auto"/>
                    <w:right w:val="none" w:sz="0" w:space="0" w:color="auto"/>
                  </w:divBdr>
                  <w:divsChild>
                    <w:div w:id="593712801">
                      <w:marLeft w:val="0"/>
                      <w:marRight w:val="0"/>
                      <w:marTop w:val="0"/>
                      <w:marBottom w:val="0"/>
                      <w:divBdr>
                        <w:top w:val="none" w:sz="0" w:space="0" w:color="auto"/>
                        <w:left w:val="none" w:sz="0" w:space="0" w:color="auto"/>
                        <w:bottom w:val="none" w:sz="0" w:space="0" w:color="auto"/>
                        <w:right w:val="none" w:sz="0" w:space="0" w:color="auto"/>
                      </w:divBdr>
                    </w:div>
                    <w:div w:id="996374240">
                      <w:marLeft w:val="0"/>
                      <w:marRight w:val="0"/>
                      <w:marTop w:val="120"/>
                      <w:marBottom w:val="0"/>
                      <w:divBdr>
                        <w:top w:val="none" w:sz="0" w:space="0" w:color="auto"/>
                        <w:left w:val="none" w:sz="0" w:space="0" w:color="auto"/>
                        <w:bottom w:val="none" w:sz="0" w:space="0" w:color="auto"/>
                        <w:right w:val="none" w:sz="0" w:space="0" w:color="auto"/>
                      </w:divBdr>
                    </w:div>
                  </w:divsChild>
                </w:div>
                <w:div w:id="1372607271">
                  <w:marLeft w:val="0"/>
                  <w:marRight w:val="0"/>
                  <w:marTop w:val="0"/>
                  <w:marBottom w:val="0"/>
                  <w:divBdr>
                    <w:top w:val="none" w:sz="0" w:space="0" w:color="auto"/>
                    <w:left w:val="none" w:sz="0" w:space="0" w:color="auto"/>
                    <w:bottom w:val="none" w:sz="0" w:space="0" w:color="auto"/>
                    <w:right w:val="none" w:sz="0" w:space="0" w:color="auto"/>
                  </w:divBdr>
                  <w:divsChild>
                    <w:div w:id="42028099">
                      <w:marLeft w:val="0"/>
                      <w:marRight w:val="0"/>
                      <w:marTop w:val="0"/>
                      <w:marBottom w:val="0"/>
                      <w:divBdr>
                        <w:top w:val="none" w:sz="0" w:space="0" w:color="auto"/>
                        <w:left w:val="none" w:sz="0" w:space="0" w:color="auto"/>
                        <w:bottom w:val="none" w:sz="0" w:space="0" w:color="auto"/>
                        <w:right w:val="none" w:sz="0" w:space="0" w:color="auto"/>
                      </w:divBdr>
                    </w:div>
                    <w:div w:id="18329824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3757082">
              <w:marLeft w:val="0"/>
              <w:marRight w:val="0"/>
              <w:marTop w:val="120"/>
              <w:marBottom w:val="0"/>
              <w:divBdr>
                <w:top w:val="none" w:sz="0" w:space="0" w:color="auto"/>
                <w:left w:val="none" w:sz="0" w:space="0" w:color="auto"/>
                <w:bottom w:val="none" w:sz="0" w:space="0" w:color="auto"/>
                <w:right w:val="none" w:sz="0" w:space="0" w:color="auto"/>
              </w:divBdr>
            </w:div>
          </w:divsChild>
        </w:div>
        <w:div w:id="55469789">
          <w:marLeft w:val="0"/>
          <w:marRight w:val="0"/>
          <w:marTop w:val="0"/>
          <w:marBottom w:val="0"/>
          <w:divBdr>
            <w:top w:val="none" w:sz="0" w:space="0" w:color="auto"/>
            <w:left w:val="none" w:sz="0" w:space="0" w:color="auto"/>
            <w:bottom w:val="none" w:sz="0" w:space="0" w:color="auto"/>
            <w:right w:val="none" w:sz="0" w:space="0" w:color="auto"/>
          </w:divBdr>
          <w:divsChild>
            <w:div w:id="1293711354">
              <w:marLeft w:val="0"/>
              <w:marRight w:val="0"/>
              <w:marTop w:val="120"/>
              <w:marBottom w:val="0"/>
              <w:divBdr>
                <w:top w:val="none" w:sz="0" w:space="0" w:color="auto"/>
                <w:left w:val="none" w:sz="0" w:space="0" w:color="auto"/>
                <w:bottom w:val="none" w:sz="0" w:space="0" w:color="auto"/>
                <w:right w:val="none" w:sz="0" w:space="0" w:color="auto"/>
              </w:divBdr>
            </w:div>
            <w:div w:id="1311322095">
              <w:marLeft w:val="0"/>
              <w:marRight w:val="0"/>
              <w:marTop w:val="0"/>
              <w:marBottom w:val="0"/>
              <w:divBdr>
                <w:top w:val="none" w:sz="0" w:space="0" w:color="auto"/>
                <w:left w:val="none" w:sz="0" w:space="0" w:color="auto"/>
                <w:bottom w:val="none" w:sz="0" w:space="0" w:color="auto"/>
                <w:right w:val="none" w:sz="0" w:space="0" w:color="auto"/>
              </w:divBdr>
            </w:div>
          </w:divsChild>
        </w:div>
        <w:div w:id="674577911">
          <w:marLeft w:val="0"/>
          <w:marRight w:val="0"/>
          <w:marTop w:val="0"/>
          <w:marBottom w:val="0"/>
          <w:divBdr>
            <w:top w:val="none" w:sz="0" w:space="0" w:color="auto"/>
            <w:left w:val="none" w:sz="0" w:space="0" w:color="auto"/>
            <w:bottom w:val="none" w:sz="0" w:space="0" w:color="auto"/>
            <w:right w:val="none" w:sz="0" w:space="0" w:color="auto"/>
          </w:divBdr>
          <w:divsChild>
            <w:div w:id="452947056">
              <w:marLeft w:val="0"/>
              <w:marRight w:val="0"/>
              <w:marTop w:val="120"/>
              <w:marBottom w:val="0"/>
              <w:divBdr>
                <w:top w:val="none" w:sz="0" w:space="0" w:color="auto"/>
                <w:left w:val="none" w:sz="0" w:space="0" w:color="auto"/>
                <w:bottom w:val="none" w:sz="0" w:space="0" w:color="auto"/>
                <w:right w:val="none" w:sz="0" w:space="0" w:color="auto"/>
              </w:divBdr>
            </w:div>
            <w:div w:id="880360627">
              <w:marLeft w:val="0"/>
              <w:marRight w:val="0"/>
              <w:marTop w:val="0"/>
              <w:marBottom w:val="0"/>
              <w:divBdr>
                <w:top w:val="none" w:sz="0" w:space="0" w:color="auto"/>
                <w:left w:val="none" w:sz="0" w:space="0" w:color="auto"/>
                <w:bottom w:val="none" w:sz="0" w:space="0" w:color="auto"/>
                <w:right w:val="none" w:sz="0" w:space="0" w:color="auto"/>
              </w:divBdr>
            </w:div>
          </w:divsChild>
        </w:div>
        <w:div w:id="846098482">
          <w:marLeft w:val="0"/>
          <w:marRight w:val="0"/>
          <w:marTop w:val="0"/>
          <w:marBottom w:val="0"/>
          <w:divBdr>
            <w:top w:val="none" w:sz="0" w:space="0" w:color="auto"/>
            <w:left w:val="none" w:sz="0" w:space="0" w:color="auto"/>
            <w:bottom w:val="none" w:sz="0" w:space="0" w:color="auto"/>
            <w:right w:val="none" w:sz="0" w:space="0" w:color="auto"/>
          </w:divBdr>
          <w:divsChild>
            <w:div w:id="747532454">
              <w:marLeft w:val="0"/>
              <w:marRight w:val="0"/>
              <w:marTop w:val="0"/>
              <w:marBottom w:val="0"/>
              <w:divBdr>
                <w:top w:val="none" w:sz="0" w:space="0" w:color="auto"/>
                <w:left w:val="none" w:sz="0" w:space="0" w:color="auto"/>
                <w:bottom w:val="none" w:sz="0" w:space="0" w:color="auto"/>
                <w:right w:val="none" w:sz="0" w:space="0" w:color="auto"/>
              </w:divBdr>
            </w:div>
            <w:div w:id="866139358">
              <w:marLeft w:val="0"/>
              <w:marRight w:val="0"/>
              <w:marTop w:val="120"/>
              <w:marBottom w:val="0"/>
              <w:divBdr>
                <w:top w:val="none" w:sz="0" w:space="0" w:color="auto"/>
                <w:left w:val="none" w:sz="0" w:space="0" w:color="auto"/>
                <w:bottom w:val="none" w:sz="0" w:space="0" w:color="auto"/>
                <w:right w:val="none" w:sz="0" w:space="0" w:color="auto"/>
              </w:divBdr>
            </w:div>
          </w:divsChild>
        </w:div>
        <w:div w:id="851647648">
          <w:marLeft w:val="0"/>
          <w:marRight w:val="0"/>
          <w:marTop w:val="0"/>
          <w:marBottom w:val="0"/>
          <w:divBdr>
            <w:top w:val="none" w:sz="0" w:space="0" w:color="auto"/>
            <w:left w:val="none" w:sz="0" w:space="0" w:color="auto"/>
            <w:bottom w:val="none" w:sz="0" w:space="0" w:color="auto"/>
            <w:right w:val="none" w:sz="0" w:space="0" w:color="auto"/>
          </w:divBdr>
          <w:divsChild>
            <w:div w:id="1624188882">
              <w:marLeft w:val="0"/>
              <w:marRight w:val="0"/>
              <w:marTop w:val="0"/>
              <w:marBottom w:val="0"/>
              <w:divBdr>
                <w:top w:val="none" w:sz="0" w:space="0" w:color="auto"/>
                <w:left w:val="none" w:sz="0" w:space="0" w:color="auto"/>
                <w:bottom w:val="none" w:sz="0" w:space="0" w:color="auto"/>
                <w:right w:val="none" w:sz="0" w:space="0" w:color="auto"/>
              </w:divBdr>
            </w:div>
            <w:div w:id="1652059113">
              <w:marLeft w:val="0"/>
              <w:marRight w:val="0"/>
              <w:marTop w:val="120"/>
              <w:marBottom w:val="0"/>
              <w:divBdr>
                <w:top w:val="none" w:sz="0" w:space="0" w:color="auto"/>
                <w:left w:val="none" w:sz="0" w:space="0" w:color="auto"/>
                <w:bottom w:val="none" w:sz="0" w:space="0" w:color="auto"/>
                <w:right w:val="none" w:sz="0" w:space="0" w:color="auto"/>
              </w:divBdr>
            </w:div>
          </w:divsChild>
        </w:div>
        <w:div w:id="1198588962">
          <w:marLeft w:val="0"/>
          <w:marRight w:val="0"/>
          <w:marTop w:val="0"/>
          <w:marBottom w:val="0"/>
          <w:divBdr>
            <w:top w:val="none" w:sz="0" w:space="0" w:color="auto"/>
            <w:left w:val="none" w:sz="0" w:space="0" w:color="auto"/>
            <w:bottom w:val="none" w:sz="0" w:space="0" w:color="auto"/>
            <w:right w:val="none" w:sz="0" w:space="0" w:color="auto"/>
          </w:divBdr>
          <w:divsChild>
            <w:div w:id="886716967">
              <w:marLeft w:val="0"/>
              <w:marRight w:val="0"/>
              <w:marTop w:val="120"/>
              <w:marBottom w:val="0"/>
              <w:divBdr>
                <w:top w:val="none" w:sz="0" w:space="0" w:color="auto"/>
                <w:left w:val="none" w:sz="0" w:space="0" w:color="auto"/>
                <w:bottom w:val="none" w:sz="0" w:space="0" w:color="auto"/>
                <w:right w:val="none" w:sz="0" w:space="0" w:color="auto"/>
              </w:divBdr>
            </w:div>
            <w:div w:id="938753167">
              <w:marLeft w:val="0"/>
              <w:marRight w:val="0"/>
              <w:marTop w:val="0"/>
              <w:marBottom w:val="0"/>
              <w:divBdr>
                <w:top w:val="none" w:sz="0" w:space="0" w:color="auto"/>
                <w:left w:val="none" w:sz="0" w:space="0" w:color="auto"/>
                <w:bottom w:val="none" w:sz="0" w:space="0" w:color="auto"/>
                <w:right w:val="none" w:sz="0" w:space="0" w:color="auto"/>
              </w:divBdr>
              <w:divsChild>
                <w:div w:id="1648050485">
                  <w:marLeft w:val="0"/>
                  <w:marRight w:val="0"/>
                  <w:marTop w:val="0"/>
                  <w:marBottom w:val="0"/>
                  <w:divBdr>
                    <w:top w:val="none" w:sz="0" w:space="0" w:color="auto"/>
                    <w:left w:val="none" w:sz="0" w:space="0" w:color="auto"/>
                    <w:bottom w:val="none" w:sz="0" w:space="0" w:color="auto"/>
                    <w:right w:val="none" w:sz="0" w:space="0" w:color="auto"/>
                  </w:divBdr>
                  <w:divsChild>
                    <w:div w:id="877663519">
                      <w:marLeft w:val="0"/>
                      <w:marRight w:val="0"/>
                      <w:marTop w:val="0"/>
                      <w:marBottom w:val="0"/>
                      <w:divBdr>
                        <w:top w:val="none" w:sz="0" w:space="0" w:color="auto"/>
                        <w:left w:val="none" w:sz="0" w:space="0" w:color="auto"/>
                        <w:bottom w:val="none" w:sz="0" w:space="0" w:color="auto"/>
                        <w:right w:val="none" w:sz="0" w:space="0" w:color="auto"/>
                      </w:divBdr>
                    </w:div>
                    <w:div w:id="1346789354">
                      <w:marLeft w:val="0"/>
                      <w:marRight w:val="0"/>
                      <w:marTop w:val="120"/>
                      <w:marBottom w:val="0"/>
                      <w:divBdr>
                        <w:top w:val="none" w:sz="0" w:space="0" w:color="auto"/>
                        <w:left w:val="none" w:sz="0" w:space="0" w:color="auto"/>
                        <w:bottom w:val="none" w:sz="0" w:space="0" w:color="auto"/>
                        <w:right w:val="none" w:sz="0" w:space="0" w:color="auto"/>
                      </w:divBdr>
                    </w:div>
                  </w:divsChild>
                </w:div>
                <w:div w:id="1844777587">
                  <w:marLeft w:val="0"/>
                  <w:marRight w:val="0"/>
                  <w:marTop w:val="0"/>
                  <w:marBottom w:val="0"/>
                  <w:divBdr>
                    <w:top w:val="none" w:sz="0" w:space="0" w:color="auto"/>
                    <w:left w:val="none" w:sz="0" w:space="0" w:color="auto"/>
                    <w:bottom w:val="none" w:sz="0" w:space="0" w:color="auto"/>
                    <w:right w:val="none" w:sz="0" w:space="0" w:color="auto"/>
                  </w:divBdr>
                  <w:divsChild>
                    <w:div w:id="478377965">
                      <w:marLeft w:val="0"/>
                      <w:marRight w:val="0"/>
                      <w:marTop w:val="0"/>
                      <w:marBottom w:val="0"/>
                      <w:divBdr>
                        <w:top w:val="none" w:sz="0" w:space="0" w:color="auto"/>
                        <w:left w:val="none" w:sz="0" w:space="0" w:color="auto"/>
                        <w:bottom w:val="none" w:sz="0" w:space="0" w:color="auto"/>
                        <w:right w:val="none" w:sz="0" w:space="0" w:color="auto"/>
                      </w:divBdr>
                    </w:div>
                    <w:div w:id="20594268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52196815">
          <w:marLeft w:val="0"/>
          <w:marRight w:val="0"/>
          <w:marTop w:val="0"/>
          <w:marBottom w:val="0"/>
          <w:divBdr>
            <w:top w:val="none" w:sz="0" w:space="0" w:color="auto"/>
            <w:left w:val="none" w:sz="0" w:space="0" w:color="auto"/>
            <w:bottom w:val="none" w:sz="0" w:space="0" w:color="auto"/>
            <w:right w:val="none" w:sz="0" w:space="0" w:color="auto"/>
          </w:divBdr>
          <w:divsChild>
            <w:div w:id="1877039350">
              <w:marLeft w:val="0"/>
              <w:marRight w:val="0"/>
              <w:marTop w:val="120"/>
              <w:marBottom w:val="0"/>
              <w:divBdr>
                <w:top w:val="none" w:sz="0" w:space="0" w:color="auto"/>
                <w:left w:val="none" w:sz="0" w:space="0" w:color="auto"/>
                <w:bottom w:val="none" w:sz="0" w:space="0" w:color="auto"/>
                <w:right w:val="none" w:sz="0" w:space="0" w:color="auto"/>
              </w:divBdr>
            </w:div>
            <w:div w:id="2137134343">
              <w:marLeft w:val="0"/>
              <w:marRight w:val="0"/>
              <w:marTop w:val="0"/>
              <w:marBottom w:val="0"/>
              <w:divBdr>
                <w:top w:val="none" w:sz="0" w:space="0" w:color="auto"/>
                <w:left w:val="none" w:sz="0" w:space="0" w:color="auto"/>
                <w:bottom w:val="none" w:sz="0" w:space="0" w:color="auto"/>
                <w:right w:val="none" w:sz="0" w:space="0" w:color="auto"/>
              </w:divBdr>
            </w:div>
          </w:divsChild>
        </w:div>
        <w:div w:id="1264995900">
          <w:marLeft w:val="0"/>
          <w:marRight w:val="0"/>
          <w:marTop w:val="0"/>
          <w:marBottom w:val="0"/>
          <w:divBdr>
            <w:top w:val="none" w:sz="0" w:space="0" w:color="auto"/>
            <w:left w:val="none" w:sz="0" w:space="0" w:color="auto"/>
            <w:bottom w:val="none" w:sz="0" w:space="0" w:color="auto"/>
            <w:right w:val="none" w:sz="0" w:space="0" w:color="auto"/>
          </w:divBdr>
          <w:divsChild>
            <w:div w:id="261374842">
              <w:marLeft w:val="0"/>
              <w:marRight w:val="0"/>
              <w:marTop w:val="120"/>
              <w:marBottom w:val="0"/>
              <w:divBdr>
                <w:top w:val="none" w:sz="0" w:space="0" w:color="auto"/>
                <w:left w:val="none" w:sz="0" w:space="0" w:color="auto"/>
                <w:bottom w:val="none" w:sz="0" w:space="0" w:color="auto"/>
                <w:right w:val="none" w:sz="0" w:space="0" w:color="auto"/>
              </w:divBdr>
            </w:div>
            <w:div w:id="1178236087">
              <w:marLeft w:val="0"/>
              <w:marRight w:val="0"/>
              <w:marTop w:val="0"/>
              <w:marBottom w:val="0"/>
              <w:divBdr>
                <w:top w:val="none" w:sz="0" w:space="0" w:color="auto"/>
                <w:left w:val="none" w:sz="0" w:space="0" w:color="auto"/>
                <w:bottom w:val="none" w:sz="0" w:space="0" w:color="auto"/>
                <w:right w:val="none" w:sz="0" w:space="0" w:color="auto"/>
              </w:divBdr>
            </w:div>
          </w:divsChild>
        </w:div>
        <w:div w:id="1475218968">
          <w:marLeft w:val="0"/>
          <w:marRight w:val="0"/>
          <w:marTop w:val="0"/>
          <w:marBottom w:val="0"/>
          <w:divBdr>
            <w:top w:val="none" w:sz="0" w:space="0" w:color="auto"/>
            <w:left w:val="none" w:sz="0" w:space="0" w:color="auto"/>
            <w:bottom w:val="none" w:sz="0" w:space="0" w:color="auto"/>
            <w:right w:val="none" w:sz="0" w:space="0" w:color="auto"/>
          </w:divBdr>
          <w:divsChild>
            <w:div w:id="940574339">
              <w:marLeft w:val="0"/>
              <w:marRight w:val="0"/>
              <w:marTop w:val="0"/>
              <w:marBottom w:val="0"/>
              <w:divBdr>
                <w:top w:val="none" w:sz="0" w:space="0" w:color="auto"/>
                <w:left w:val="none" w:sz="0" w:space="0" w:color="auto"/>
                <w:bottom w:val="none" w:sz="0" w:space="0" w:color="auto"/>
                <w:right w:val="none" w:sz="0" w:space="0" w:color="auto"/>
              </w:divBdr>
            </w:div>
            <w:div w:id="1523515917">
              <w:marLeft w:val="0"/>
              <w:marRight w:val="0"/>
              <w:marTop w:val="120"/>
              <w:marBottom w:val="0"/>
              <w:divBdr>
                <w:top w:val="none" w:sz="0" w:space="0" w:color="auto"/>
                <w:left w:val="none" w:sz="0" w:space="0" w:color="auto"/>
                <w:bottom w:val="none" w:sz="0" w:space="0" w:color="auto"/>
                <w:right w:val="none" w:sz="0" w:space="0" w:color="auto"/>
              </w:divBdr>
            </w:div>
          </w:divsChild>
        </w:div>
        <w:div w:id="1566985388">
          <w:marLeft w:val="0"/>
          <w:marRight w:val="0"/>
          <w:marTop w:val="0"/>
          <w:marBottom w:val="0"/>
          <w:divBdr>
            <w:top w:val="none" w:sz="0" w:space="0" w:color="auto"/>
            <w:left w:val="none" w:sz="0" w:space="0" w:color="auto"/>
            <w:bottom w:val="none" w:sz="0" w:space="0" w:color="auto"/>
            <w:right w:val="none" w:sz="0" w:space="0" w:color="auto"/>
          </w:divBdr>
          <w:divsChild>
            <w:div w:id="445930101">
              <w:marLeft w:val="0"/>
              <w:marRight w:val="0"/>
              <w:marTop w:val="0"/>
              <w:marBottom w:val="0"/>
              <w:divBdr>
                <w:top w:val="none" w:sz="0" w:space="0" w:color="auto"/>
                <w:left w:val="none" w:sz="0" w:space="0" w:color="auto"/>
                <w:bottom w:val="none" w:sz="0" w:space="0" w:color="auto"/>
                <w:right w:val="none" w:sz="0" w:space="0" w:color="auto"/>
              </w:divBdr>
              <w:divsChild>
                <w:div w:id="43720990">
                  <w:marLeft w:val="0"/>
                  <w:marRight w:val="0"/>
                  <w:marTop w:val="0"/>
                  <w:marBottom w:val="0"/>
                  <w:divBdr>
                    <w:top w:val="none" w:sz="0" w:space="0" w:color="auto"/>
                    <w:left w:val="none" w:sz="0" w:space="0" w:color="auto"/>
                    <w:bottom w:val="none" w:sz="0" w:space="0" w:color="auto"/>
                    <w:right w:val="none" w:sz="0" w:space="0" w:color="auto"/>
                  </w:divBdr>
                  <w:divsChild>
                    <w:div w:id="1187720741">
                      <w:marLeft w:val="0"/>
                      <w:marRight w:val="0"/>
                      <w:marTop w:val="120"/>
                      <w:marBottom w:val="0"/>
                      <w:divBdr>
                        <w:top w:val="none" w:sz="0" w:space="0" w:color="auto"/>
                        <w:left w:val="none" w:sz="0" w:space="0" w:color="auto"/>
                        <w:bottom w:val="none" w:sz="0" w:space="0" w:color="auto"/>
                        <w:right w:val="none" w:sz="0" w:space="0" w:color="auto"/>
                      </w:divBdr>
                    </w:div>
                    <w:div w:id="1525098555">
                      <w:marLeft w:val="0"/>
                      <w:marRight w:val="0"/>
                      <w:marTop w:val="0"/>
                      <w:marBottom w:val="0"/>
                      <w:divBdr>
                        <w:top w:val="none" w:sz="0" w:space="0" w:color="auto"/>
                        <w:left w:val="none" w:sz="0" w:space="0" w:color="auto"/>
                        <w:bottom w:val="none" w:sz="0" w:space="0" w:color="auto"/>
                        <w:right w:val="none" w:sz="0" w:space="0" w:color="auto"/>
                      </w:divBdr>
                    </w:div>
                  </w:divsChild>
                </w:div>
                <w:div w:id="520171337">
                  <w:marLeft w:val="0"/>
                  <w:marRight w:val="0"/>
                  <w:marTop w:val="0"/>
                  <w:marBottom w:val="0"/>
                  <w:divBdr>
                    <w:top w:val="none" w:sz="0" w:space="0" w:color="auto"/>
                    <w:left w:val="none" w:sz="0" w:space="0" w:color="auto"/>
                    <w:bottom w:val="none" w:sz="0" w:space="0" w:color="auto"/>
                    <w:right w:val="none" w:sz="0" w:space="0" w:color="auto"/>
                  </w:divBdr>
                  <w:divsChild>
                    <w:div w:id="87043569">
                      <w:marLeft w:val="0"/>
                      <w:marRight w:val="0"/>
                      <w:marTop w:val="0"/>
                      <w:marBottom w:val="0"/>
                      <w:divBdr>
                        <w:top w:val="none" w:sz="0" w:space="0" w:color="auto"/>
                        <w:left w:val="none" w:sz="0" w:space="0" w:color="auto"/>
                        <w:bottom w:val="none" w:sz="0" w:space="0" w:color="auto"/>
                        <w:right w:val="none" w:sz="0" w:space="0" w:color="auto"/>
                      </w:divBdr>
                    </w:div>
                    <w:div w:id="481045957">
                      <w:marLeft w:val="0"/>
                      <w:marRight w:val="0"/>
                      <w:marTop w:val="120"/>
                      <w:marBottom w:val="0"/>
                      <w:divBdr>
                        <w:top w:val="none" w:sz="0" w:space="0" w:color="auto"/>
                        <w:left w:val="none" w:sz="0" w:space="0" w:color="auto"/>
                        <w:bottom w:val="none" w:sz="0" w:space="0" w:color="auto"/>
                        <w:right w:val="none" w:sz="0" w:space="0" w:color="auto"/>
                      </w:divBdr>
                    </w:div>
                  </w:divsChild>
                </w:div>
                <w:div w:id="550383006">
                  <w:marLeft w:val="0"/>
                  <w:marRight w:val="0"/>
                  <w:marTop w:val="0"/>
                  <w:marBottom w:val="0"/>
                  <w:divBdr>
                    <w:top w:val="none" w:sz="0" w:space="0" w:color="auto"/>
                    <w:left w:val="none" w:sz="0" w:space="0" w:color="auto"/>
                    <w:bottom w:val="none" w:sz="0" w:space="0" w:color="auto"/>
                    <w:right w:val="none" w:sz="0" w:space="0" w:color="auto"/>
                  </w:divBdr>
                  <w:divsChild>
                    <w:div w:id="139079596">
                      <w:marLeft w:val="0"/>
                      <w:marRight w:val="0"/>
                      <w:marTop w:val="120"/>
                      <w:marBottom w:val="0"/>
                      <w:divBdr>
                        <w:top w:val="none" w:sz="0" w:space="0" w:color="auto"/>
                        <w:left w:val="none" w:sz="0" w:space="0" w:color="auto"/>
                        <w:bottom w:val="none" w:sz="0" w:space="0" w:color="auto"/>
                        <w:right w:val="none" w:sz="0" w:space="0" w:color="auto"/>
                      </w:divBdr>
                    </w:div>
                    <w:div w:id="2011104784">
                      <w:marLeft w:val="0"/>
                      <w:marRight w:val="0"/>
                      <w:marTop w:val="0"/>
                      <w:marBottom w:val="0"/>
                      <w:divBdr>
                        <w:top w:val="none" w:sz="0" w:space="0" w:color="auto"/>
                        <w:left w:val="none" w:sz="0" w:space="0" w:color="auto"/>
                        <w:bottom w:val="none" w:sz="0" w:space="0" w:color="auto"/>
                        <w:right w:val="none" w:sz="0" w:space="0" w:color="auto"/>
                      </w:divBdr>
                    </w:div>
                  </w:divsChild>
                </w:div>
                <w:div w:id="1031106182">
                  <w:marLeft w:val="0"/>
                  <w:marRight w:val="0"/>
                  <w:marTop w:val="0"/>
                  <w:marBottom w:val="0"/>
                  <w:divBdr>
                    <w:top w:val="none" w:sz="0" w:space="0" w:color="auto"/>
                    <w:left w:val="none" w:sz="0" w:space="0" w:color="auto"/>
                    <w:bottom w:val="none" w:sz="0" w:space="0" w:color="auto"/>
                    <w:right w:val="none" w:sz="0" w:space="0" w:color="auto"/>
                  </w:divBdr>
                  <w:divsChild>
                    <w:div w:id="775053061">
                      <w:marLeft w:val="0"/>
                      <w:marRight w:val="0"/>
                      <w:marTop w:val="120"/>
                      <w:marBottom w:val="0"/>
                      <w:divBdr>
                        <w:top w:val="none" w:sz="0" w:space="0" w:color="auto"/>
                        <w:left w:val="none" w:sz="0" w:space="0" w:color="auto"/>
                        <w:bottom w:val="none" w:sz="0" w:space="0" w:color="auto"/>
                        <w:right w:val="none" w:sz="0" w:space="0" w:color="auto"/>
                      </w:divBdr>
                    </w:div>
                    <w:div w:id="18830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47953">
              <w:marLeft w:val="0"/>
              <w:marRight w:val="0"/>
              <w:marTop w:val="120"/>
              <w:marBottom w:val="0"/>
              <w:divBdr>
                <w:top w:val="none" w:sz="0" w:space="0" w:color="auto"/>
                <w:left w:val="none" w:sz="0" w:space="0" w:color="auto"/>
                <w:bottom w:val="none" w:sz="0" w:space="0" w:color="auto"/>
                <w:right w:val="none" w:sz="0" w:space="0" w:color="auto"/>
              </w:divBdr>
            </w:div>
          </w:divsChild>
        </w:div>
        <w:div w:id="2074809212">
          <w:marLeft w:val="0"/>
          <w:marRight w:val="0"/>
          <w:marTop w:val="0"/>
          <w:marBottom w:val="0"/>
          <w:divBdr>
            <w:top w:val="none" w:sz="0" w:space="0" w:color="auto"/>
            <w:left w:val="none" w:sz="0" w:space="0" w:color="auto"/>
            <w:bottom w:val="none" w:sz="0" w:space="0" w:color="auto"/>
            <w:right w:val="none" w:sz="0" w:space="0" w:color="auto"/>
          </w:divBdr>
          <w:divsChild>
            <w:div w:id="1108281995">
              <w:marLeft w:val="0"/>
              <w:marRight w:val="0"/>
              <w:marTop w:val="0"/>
              <w:marBottom w:val="0"/>
              <w:divBdr>
                <w:top w:val="none" w:sz="0" w:space="0" w:color="auto"/>
                <w:left w:val="none" w:sz="0" w:space="0" w:color="auto"/>
                <w:bottom w:val="none" w:sz="0" w:space="0" w:color="auto"/>
                <w:right w:val="none" w:sz="0" w:space="0" w:color="auto"/>
              </w:divBdr>
            </w:div>
            <w:div w:id="2009946050">
              <w:marLeft w:val="0"/>
              <w:marRight w:val="0"/>
              <w:marTop w:val="120"/>
              <w:marBottom w:val="0"/>
              <w:divBdr>
                <w:top w:val="none" w:sz="0" w:space="0" w:color="auto"/>
                <w:left w:val="none" w:sz="0" w:space="0" w:color="auto"/>
                <w:bottom w:val="none" w:sz="0" w:space="0" w:color="auto"/>
                <w:right w:val="none" w:sz="0" w:space="0" w:color="auto"/>
              </w:divBdr>
            </w:div>
          </w:divsChild>
        </w:div>
        <w:div w:id="2109688866">
          <w:marLeft w:val="0"/>
          <w:marRight w:val="0"/>
          <w:marTop w:val="0"/>
          <w:marBottom w:val="0"/>
          <w:divBdr>
            <w:top w:val="none" w:sz="0" w:space="0" w:color="auto"/>
            <w:left w:val="none" w:sz="0" w:space="0" w:color="auto"/>
            <w:bottom w:val="none" w:sz="0" w:space="0" w:color="auto"/>
            <w:right w:val="none" w:sz="0" w:space="0" w:color="auto"/>
          </w:divBdr>
          <w:divsChild>
            <w:div w:id="634677355">
              <w:marLeft w:val="0"/>
              <w:marRight w:val="0"/>
              <w:marTop w:val="0"/>
              <w:marBottom w:val="0"/>
              <w:divBdr>
                <w:top w:val="none" w:sz="0" w:space="0" w:color="auto"/>
                <w:left w:val="none" w:sz="0" w:space="0" w:color="auto"/>
                <w:bottom w:val="none" w:sz="0" w:space="0" w:color="auto"/>
                <w:right w:val="none" w:sz="0" w:space="0" w:color="auto"/>
              </w:divBdr>
            </w:div>
            <w:div w:id="18615822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3933163">
      <w:bodyDiv w:val="1"/>
      <w:marLeft w:val="0"/>
      <w:marRight w:val="0"/>
      <w:marTop w:val="0"/>
      <w:marBottom w:val="0"/>
      <w:divBdr>
        <w:top w:val="none" w:sz="0" w:space="0" w:color="auto"/>
        <w:left w:val="none" w:sz="0" w:space="0" w:color="auto"/>
        <w:bottom w:val="none" w:sz="0" w:space="0" w:color="auto"/>
        <w:right w:val="none" w:sz="0" w:space="0" w:color="auto"/>
      </w:divBdr>
      <w:divsChild>
        <w:div w:id="268053907">
          <w:marLeft w:val="0"/>
          <w:marRight w:val="0"/>
          <w:marTop w:val="120"/>
          <w:marBottom w:val="0"/>
          <w:divBdr>
            <w:top w:val="none" w:sz="0" w:space="0" w:color="auto"/>
            <w:left w:val="none" w:sz="0" w:space="0" w:color="auto"/>
            <w:bottom w:val="none" w:sz="0" w:space="0" w:color="auto"/>
            <w:right w:val="none" w:sz="0" w:space="0" w:color="auto"/>
          </w:divBdr>
        </w:div>
        <w:div w:id="2043820745">
          <w:marLeft w:val="0"/>
          <w:marRight w:val="0"/>
          <w:marTop w:val="0"/>
          <w:marBottom w:val="0"/>
          <w:divBdr>
            <w:top w:val="none" w:sz="0" w:space="0" w:color="auto"/>
            <w:left w:val="none" w:sz="0" w:space="0" w:color="auto"/>
            <w:bottom w:val="none" w:sz="0" w:space="0" w:color="auto"/>
            <w:right w:val="none" w:sz="0" w:space="0" w:color="auto"/>
          </w:divBdr>
        </w:div>
      </w:divsChild>
    </w:div>
    <w:div w:id="1248348995">
      <w:bodyDiv w:val="1"/>
      <w:marLeft w:val="0"/>
      <w:marRight w:val="0"/>
      <w:marTop w:val="0"/>
      <w:marBottom w:val="0"/>
      <w:divBdr>
        <w:top w:val="none" w:sz="0" w:space="0" w:color="auto"/>
        <w:left w:val="none" w:sz="0" w:space="0" w:color="auto"/>
        <w:bottom w:val="none" w:sz="0" w:space="0" w:color="auto"/>
        <w:right w:val="none" w:sz="0" w:space="0" w:color="auto"/>
      </w:divBdr>
      <w:divsChild>
        <w:div w:id="459348772">
          <w:marLeft w:val="0"/>
          <w:marRight w:val="0"/>
          <w:marTop w:val="0"/>
          <w:marBottom w:val="0"/>
          <w:divBdr>
            <w:top w:val="none" w:sz="0" w:space="0" w:color="auto"/>
            <w:left w:val="none" w:sz="0" w:space="0" w:color="auto"/>
            <w:bottom w:val="none" w:sz="0" w:space="0" w:color="auto"/>
            <w:right w:val="none" w:sz="0" w:space="0" w:color="auto"/>
          </w:divBdr>
          <w:divsChild>
            <w:div w:id="4197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3788">
      <w:bodyDiv w:val="1"/>
      <w:marLeft w:val="0"/>
      <w:marRight w:val="0"/>
      <w:marTop w:val="0"/>
      <w:marBottom w:val="0"/>
      <w:divBdr>
        <w:top w:val="none" w:sz="0" w:space="0" w:color="auto"/>
        <w:left w:val="none" w:sz="0" w:space="0" w:color="auto"/>
        <w:bottom w:val="none" w:sz="0" w:space="0" w:color="auto"/>
        <w:right w:val="none" w:sz="0" w:space="0" w:color="auto"/>
      </w:divBdr>
      <w:divsChild>
        <w:div w:id="1584071215">
          <w:marLeft w:val="0"/>
          <w:marRight w:val="0"/>
          <w:marTop w:val="0"/>
          <w:marBottom w:val="0"/>
          <w:divBdr>
            <w:top w:val="none" w:sz="0" w:space="0" w:color="auto"/>
            <w:left w:val="none" w:sz="0" w:space="0" w:color="auto"/>
            <w:bottom w:val="none" w:sz="0" w:space="0" w:color="auto"/>
            <w:right w:val="none" w:sz="0" w:space="0" w:color="auto"/>
          </w:divBdr>
          <w:divsChild>
            <w:div w:id="798255898">
              <w:marLeft w:val="0"/>
              <w:marRight w:val="0"/>
              <w:marTop w:val="0"/>
              <w:marBottom w:val="0"/>
              <w:divBdr>
                <w:top w:val="none" w:sz="0" w:space="0" w:color="auto"/>
                <w:left w:val="none" w:sz="0" w:space="0" w:color="auto"/>
                <w:bottom w:val="none" w:sz="0" w:space="0" w:color="auto"/>
                <w:right w:val="none" w:sz="0" w:space="0" w:color="auto"/>
              </w:divBdr>
            </w:div>
          </w:divsChild>
        </w:div>
        <w:div w:id="1806967270">
          <w:marLeft w:val="0"/>
          <w:marRight w:val="0"/>
          <w:marTop w:val="0"/>
          <w:marBottom w:val="0"/>
          <w:divBdr>
            <w:top w:val="none" w:sz="0" w:space="0" w:color="auto"/>
            <w:left w:val="none" w:sz="0" w:space="0" w:color="auto"/>
            <w:bottom w:val="none" w:sz="0" w:space="0" w:color="auto"/>
            <w:right w:val="none" w:sz="0" w:space="0" w:color="auto"/>
          </w:divBdr>
          <w:divsChild>
            <w:div w:id="1102141959">
              <w:marLeft w:val="0"/>
              <w:marRight w:val="0"/>
              <w:marTop w:val="0"/>
              <w:marBottom w:val="0"/>
              <w:divBdr>
                <w:top w:val="none" w:sz="0" w:space="0" w:color="auto"/>
                <w:left w:val="none" w:sz="0" w:space="0" w:color="auto"/>
                <w:bottom w:val="none" w:sz="0" w:space="0" w:color="auto"/>
                <w:right w:val="none" w:sz="0" w:space="0" w:color="auto"/>
              </w:divBdr>
            </w:div>
          </w:divsChild>
        </w:div>
        <w:div w:id="1818568765">
          <w:marLeft w:val="0"/>
          <w:marRight w:val="0"/>
          <w:marTop w:val="0"/>
          <w:marBottom w:val="0"/>
          <w:divBdr>
            <w:top w:val="none" w:sz="0" w:space="0" w:color="auto"/>
            <w:left w:val="none" w:sz="0" w:space="0" w:color="auto"/>
            <w:bottom w:val="none" w:sz="0" w:space="0" w:color="auto"/>
            <w:right w:val="none" w:sz="0" w:space="0" w:color="auto"/>
          </w:divBdr>
          <w:divsChild>
            <w:div w:id="862665391">
              <w:marLeft w:val="0"/>
              <w:marRight w:val="0"/>
              <w:marTop w:val="0"/>
              <w:marBottom w:val="0"/>
              <w:divBdr>
                <w:top w:val="none" w:sz="0" w:space="0" w:color="auto"/>
                <w:left w:val="none" w:sz="0" w:space="0" w:color="auto"/>
                <w:bottom w:val="none" w:sz="0" w:space="0" w:color="auto"/>
                <w:right w:val="none" w:sz="0" w:space="0" w:color="auto"/>
              </w:divBdr>
              <w:divsChild>
                <w:div w:id="1000620491">
                  <w:marLeft w:val="0"/>
                  <w:marRight w:val="0"/>
                  <w:marTop w:val="0"/>
                  <w:marBottom w:val="0"/>
                  <w:divBdr>
                    <w:top w:val="none" w:sz="0" w:space="0" w:color="auto"/>
                    <w:left w:val="none" w:sz="0" w:space="0" w:color="auto"/>
                    <w:bottom w:val="none" w:sz="0" w:space="0" w:color="auto"/>
                    <w:right w:val="none" w:sz="0" w:space="0" w:color="auto"/>
                  </w:divBdr>
                  <w:divsChild>
                    <w:div w:id="299389355">
                      <w:marLeft w:val="0"/>
                      <w:marRight w:val="0"/>
                      <w:marTop w:val="120"/>
                      <w:marBottom w:val="0"/>
                      <w:divBdr>
                        <w:top w:val="none" w:sz="0" w:space="0" w:color="auto"/>
                        <w:left w:val="none" w:sz="0" w:space="0" w:color="auto"/>
                        <w:bottom w:val="none" w:sz="0" w:space="0" w:color="auto"/>
                        <w:right w:val="none" w:sz="0" w:space="0" w:color="auto"/>
                      </w:divBdr>
                    </w:div>
                    <w:div w:id="465659779">
                      <w:marLeft w:val="0"/>
                      <w:marRight w:val="0"/>
                      <w:marTop w:val="0"/>
                      <w:marBottom w:val="0"/>
                      <w:divBdr>
                        <w:top w:val="none" w:sz="0" w:space="0" w:color="auto"/>
                        <w:left w:val="none" w:sz="0" w:space="0" w:color="auto"/>
                        <w:bottom w:val="none" w:sz="0" w:space="0" w:color="auto"/>
                        <w:right w:val="none" w:sz="0" w:space="0" w:color="auto"/>
                      </w:divBdr>
                    </w:div>
                  </w:divsChild>
                </w:div>
                <w:div w:id="1094740487">
                  <w:marLeft w:val="0"/>
                  <w:marRight w:val="0"/>
                  <w:marTop w:val="0"/>
                  <w:marBottom w:val="0"/>
                  <w:divBdr>
                    <w:top w:val="none" w:sz="0" w:space="0" w:color="auto"/>
                    <w:left w:val="none" w:sz="0" w:space="0" w:color="auto"/>
                    <w:bottom w:val="none" w:sz="0" w:space="0" w:color="auto"/>
                    <w:right w:val="none" w:sz="0" w:space="0" w:color="auto"/>
                  </w:divBdr>
                  <w:divsChild>
                    <w:div w:id="851378983">
                      <w:marLeft w:val="0"/>
                      <w:marRight w:val="0"/>
                      <w:marTop w:val="120"/>
                      <w:marBottom w:val="0"/>
                      <w:divBdr>
                        <w:top w:val="none" w:sz="0" w:space="0" w:color="auto"/>
                        <w:left w:val="none" w:sz="0" w:space="0" w:color="auto"/>
                        <w:bottom w:val="none" w:sz="0" w:space="0" w:color="auto"/>
                        <w:right w:val="none" w:sz="0" w:space="0" w:color="auto"/>
                      </w:divBdr>
                    </w:div>
                    <w:div w:id="17377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992889">
      <w:bodyDiv w:val="1"/>
      <w:marLeft w:val="0"/>
      <w:marRight w:val="0"/>
      <w:marTop w:val="0"/>
      <w:marBottom w:val="0"/>
      <w:divBdr>
        <w:top w:val="none" w:sz="0" w:space="0" w:color="auto"/>
        <w:left w:val="none" w:sz="0" w:space="0" w:color="auto"/>
        <w:bottom w:val="none" w:sz="0" w:space="0" w:color="auto"/>
        <w:right w:val="none" w:sz="0" w:space="0" w:color="auto"/>
      </w:divBdr>
      <w:divsChild>
        <w:div w:id="1173297229">
          <w:marLeft w:val="0"/>
          <w:marRight w:val="0"/>
          <w:marTop w:val="0"/>
          <w:marBottom w:val="0"/>
          <w:divBdr>
            <w:top w:val="none" w:sz="0" w:space="0" w:color="auto"/>
            <w:left w:val="none" w:sz="0" w:space="0" w:color="auto"/>
            <w:bottom w:val="none" w:sz="0" w:space="0" w:color="auto"/>
            <w:right w:val="none" w:sz="0" w:space="0" w:color="auto"/>
          </w:divBdr>
          <w:divsChild>
            <w:div w:id="2893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4924">
      <w:bodyDiv w:val="1"/>
      <w:marLeft w:val="0"/>
      <w:marRight w:val="0"/>
      <w:marTop w:val="0"/>
      <w:marBottom w:val="0"/>
      <w:divBdr>
        <w:top w:val="none" w:sz="0" w:space="0" w:color="auto"/>
        <w:left w:val="none" w:sz="0" w:space="0" w:color="auto"/>
        <w:bottom w:val="none" w:sz="0" w:space="0" w:color="auto"/>
        <w:right w:val="none" w:sz="0" w:space="0" w:color="auto"/>
      </w:divBdr>
      <w:divsChild>
        <w:div w:id="25521033">
          <w:marLeft w:val="0"/>
          <w:marRight w:val="0"/>
          <w:marTop w:val="0"/>
          <w:marBottom w:val="0"/>
          <w:divBdr>
            <w:top w:val="none" w:sz="0" w:space="0" w:color="auto"/>
            <w:left w:val="none" w:sz="0" w:space="0" w:color="auto"/>
            <w:bottom w:val="none" w:sz="0" w:space="0" w:color="auto"/>
            <w:right w:val="none" w:sz="0" w:space="0" w:color="auto"/>
          </w:divBdr>
          <w:divsChild>
            <w:div w:id="450170054">
              <w:marLeft w:val="0"/>
              <w:marRight w:val="0"/>
              <w:marTop w:val="0"/>
              <w:marBottom w:val="0"/>
              <w:divBdr>
                <w:top w:val="none" w:sz="0" w:space="0" w:color="auto"/>
                <w:left w:val="none" w:sz="0" w:space="0" w:color="auto"/>
                <w:bottom w:val="none" w:sz="0" w:space="0" w:color="auto"/>
                <w:right w:val="none" w:sz="0" w:space="0" w:color="auto"/>
              </w:divBdr>
            </w:div>
          </w:divsChild>
        </w:div>
        <w:div w:id="287205614">
          <w:marLeft w:val="0"/>
          <w:marRight w:val="0"/>
          <w:marTop w:val="0"/>
          <w:marBottom w:val="0"/>
          <w:divBdr>
            <w:top w:val="none" w:sz="0" w:space="0" w:color="auto"/>
            <w:left w:val="none" w:sz="0" w:space="0" w:color="auto"/>
            <w:bottom w:val="none" w:sz="0" w:space="0" w:color="auto"/>
            <w:right w:val="none" w:sz="0" w:space="0" w:color="auto"/>
          </w:divBdr>
          <w:divsChild>
            <w:div w:id="561216304">
              <w:marLeft w:val="0"/>
              <w:marRight w:val="0"/>
              <w:marTop w:val="0"/>
              <w:marBottom w:val="0"/>
              <w:divBdr>
                <w:top w:val="none" w:sz="0" w:space="0" w:color="auto"/>
                <w:left w:val="none" w:sz="0" w:space="0" w:color="auto"/>
                <w:bottom w:val="none" w:sz="0" w:space="0" w:color="auto"/>
                <w:right w:val="none" w:sz="0" w:space="0" w:color="auto"/>
              </w:divBdr>
              <w:divsChild>
                <w:div w:id="614676702">
                  <w:marLeft w:val="0"/>
                  <w:marRight w:val="0"/>
                  <w:marTop w:val="0"/>
                  <w:marBottom w:val="0"/>
                  <w:divBdr>
                    <w:top w:val="none" w:sz="0" w:space="0" w:color="auto"/>
                    <w:left w:val="none" w:sz="0" w:space="0" w:color="auto"/>
                    <w:bottom w:val="none" w:sz="0" w:space="0" w:color="auto"/>
                    <w:right w:val="none" w:sz="0" w:space="0" w:color="auto"/>
                  </w:divBdr>
                  <w:divsChild>
                    <w:div w:id="83887902">
                      <w:marLeft w:val="0"/>
                      <w:marRight w:val="0"/>
                      <w:marTop w:val="120"/>
                      <w:marBottom w:val="0"/>
                      <w:divBdr>
                        <w:top w:val="none" w:sz="0" w:space="0" w:color="auto"/>
                        <w:left w:val="none" w:sz="0" w:space="0" w:color="auto"/>
                        <w:bottom w:val="none" w:sz="0" w:space="0" w:color="auto"/>
                        <w:right w:val="none" w:sz="0" w:space="0" w:color="auto"/>
                      </w:divBdr>
                    </w:div>
                    <w:div w:id="436753752">
                      <w:marLeft w:val="0"/>
                      <w:marRight w:val="0"/>
                      <w:marTop w:val="0"/>
                      <w:marBottom w:val="0"/>
                      <w:divBdr>
                        <w:top w:val="none" w:sz="0" w:space="0" w:color="auto"/>
                        <w:left w:val="none" w:sz="0" w:space="0" w:color="auto"/>
                        <w:bottom w:val="none" w:sz="0" w:space="0" w:color="auto"/>
                        <w:right w:val="none" w:sz="0" w:space="0" w:color="auto"/>
                      </w:divBdr>
                    </w:div>
                  </w:divsChild>
                </w:div>
                <w:div w:id="806095109">
                  <w:marLeft w:val="0"/>
                  <w:marRight w:val="0"/>
                  <w:marTop w:val="0"/>
                  <w:marBottom w:val="0"/>
                  <w:divBdr>
                    <w:top w:val="none" w:sz="0" w:space="0" w:color="auto"/>
                    <w:left w:val="none" w:sz="0" w:space="0" w:color="auto"/>
                    <w:bottom w:val="none" w:sz="0" w:space="0" w:color="auto"/>
                    <w:right w:val="none" w:sz="0" w:space="0" w:color="auto"/>
                  </w:divBdr>
                  <w:divsChild>
                    <w:div w:id="1067801148">
                      <w:marLeft w:val="0"/>
                      <w:marRight w:val="0"/>
                      <w:marTop w:val="120"/>
                      <w:marBottom w:val="0"/>
                      <w:divBdr>
                        <w:top w:val="none" w:sz="0" w:space="0" w:color="auto"/>
                        <w:left w:val="none" w:sz="0" w:space="0" w:color="auto"/>
                        <w:bottom w:val="none" w:sz="0" w:space="0" w:color="auto"/>
                        <w:right w:val="none" w:sz="0" w:space="0" w:color="auto"/>
                      </w:divBdr>
                    </w:div>
                    <w:div w:id="1189948760">
                      <w:marLeft w:val="0"/>
                      <w:marRight w:val="0"/>
                      <w:marTop w:val="0"/>
                      <w:marBottom w:val="0"/>
                      <w:divBdr>
                        <w:top w:val="none" w:sz="0" w:space="0" w:color="auto"/>
                        <w:left w:val="none" w:sz="0" w:space="0" w:color="auto"/>
                        <w:bottom w:val="none" w:sz="0" w:space="0" w:color="auto"/>
                        <w:right w:val="none" w:sz="0" w:space="0" w:color="auto"/>
                      </w:divBdr>
                    </w:div>
                  </w:divsChild>
                </w:div>
                <w:div w:id="1238252068">
                  <w:marLeft w:val="0"/>
                  <w:marRight w:val="0"/>
                  <w:marTop w:val="0"/>
                  <w:marBottom w:val="0"/>
                  <w:divBdr>
                    <w:top w:val="none" w:sz="0" w:space="0" w:color="auto"/>
                    <w:left w:val="none" w:sz="0" w:space="0" w:color="auto"/>
                    <w:bottom w:val="none" w:sz="0" w:space="0" w:color="auto"/>
                    <w:right w:val="none" w:sz="0" w:space="0" w:color="auto"/>
                  </w:divBdr>
                  <w:divsChild>
                    <w:div w:id="1174219624">
                      <w:marLeft w:val="0"/>
                      <w:marRight w:val="0"/>
                      <w:marTop w:val="0"/>
                      <w:marBottom w:val="0"/>
                      <w:divBdr>
                        <w:top w:val="none" w:sz="0" w:space="0" w:color="auto"/>
                        <w:left w:val="none" w:sz="0" w:space="0" w:color="auto"/>
                        <w:bottom w:val="none" w:sz="0" w:space="0" w:color="auto"/>
                        <w:right w:val="none" w:sz="0" w:space="0" w:color="auto"/>
                      </w:divBdr>
                    </w:div>
                    <w:div w:id="21015571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06464866">
          <w:marLeft w:val="0"/>
          <w:marRight w:val="0"/>
          <w:marTop w:val="0"/>
          <w:marBottom w:val="0"/>
          <w:divBdr>
            <w:top w:val="none" w:sz="0" w:space="0" w:color="auto"/>
            <w:left w:val="none" w:sz="0" w:space="0" w:color="auto"/>
            <w:bottom w:val="none" w:sz="0" w:space="0" w:color="auto"/>
            <w:right w:val="none" w:sz="0" w:space="0" w:color="auto"/>
          </w:divBdr>
          <w:divsChild>
            <w:div w:id="455683596">
              <w:marLeft w:val="0"/>
              <w:marRight w:val="0"/>
              <w:marTop w:val="0"/>
              <w:marBottom w:val="0"/>
              <w:divBdr>
                <w:top w:val="none" w:sz="0" w:space="0" w:color="auto"/>
                <w:left w:val="none" w:sz="0" w:space="0" w:color="auto"/>
                <w:bottom w:val="none" w:sz="0" w:space="0" w:color="auto"/>
                <w:right w:val="none" w:sz="0" w:space="0" w:color="auto"/>
              </w:divBdr>
              <w:divsChild>
                <w:div w:id="812022026">
                  <w:marLeft w:val="0"/>
                  <w:marRight w:val="0"/>
                  <w:marTop w:val="0"/>
                  <w:marBottom w:val="0"/>
                  <w:divBdr>
                    <w:top w:val="none" w:sz="0" w:space="0" w:color="auto"/>
                    <w:left w:val="none" w:sz="0" w:space="0" w:color="auto"/>
                    <w:bottom w:val="none" w:sz="0" w:space="0" w:color="auto"/>
                    <w:right w:val="none" w:sz="0" w:space="0" w:color="auto"/>
                  </w:divBdr>
                  <w:divsChild>
                    <w:div w:id="796685625">
                      <w:marLeft w:val="0"/>
                      <w:marRight w:val="0"/>
                      <w:marTop w:val="120"/>
                      <w:marBottom w:val="0"/>
                      <w:divBdr>
                        <w:top w:val="none" w:sz="0" w:space="0" w:color="auto"/>
                        <w:left w:val="none" w:sz="0" w:space="0" w:color="auto"/>
                        <w:bottom w:val="none" w:sz="0" w:space="0" w:color="auto"/>
                        <w:right w:val="none" w:sz="0" w:space="0" w:color="auto"/>
                      </w:divBdr>
                    </w:div>
                    <w:div w:id="1076129801">
                      <w:marLeft w:val="0"/>
                      <w:marRight w:val="0"/>
                      <w:marTop w:val="0"/>
                      <w:marBottom w:val="0"/>
                      <w:divBdr>
                        <w:top w:val="none" w:sz="0" w:space="0" w:color="auto"/>
                        <w:left w:val="none" w:sz="0" w:space="0" w:color="auto"/>
                        <w:bottom w:val="none" w:sz="0" w:space="0" w:color="auto"/>
                        <w:right w:val="none" w:sz="0" w:space="0" w:color="auto"/>
                      </w:divBdr>
                    </w:div>
                  </w:divsChild>
                </w:div>
                <w:div w:id="1422143179">
                  <w:marLeft w:val="0"/>
                  <w:marRight w:val="0"/>
                  <w:marTop w:val="0"/>
                  <w:marBottom w:val="0"/>
                  <w:divBdr>
                    <w:top w:val="none" w:sz="0" w:space="0" w:color="auto"/>
                    <w:left w:val="none" w:sz="0" w:space="0" w:color="auto"/>
                    <w:bottom w:val="none" w:sz="0" w:space="0" w:color="auto"/>
                    <w:right w:val="none" w:sz="0" w:space="0" w:color="auto"/>
                  </w:divBdr>
                  <w:divsChild>
                    <w:div w:id="1415009322">
                      <w:marLeft w:val="0"/>
                      <w:marRight w:val="0"/>
                      <w:marTop w:val="120"/>
                      <w:marBottom w:val="0"/>
                      <w:divBdr>
                        <w:top w:val="none" w:sz="0" w:space="0" w:color="auto"/>
                        <w:left w:val="none" w:sz="0" w:space="0" w:color="auto"/>
                        <w:bottom w:val="none" w:sz="0" w:space="0" w:color="auto"/>
                        <w:right w:val="none" w:sz="0" w:space="0" w:color="auto"/>
                      </w:divBdr>
                    </w:div>
                    <w:div w:id="1987123764">
                      <w:marLeft w:val="0"/>
                      <w:marRight w:val="0"/>
                      <w:marTop w:val="0"/>
                      <w:marBottom w:val="0"/>
                      <w:divBdr>
                        <w:top w:val="none" w:sz="0" w:space="0" w:color="auto"/>
                        <w:left w:val="none" w:sz="0" w:space="0" w:color="auto"/>
                        <w:bottom w:val="none" w:sz="0" w:space="0" w:color="auto"/>
                        <w:right w:val="none" w:sz="0" w:space="0" w:color="auto"/>
                      </w:divBdr>
                    </w:div>
                  </w:divsChild>
                </w:div>
                <w:div w:id="2078437305">
                  <w:marLeft w:val="0"/>
                  <w:marRight w:val="0"/>
                  <w:marTop w:val="0"/>
                  <w:marBottom w:val="0"/>
                  <w:divBdr>
                    <w:top w:val="none" w:sz="0" w:space="0" w:color="auto"/>
                    <w:left w:val="none" w:sz="0" w:space="0" w:color="auto"/>
                    <w:bottom w:val="none" w:sz="0" w:space="0" w:color="auto"/>
                    <w:right w:val="none" w:sz="0" w:space="0" w:color="auto"/>
                  </w:divBdr>
                  <w:divsChild>
                    <w:div w:id="803306714">
                      <w:marLeft w:val="0"/>
                      <w:marRight w:val="0"/>
                      <w:marTop w:val="120"/>
                      <w:marBottom w:val="0"/>
                      <w:divBdr>
                        <w:top w:val="none" w:sz="0" w:space="0" w:color="auto"/>
                        <w:left w:val="none" w:sz="0" w:space="0" w:color="auto"/>
                        <w:bottom w:val="none" w:sz="0" w:space="0" w:color="auto"/>
                        <w:right w:val="none" w:sz="0" w:space="0" w:color="auto"/>
                      </w:divBdr>
                    </w:div>
                    <w:div w:id="15032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30835">
          <w:marLeft w:val="0"/>
          <w:marRight w:val="0"/>
          <w:marTop w:val="0"/>
          <w:marBottom w:val="0"/>
          <w:divBdr>
            <w:top w:val="none" w:sz="0" w:space="0" w:color="auto"/>
            <w:left w:val="none" w:sz="0" w:space="0" w:color="auto"/>
            <w:bottom w:val="none" w:sz="0" w:space="0" w:color="auto"/>
            <w:right w:val="none" w:sz="0" w:space="0" w:color="auto"/>
          </w:divBdr>
          <w:divsChild>
            <w:div w:id="1313368069">
              <w:marLeft w:val="0"/>
              <w:marRight w:val="0"/>
              <w:marTop w:val="0"/>
              <w:marBottom w:val="0"/>
              <w:divBdr>
                <w:top w:val="none" w:sz="0" w:space="0" w:color="auto"/>
                <w:left w:val="none" w:sz="0" w:space="0" w:color="auto"/>
                <w:bottom w:val="none" w:sz="0" w:space="0" w:color="auto"/>
                <w:right w:val="none" w:sz="0" w:space="0" w:color="auto"/>
              </w:divBdr>
            </w:div>
          </w:divsChild>
        </w:div>
        <w:div w:id="1027173012">
          <w:marLeft w:val="0"/>
          <w:marRight w:val="0"/>
          <w:marTop w:val="0"/>
          <w:marBottom w:val="0"/>
          <w:divBdr>
            <w:top w:val="none" w:sz="0" w:space="0" w:color="auto"/>
            <w:left w:val="none" w:sz="0" w:space="0" w:color="auto"/>
            <w:bottom w:val="none" w:sz="0" w:space="0" w:color="auto"/>
            <w:right w:val="none" w:sz="0" w:space="0" w:color="auto"/>
          </w:divBdr>
          <w:divsChild>
            <w:div w:id="633369413">
              <w:marLeft w:val="0"/>
              <w:marRight w:val="0"/>
              <w:marTop w:val="0"/>
              <w:marBottom w:val="0"/>
              <w:divBdr>
                <w:top w:val="none" w:sz="0" w:space="0" w:color="auto"/>
                <w:left w:val="none" w:sz="0" w:space="0" w:color="auto"/>
                <w:bottom w:val="none" w:sz="0" w:space="0" w:color="auto"/>
                <w:right w:val="none" w:sz="0" w:space="0" w:color="auto"/>
              </w:divBdr>
              <w:divsChild>
                <w:div w:id="1369768118">
                  <w:marLeft w:val="0"/>
                  <w:marRight w:val="0"/>
                  <w:marTop w:val="0"/>
                  <w:marBottom w:val="0"/>
                  <w:divBdr>
                    <w:top w:val="none" w:sz="0" w:space="0" w:color="auto"/>
                    <w:left w:val="none" w:sz="0" w:space="0" w:color="auto"/>
                    <w:bottom w:val="none" w:sz="0" w:space="0" w:color="auto"/>
                    <w:right w:val="none" w:sz="0" w:space="0" w:color="auto"/>
                  </w:divBdr>
                  <w:divsChild>
                    <w:div w:id="185565038">
                      <w:marLeft w:val="0"/>
                      <w:marRight w:val="0"/>
                      <w:marTop w:val="0"/>
                      <w:marBottom w:val="0"/>
                      <w:divBdr>
                        <w:top w:val="none" w:sz="0" w:space="0" w:color="auto"/>
                        <w:left w:val="none" w:sz="0" w:space="0" w:color="auto"/>
                        <w:bottom w:val="none" w:sz="0" w:space="0" w:color="auto"/>
                        <w:right w:val="none" w:sz="0" w:space="0" w:color="auto"/>
                      </w:divBdr>
                    </w:div>
                    <w:div w:id="1878421949">
                      <w:marLeft w:val="0"/>
                      <w:marRight w:val="0"/>
                      <w:marTop w:val="120"/>
                      <w:marBottom w:val="0"/>
                      <w:divBdr>
                        <w:top w:val="none" w:sz="0" w:space="0" w:color="auto"/>
                        <w:left w:val="none" w:sz="0" w:space="0" w:color="auto"/>
                        <w:bottom w:val="none" w:sz="0" w:space="0" w:color="auto"/>
                        <w:right w:val="none" w:sz="0" w:space="0" w:color="auto"/>
                      </w:divBdr>
                    </w:div>
                  </w:divsChild>
                </w:div>
                <w:div w:id="2144997945">
                  <w:marLeft w:val="0"/>
                  <w:marRight w:val="0"/>
                  <w:marTop w:val="0"/>
                  <w:marBottom w:val="0"/>
                  <w:divBdr>
                    <w:top w:val="none" w:sz="0" w:space="0" w:color="auto"/>
                    <w:left w:val="none" w:sz="0" w:space="0" w:color="auto"/>
                    <w:bottom w:val="none" w:sz="0" w:space="0" w:color="auto"/>
                    <w:right w:val="none" w:sz="0" w:space="0" w:color="auto"/>
                  </w:divBdr>
                  <w:divsChild>
                    <w:div w:id="1263299765">
                      <w:marLeft w:val="0"/>
                      <w:marRight w:val="0"/>
                      <w:marTop w:val="0"/>
                      <w:marBottom w:val="0"/>
                      <w:divBdr>
                        <w:top w:val="none" w:sz="0" w:space="0" w:color="auto"/>
                        <w:left w:val="none" w:sz="0" w:space="0" w:color="auto"/>
                        <w:bottom w:val="none" w:sz="0" w:space="0" w:color="auto"/>
                        <w:right w:val="none" w:sz="0" w:space="0" w:color="auto"/>
                      </w:divBdr>
                    </w:div>
                    <w:div w:id="14017157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66032577">
          <w:marLeft w:val="0"/>
          <w:marRight w:val="0"/>
          <w:marTop w:val="0"/>
          <w:marBottom w:val="0"/>
          <w:divBdr>
            <w:top w:val="none" w:sz="0" w:space="0" w:color="auto"/>
            <w:left w:val="none" w:sz="0" w:space="0" w:color="auto"/>
            <w:bottom w:val="none" w:sz="0" w:space="0" w:color="auto"/>
            <w:right w:val="none" w:sz="0" w:space="0" w:color="auto"/>
          </w:divBdr>
          <w:divsChild>
            <w:div w:id="1290666566">
              <w:marLeft w:val="0"/>
              <w:marRight w:val="0"/>
              <w:marTop w:val="0"/>
              <w:marBottom w:val="0"/>
              <w:divBdr>
                <w:top w:val="none" w:sz="0" w:space="0" w:color="auto"/>
                <w:left w:val="none" w:sz="0" w:space="0" w:color="auto"/>
                <w:bottom w:val="none" w:sz="0" w:space="0" w:color="auto"/>
                <w:right w:val="none" w:sz="0" w:space="0" w:color="auto"/>
              </w:divBdr>
              <w:divsChild>
                <w:div w:id="14156500">
                  <w:marLeft w:val="0"/>
                  <w:marRight w:val="0"/>
                  <w:marTop w:val="0"/>
                  <w:marBottom w:val="0"/>
                  <w:divBdr>
                    <w:top w:val="none" w:sz="0" w:space="0" w:color="auto"/>
                    <w:left w:val="none" w:sz="0" w:space="0" w:color="auto"/>
                    <w:bottom w:val="none" w:sz="0" w:space="0" w:color="auto"/>
                    <w:right w:val="none" w:sz="0" w:space="0" w:color="auto"/>
                  </w:divBdr>
                  <w:divsChild>
                    <w:div w:id="87042144">
                      <w:marLeft w:val="0"/>
                      <w:marRight w:val="0"/>
                      <w:marTop w:val="0"/>
                      <w:marBottom w:val="0"/>
                      <w:divBdr>
                        <w:top w:val="none" w:sz="0" w:space="0" w:color="auto"/>
                        <w:left w:val="none" w:sz="0" w:space="0" w:color="auto"/>
                        <w:bottom w:val="none" w:sz="0" w:space="0" w:color="auto"/>
                        <w:right w:val="none" w:sz="0" w:space="0" w:color="auto"/>
                      </w:divBdr>
                    </w:div>
                    <w:div w:id="249051524">
                      <w:marLeft w:val="0"/>
                      <w:marRight w:val="0"/>
                      <w:marTop w:val="120"/>
                      <w:marBottom w:val="0"/>
                      <w:divBdr>
                        <w:top w:val="none" w:sz="0" w:space="0" w:color="auto"/>
                        <w:left w:val="none" w:sz="0" w:space="0" w:color="auto"/>
                        <w:bottom w:val="none" w:sz="0" w:space="0" w:color="auto"/>
                        <w:right w:val="none" w:sz="0" w:space="0" w:color="auto"/>
                      </w:divBdr>
                    </w:div>
                  </w:divsChild>
                </w:div>
                <w:div w:id="498890238">
                  <w:marLeft w:val="0"/>
                  <w:marRight w:val="0"/>
                  <w:marTop w:val="0"/>
                  <w:marBottom w:val="0"/>
                  <w:divBdr>
                    <w:top w:val="none" w:sz="0" w:space="0" w:color="auto"/>
                    <w:left w:val="none" w:sz="0" w:space="0" w:color="auto"/>
                    <w:bottom w:val="none" w:sz="0" w:space="0" w:color="auto"/>
                    <w:right w:val="none" w:sz="0" w:space="0" w:color="auto"/>
                  </w:divBdr>
                  <w:divsChild>
                    <w:div w:id="1998459852">
                      <w:marLeft w:val="0"/>
                      <w:marRight w:val="0"/>
                      <w:marTop w:val="120"/>
                      <w:marBottom w:val="0"/>
                      <w:divBdr>
                        <w:top w:val="none" w:sz="0" w:space="0" w:color="auto"/>
                        <w:left w:val="none" w:sz="0" w:space="0" w:color="auto"/>
                        <w:bottom w:val="none" w:sz="0" w:space="0" w:color="auto"/>
                        <w:right w:val="none" w:sz="0" w:space="0" w:color="auto"/>
                      </w:divBdr>
                    </w:div>
                    <w:div w:id="2122261390">
                      <w:marLeft w:val="0"/>
                      <w:marRight w:val="0"/>
                      <w:marTop w:val="0"/>
                      <w:marBottom w:val="0"/>
                      <w:divBdr>
                        <w:top w:val="none" w:sz="0" w:space="0" w:color="auto"/>
                        <w:left w:val="none" w:sz="0" w:space="0" w:color="auto"/>
                        <w:bottom w:val="none" w:sz="0" w:space="0" w:color="auto"/>
                        <w:right w:val="none" w:sz="0" w:space="0" w:color="auto"/>
                      </w:divBdr>
                    </w:div>
                  </w:divsChild>
                </w:div>
                <w:div w:id="975910244">
                  <w:marLeft w:val="0"/>
                  <w:marRight w:val="0"/>
                  <w:marTop w:val="0"/>
                  <w:marBottom w:val="0"/>
                  <w:divBdr>
                    <w:top w:val="none" w:sz="0" w:space="0" w:color="auto"/>
                    <w:left w:val="none" w:sz="0" w:space="0" w:color="auto"/>
                    <w:bottom w:val="none" w:sz="0" w:space="0" w:color="auto"/>
                    <w:right w:val="none" w:sz="0" w:space="0" w:color="auto"/>
                  </w:divBdr>
                  <w:divsChild>
                    <w:div w:id="560217621">
                      <w:marLeft w:val="0"/>
                      <w:marRight w:val="0"/>
                      <w:marTop w:val="120"/>
                      <w:marBottom w:val="0"/>
                      <w:divBdr>
                        <w:top w:val="none" w:sz="0" w:space="0" w:color="auto"/>
                        <w:left w:val="none" w:sz="0" w:space="0" w:color="auto"/>
                        <w:bottom w:val="none" w:sz="0" w:space="0" w:color="auto"/>
                        <w:right w:val="none" w:sz="0" w:space="0" w:color="auto"/>
                      </w:divBdr>
                    </w:div>
                    <w:div w:id="1360082816">
                      <w:marLeft w:val="0"/>
                      <w:marRight w:val="0"/>
                      <w:marTop w:val="0"/>
                      <w:marBottom w:val="0"/>
                      <w:divBdr>
                        <w:top w:val="none" w:sz="0" w:space="0" w:color="auto"/>
                        <w:left w:val="none" w:sz="0" w:space="0" w:color="auto"/>
                        <w:bottom w:val="none" w:sz="0" w:space="0" w:color="auto"/>
                        <w:right w:val="none" w:sz="0" w:space="0" w:color="auto"/>
                      </w:divBdr>
                    </w:div>
                  </w:divsChild>
                </w:div>
                <w:div w:id="1321928224">
                  <w:marLeft w:val="0"/>
                  <w:marRight w:val="0"/>
                  <w:marTop w:val="0"/>
                  <w:marBottom w:val="0"/>
                  <w:divBdr>
                    <w:top w:val="none" w:sz="0" w:space="0" w:color="auto"/>
                    <w:left w:val="none" w:sz="0" w:space="0" w:color="auto"/>
                    <w:bottom w:val="none" w:sz="0" w:space="0" w:color="auto"/>
                    <w:right w:val="none" w:sz="0" w:space="0" w:color="auto"/>
                  </w:divBdr>
                  <w:divsChild>
                    <w:div w:id="1114860410">
                      <w:marLeft w:val="0"/>
                      <w:marRight w:val="0"/>
                      <w:marTop w:val="120"/>
                      <w:marBottom w:val="0"/>
                      <w:divBdr>
                        <w:top w:val="none" w:sz="0" w:space="0" w:color="auto"/>
                        <w:left w:val="none" w:sz="0" w:space="0" w:color="auto"/>
                        <w:bottom w:val="none" w:sz="0" w:space="0" w:color="auto"/>
                        <w:right w:val="none" w:sz="0" w:space="0" w:color="auto"/>
                      </w:divBdr>
                    </w:div>
                    <w:div w:id="1632443096">
                      <w:marLeft w:val="0"/>
                      <w:marRight w:val="0"/>
                      <w:marTop w:val="0"/>
                      <w:marBottom w:val="0"/>
                      <w:divBdr>
                        <w:top w:val="none" w:sz="0" w:space="0" w:color="auto"/>
                        <w:left w:val="none" w:sz="0" w:space="0" w:color="auto"/>
                        <w:bottom w:val="none" w:sz="0" w:space="0" w:color="auto"/>
                        <w:right w:val="none" w:sz="0" w:space="0" w:color="auto"/>
                      </w:divBdr>
                    </w:div>
                  </w:divsChild>
                </w:div>
                <w:div w:id="1447965321">
                  <w:marLeft w:val="0"/>
                  <w:marRight w:val="0"/>
                  <w:marTop w:val="0"/>
                  <w:marBottom w:val="0"/>
                  <w:divBdr>
                    <w:top w:val="none" w:sz="0" w:space="0" w:color="auto"/>
                    <w:left w:val="none" w:sz="0" w:space="0" w:color="auto"/>
                    <w:bottom w:val="none" w:sz="0" w:space="0" w:color="auto"/>
                    <w:right w:val="none" w:sz="0" w:space="0" w:color="auto"/>
                  </w:divBdr>
                  <w:divsChild>
                    <w:div w:id="1469778800">
                      <w:marLeft w:val="0"/>
                      <w:marRight w:val="0"/>
                      <w:marTop w:val="0"/>
                      <w:marBottom w:val="0"/>
                      <w:divBdr>
                        <w:top w:val="none" w:sz="0" w:space="0" w:color="auto"/>
                        <w:left w:val="none" w:sz="0" w:space="0" w:color="auto"/>
                        <w:bottom w:val="none" w:sz="0" w:space="0" w:color="auto"/>
                        <w:right w:val="none" w:sz="0" w:space="0" w:color="auto"/>
                      </w:divBdr>
                    </w:div>
                    <w:div w:id="15865266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72186280">
          <w:marLeft w:val="0"/>
          <w:marRight w:val="0"/>
          <w:marTop w:val="0"/>
          <w:marBottom w:val="0"/>
          <w:divBdr>
            <w:top w:val="none" w:sz="0" w:space="0" w:color="auto"/>
            <w:left w:val="none" w:sz="0" w:space="0" w:color="auto"/>
            <w:bottom w:val="none" w:sz="0" w:space="0" w:color="auto"/>
            <w:right w:val="none" w:sz="0" w:space="0" w:color="auto"/>
          </w:divBdr>
          <w:divsChild>
            <w:div w:id="708187839">
              <w:marLeft w:val="0"/>
              <w:marRight w:val="0"/>
              <w:marTop w:val="120"/>
              <w:marBottom w:val="0"/>
              <w:divBdr>
                <w:top w:val="none" w:sz="0" w:space="0" w:color="auto"/>
                <w:left w:val="none" w:sz="0" w:space="0" w:color="auto"/>
                <w:bottom w:val="none" w:sz="0" w:space="0" w:color="auto"/>
                <w:right w:val="none" w:sz="0" w:space="0" w:color="auto"/>
              </w:divBdr>
            </w:div>
            <w:div w:id="829102834">
              <w:marLeft w:val="0"/>
              <w:marRight w:val="0"/>
              <w:marTop w:val="0"/>
              <w:marBottom w:val="0"/>
              <w:divBdr>
                <w:top w:val="none" w:sz="0" w:space="0" w:color="auto"/>
                <w:left w:val="none" w:sz="0" w:space="0" w:color="auto"/>
                <w:bottom w:val="none" w:sz="0" w:space="0" w:color="auto"/>
                <w:right w:val="none" w:sz="0" w:space="0" w:color="auto"/>
              </w:divBdr>
            </w:div>
          </w:divsChild>
        </w:div>
        <w:div w:id="1349138901">
          <w:marLeft w:val="0"/>
          <w:marRight w:val="0"/>
          <w:marTop w:val="0"/>
          <w:marBottom w:val="0"/>
          <w:divBdr>
            <w:top w:val="none" w:sz="0" w:space="0" w:color="auto"/>
            <w:left w:val="none" w:sz="0" w:space="0" w:color="auto"/>
            <w:bottom w:val="none" w:sz="0" w:space="0" w:color="auto"/>
            <w:right w:val="none" w:sz="0" w:space="0" w:color="auto"/>
          </w:divBdr>
          <w:divsChild>
            <w:div w:id="1060517790">
              <w:marLeft w:val="0"/>
              <w:marRight w:val="0"/>
              <w:marTop w:val="0"/>
              <w:marBottom w:val="0"/>
              <w:divBdr>
                <w:top w:val="none" w:sz="0" w:space="0" w:color="auto"/>
                <w:left w:val="none" w:sz="0" w:space="0" w:color="auto"/>
                <w:bottom w:val="none" w:sz="0" w:space="0" w:color="auto"/>
                <w:right w:val="none" w:sz="0" w:space="0" w:color="auto"/>
              </w:divBdr>
              <w:divsChild>
                <w:div w:id="21786246">
                  <w:marLeft w:val="0"/>
                  <w:marRight w:val="0"/>
                  <w:marTop w:val="0"/>
                  <w:marBottom w:val="0"/>
                  <w:divBdr>
                    <w:top w:val="none" w:sz="0" w:space="0" w:color="auto"/>
                    <w:left w:val="none" w:sz="0" w:space="0" w:color="auto"/>
                    <w:bottom w:val="none" w:sz="0" w:space="0" w:color="auto"/>
                    <w:right w:val="none" w:sz="0" w:space="0" w:color="auto"/>
                  </w:divBdr>
                  <w:divsChild>
                    <w:div w:id="1107189980">
                      <w:marLeft w:val="0"/>
                      <w:marRight w:val="0"/>
                      <w:marTop w:val="0"/>
                      <w:marBottom w:val="0"/>
                      <w:divBdr>
                        <w:top w:val="none" w:sz="0" w:space="0" w:color="auto"/>
                        <w:left w:val="none" w:sz="0" w:space="0" w:color="auto"/>
                        <w:bottom w:val="none" w:sz="0" w:space="0" w:color="auto"/>
                        <w:right w:val="none" w:sz="0" w:space="0" w:color="auto"/>
                      </w:divBdr>
                    </w:div>
                    <w:div w:id="1517771310">
                      <w:marLeft w:val="0"/>
                      <w:marRight w:val="0"/>
                      <w:marTop w:val="120"/>
                      <w:marBottom w:val="0"/>
                      <w:divBdr>
                        <w:top w:val="none" w:sz="0" w:space="0" w:color="auto"/>
                        <w:left w:val="none" w:sz="0" w:space="0" w:color="auto"/>
                        <w:bottom w:val="none" w:sz="0" w:space="0" w:color="auto"/>
                        <w:right w:val="none" w:sz="0" w:space="0" w:color="auto"/>
                      </w:divBdr>
                    </w:div>
                  </w:divsChild>
                </w:div>
                <w:div w:id="969895962">
                  <w:marLeft w:val="0"/>
                  <w:marRight w:val="0"/>
                  <w:marTop w:val="0"/>
                  <w:marBottom w:val="0"/>
                  <w:divBdr>
                    <w:top w:val="none" w:sz="0" w:space="0" w:color="auto"/>
                    <w:left w:val="none" w:sz="0" w:space="0" w:color="auto"/>
                    <w:bottom w:val="none" w:sz="0" w:space="0" w:color="auto"/>
                    <w:right w:val="none" w:sz="0" w:space="0" w:color="auto"/>
                  </w:divBdr>
                  <w:divsChild>
                    <w:div w:id="728962756">
                      <w:marLeft w:val="0"/>
                      <w:marRight w:val="0"/>
                      <w:marTop w:val="120"/>
                      <w:marBottom w:val="0"/>
                      <w:divBdr>
                        <w:top w:val="none" w:sz="0" w:space="0" w:color="auto"/>
                        <w:left w:val="none" w:sz="0" w:space="0" w:color="auto"/>
                        <w:bottom w:val="none" w:sz="0" w:space="0" w:color="auto"/>
                        <w:right w:val="none" w:sz="0" w:space="0" w:color="auto"/>
                      </w:divBdr>
                    </w:div>
                    <w:div w:id="2057469258">
                      <w:marLeft w:val="0"/>
                      <w:marRight w:val="0"/>
                      <w:marTop w:val="0"/>
                      <w:marBottom w:val="0"/>
                      <w:divBdr>
                        <w:top w:val="none" w:sz="0" w:space="0" w:color="auto"/>
                        <w:left w:val="none" w:sz="0" w:space="0" w:color="auto"/>
                        <w:bottom w:val="none" w:sz="0" w:space="0" w:color="auto"/>
                        <w:right w:val="none" w:sz="0" w:space="0" w:color="auto"/>
                      </w:divBdr>
                    </w:div>
                  </w:divsChild>
                </w:div>
                <w:div w:id="1046681040">
                  <w:marLeft w:val="0"/>
                  <w:marRight w:val="0"/>
                  <w:marTop w:val="0"/>
                  <w:marBottom w:val="0"/>
                  <w:divBdr>
                    <w:top w:val="none" w:sz="0" w:space="0" w:color="auto"/>
                    <w:left w:val="none" w:sz="0" w:space="0" w:color="auto"/>
                    <w:bottom w:val="none" w:sz="0" w:space="0" w:color="auto"/>
                    <w:right w:val="none" w:sz="0" w:space="0" w:color="auto"/>
                  </w:divBdr>
                  <w:divsChild>
                    <w:div w:id="973486886">
                      <w:marLeft w:val="0"/>
                      <w:marRight w:val="0"/>
                      <w:marTop w:val="0"/>
                      <w:marBottom w:val="0"/>
                      <w:divBdr>
                        <w:top w:val="none" w:sz="0" w:space="0" w:color="auto"/>
                        <w:left w:val="none" w:sz="0" w:space="0" w:color="auto"/>
                        <w:bottom w:val="none" w:sz="0" w:space="0" w:color="auto"/>
                        <w:right w:val="none" w:sz="0" w:space="0" w:color="auto"/>
                      </w:divBdr>
                    </w:div>
                    <w:div w:id="10633352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06358614">
          <w:marLeft w:val="0"/>
          <w:marRight w:val="0"/>
          <w:marTop w:val="0"/>
          <w:marBottom w:val="0"/>
          <w:divBdr>
            <w:top w:val="none" w:sz="0" w:space="0" w:color="auto"/>
            <w:left w:val="none" w:sz="0" w:space="0" w:color="auto"/>
            <w:bottom w:val="none" w:sz="0" w:space="0" w:color="auto"/>
            <w:right w:val="none" w:sz="0" w:space="0" w:color="auto"/>
          </w:divBdr>
          <w:divsChild>
            <w:div w:id="197133615">
              <w:marLeft w:val="0"/>
              <w:marRight w:val="0"/>
              <w:marTop w:val="0"/>
              <w:marBottom w:val="0"/>
              <w:divBdr>
                <w:top w:val="none" w:sz="0" w:space="0" w:color="auto"/>
                <w:left w:val="none" w:sz="0" w:space="0" w:color="auto"/>
                <w:bottom w:val="none" w:sz="0" w:space="0" w:color="auto"/>
                <w:right w:val="none" w:sz="0" w:space="0" w:color="auto"/>
              </w:divBdr>
            </w:div>
            <w:div w:id="15145377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7343800">
      <w:bodyDiv w:val="1"/>
      <w:marLeft w:val="0"/>
      <w:marRight w:val="0"/>
      <w:marTop w:val="0"/>
      <w:marBottom w:val="0"/>
      <w:divBdr>
        <w:top w:val="none" w:sz="0" w:space="0" w:color="auto"/>
        <w:left w:val="none" w:sz="0" w:space="0" w:color="auto"/>
        <w:bottom w:val="none" w:sz="0" w:space="0" w:color="auto"/>
        <w:right w:val="none" w:sz="0" w:space="0" w:color="auto"/>
      </w:divBdr>
      <w:divsChild>
        <w:div w:id="34812581">
          <w:marLeft w:val="0"/>
          <w:marRight w:val="0"/>
          <w:marTop w:val="0"/>
          <w:marBottom w:val="0"/>
          <w:divBdr>
            <w:top w:val="none" w:sz="0" w:space="0" w:color="auto"/>
            <w:left w:val="none" w:sz="0" w:space="0" w:color="auto"/>
            <w:bottom w:val="none" w:sz="0" w:space="0" w:color="auto"/>
            <w:right w:val="none" w:sz="0" w:space="0" w:color="auto"/>
          </w:divBdr>
          <w:divsChild>
            <w:div w:id="1181044932">
              <w:marLeft w:val="0"/>
              <w:marRight w:val="0"/>
              <w:marTop w:val="0"/>
              <w:marBottom w:val="0"/>
              <w:divBdr>
                <w:top w:val="none" w:sz="0" w:space="0" w:color="auto"/>
                <w:left w:val="none" w:sz="0" w:space="0" w:color="auto"/>
                <w:bottom w:val="none" w:sz="0" w:space="0" w:color="auto"/>
                <w:right w:val="none" w:sz="0" w:space="0" w:color="auto"/>
              </w:divBdr>
            </w:div>
          </w:divsChild>
        </w:div>
        <w:div w:id="133762621">
          <w:marLeft w:val="0"/>
          <w:marRight w:val="0"/>
          <w:marTop w:val="0"/>
          <w:marBottom w:val="0"/>
          <w:divBdr>
            <w:top w:val="none" w:sz="0" w:space="0" w:color="auto"/>
            <w:left w:val="none" w:sz="0" w:space="0" w:color="auto"/>
            <w:bottom w:val="none" w:sz="0" w:space="0" w:color="auto"/>
            <w:right w:val="none" w:sz="0" w:space="0" w:color="auto"/>
          </w:divBdr>
          <w:divsChild>
            <w:div w:id="276521921">
              <w:marLeft w:val="0"/>
              <w:marRight w:val="0"/>
              <w:marTop w:val="0"/>
              <w:marBottom w:val="0"/>
              <w:divBdr>
                <w:top w:val="none" w:sz="0" w:space="0" w:color="auto"/>
                <w:left w:val="none" w:sz="0" w:space="0" w:color="auto"/>
                <w:bottom w:val="none" w:sz="0" w:space="0" w:color="auto"/>
                <w:right w:val="none" w:sz="0" w:space="0" w:color="auto"/>
              </w:divBdr>
              <w:divsChild>
                <w:div w:id="37516372">
                  <w:marLeft w:val="0"/>
                  <w:marRight w:val="0"/>
                  <w:marTop w:val="0"/>
                  <w:marBottom w:val="0"/>
                  <w:divBdr>
                    <w:top w:val="none" w:sz="0" w:space="0" w:color="auto"/>
                    <w:left w:val="none" w:sz="0" w:space="0" w:color="auto"/>
                    <w:bottom w:val="none" w:sz="0" w:space="0" w:color="auto"/>
                    <w:right w:val="none" w:sz="0" w:space="0" w:color="auto"/>
                  </w:divBdr>
                  <w:divsChild>
                    <w:div w:id="1465275128">
                      <w:marLeft w:val="0"/>
                      <w:marRight w:val="0"/>
                      <w:marTop w:val="0"/>
                      <w:marBottom w:val="0"/>
                      <w:divBdr>
                        <w:top w:val="none" w:sz="0" w:space="0" w:color="auto"/>
                        <w:left w:val="none" w:sz="0" w:space="0" w:color="auto"/>
                        <w:bottom w:val="none" w:sz="0" w:space="0" w:color="auto"/>
                        <w:right w:val="none" w:sz="0" w:space="0" w:color="auto"/>
                      </w:divBdr>
                    </w:div>
                    <w:div w:id="1761677709">
                      <w:marLeft w:val="0"/>
                      <w:marRight w:val="0"/>
                      <w:marTop w:val="120"/>
                      <w:marBottom w:val="0"/>
                      <w:divBdr>
                        <w:top w:val="none" w:sz="0" w:space="0" w:color="auto"/>
                        <w:left w:val="none" w:sz="0" w:space="0" w:color="auto"/>
                        <w:bottom w:val="none" w:sz="0" w:space="0" w:color="auto"/>
                        <w:right w:val="none" w:sz="0" w:space="0" w:color="auto"/>
                      </w:divBdr>
                    </w:div>
                  </w:divsChild>
                </w:div>
                <w:div w:id="82263042">
                  <w:marLeft w:val="0"/>
                  <w:marRight w:val="0"/>
                  <w:marTop w:val="0"/>
                  <w:marBottom w:val="0"/>
                  <w:divBdr>
                    <w:top w:val="none" w:sz="0" w:space="0" w:color="auto"/>
                    <w:left w:val="none" w:sz="0" w:space="0" w:color="auto"/>
                    <w:bottom w:val="none" w:sz="0" w:space="0" w:color="auto"/>
                    <w:right w:val="none" w:sz="0" w:space="0" w:color="auto"/>
                  </w:divBdr>
                  <w:divsChild>
                    <w:div w:id="86314045">
                      <w:marLeft w:val="0"/>
                      <w:marRight w:val="0"/>
                      <w:marTop w:val="120"/>
                      <w:marBottom w:val="0"/>
                      <w:divBdr>
                        <w:top w:val="none" w:sz="0" w:space="0" w:color="auto"/>
                        <w:left w:val="none" w:sz="0" w:space="0" w:color="auto"/>
                        <w:bottom w:val="none" w:sz="0" w:space="0" w:color="auto"/>
                        <w:right w:val="none" w:sz="0" w:space="0" w:color="auto"/>
                      </w:divBdr>
                    </w:div>
                    <w:div w:id="1326207309">
                      <w:marLeft w:val="0"/>
                      <w:marRight w:val="0"/>
                      <w:marTop w:val="0"/>
                      <w:marBottom w:val="0"/>
                      <w:divBdr>
                        <w:top w:val="none" w:sz="0" w:space="0" w:color="auto"/>
                        <w:left w:val="none" w:sz="0" w:space="0" w:color="auto"/>
                        <w:bottom w:val="none" w:sz="0" w:space="0" w:color="auto"/>
                        <w:right w:val="none" w:sz="0" w:space="0" w:color="auto"/>
                      </w:divBdr>
                      <w:divsChild>
                        <w:div w:id="1020736341">
                          <w:marLeft w:val="0"/>
                          <w:marRight w:val="0"/>
                          <w:marTop w:val="0"/>
                          <w:marBottom w:val="0"/>
                          <w:divBdr>
                            <w:top w:val="none" w:sz="0" w:space="0" w:color="auto"/>
                            <w:left w:val="none" w:sz="0" w:space="0" w:color="auto"/>
                            <w:bottom w:val="none" w:sz="0" w:space="0" w:color="auto"/>
                            <w:right w:val="none" w:sz="0" w:space="0" w:color="auto"/>
                          </w:divBdr>
                          <w:divsChild>
                            <w:div w:id="122191495">
                              <w:marLeft w:val="0"/>
                              <w:marRight w:val="0"/>
                              <w:marTop w:val="120"/>
                              <w:marBottom w:val="0"/>
                              <w:divBdr>
                                <w:top w:val="none" w:sz="0" w:space="0" w:color="auto"/>
                                <w:left w:val="none" w:sz="0" w:space="0" w:color="auto"/>
                                <w:bottom w:val="none" w:sz="0" w:space="0" w:color="auto"/>
                                <w:right w:val="none" w:sz="0" w:space="0" w:color="auto"/>
                              </w:divBdr>
                            </w:div>
                            <w:div w:id="951789322">
                              <w:marLeft w:val="0"/>
                              <w:marRight w:val="0"/>
                              <w:marTop w:val="0"/>
                              <w:marBottom w:val="0"/>
                              <w:divBdr>
                                <w:top w:val="none" w:sz="0" w:space="0" w:color="auto"/>
                                <w:left w:val="none" w:sz="0" w:space="0" w:color="auto"/>
                                <w:bottom w:val="none" w:sz="0" w:space="0" w:color="auto"/>
                                <w:right w:val="none" w:sz="0" w:space="0" w:color="auto"/>
                              </w:divBdr>
                            </w:div>
                          </w:divsChild>
                        </w:div>
                        <w:div w:id="1483699148">
                          <w:marLeft w:val="0"/>
                          <w:marRight w:val="0"/>
                          <w:marTop w:val="0"/>
                          <w:marBottom w:val="0"/>
                          <w:divBdr>
                            <w:top w:val="none" w:sz="0" w:space="0" w:color="auto"/>
                            <w:left w:val="none" w:sz="0" w:space="0" w:color="auto"/>
                            <w:bottom w:val="none" w:sz="0" w:space="0" w:color="auto"/>
                            <w:right w:val="none" w:sz="0" w:space="0" w:color="auto"/>
                          </w:divBdr>
                          <w:divsChild>
                            <w:div w:id="27722901">
                              <w:marLeft w:val="0"/>
                              <w:marRight w:val="0"/>
                              <w:marTop w:val="0"/>
                              <w:marBottom w:val="0"/>
                              <w:divBdr>
                                <w:top w:val="none" w:sz="0" w:space="0" w:color="auto"/>
                                <w:left w:val="none" w:sz="0" w:space="0" w:color="auto"/>
                                <w:bottom w:val="none" w:sz="0" w:space="0" w:color="auto"/>
                                <w:right w:val="none" w:sz="0" w:space="0" w:color="auto"/>
                              </w:divBdr>
                            </w:div>
                            <w:div w:id="1581989032">
                              <w:marLeft w:val="0"/>
                              <w:marRight w:val="0"/>
                              <w:marTop w:val="120"/>
                              <w:marBottom w:val="0"/>
                              <w:divBdr>
                                <w:top w:val="none" w:sz="0" w:space="0" w:color="auto"/>
                                <w:left w:val="none" w:sz="0" w:space="0" w:color="auto"/>
                                <w:bottom w:val="none" w:sz="0" w:space="0" w:color="auto"/>
                                <w:right w:val="none" w:sz="0" w:space="0" w:color="auto"/>
                              </w:divBdr>
                            </w:div>
                          </w:divsChild>
                        </w:div>
                        <w:div w:id="2087148159">
                          <w:marLeft w:val="0"/>
                          <w:marRight w:val="0"/>
                          <w:marTop w:val="0"/>
                          <w:marBottom w:val="0"/>
                          <w:divBdr>
                            <w:top w:val="none" w:sz="0" w:space="0" w:color="auto"/>
                            <w:left w:val="none" w:sz="0" w:space="0" w:color="auto"/>
                            <w:bottom w:val="none" w:sz="0" w:space="0" w:color="auto"/>
                            <w:right w:val="none" w:sz="0" w:space="0" w:color="auto"/>
                          </w:divBdr>
                          <w:divsChild>
                            <w:div w:id="805120903">
                              <w:marLeft w:val="0"/>
                              <w:marRight w:val="0"/>
                              <w:marTop w:val="0"/>
                              <w:marBottom w:val="0"/>
                              <w:divBdr>
                                <w:top w:val="none" w:sz="0" w:space="0" w:color="auto"/>
                                <w:left w:val="none" w:sz="0" w:space="0" w:color="auto"/>
                                <w:bottom w:val="none" w:sz="0" w:space="0" w:color="auto"/>
                                <w:right w:val="none" w:sz="0" w:space="0" w:color="auto"/>
                              </w:divBdr>
                            </w:div>
                            <w:div w:id="19085686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160177">
                  <w:marLeft w:val="0"/>
                  <w:marRight w:val="0"/>
                  <w:marTop w:val="0"/>
                  <w:marBottom w:val="0"/>
                  <w:divBdr>
                    <w:top w:val="none" w:sz="0" w:space="0" w:color="auto"/>
                    <w:left w:val="none" w:sz="0" w:space="0" w:color="auto"/>
                    <w:bottom w:val="none" w:sz="0" w:space="0" w:color="auto"/>
                    <w:right w:val="none" w:sz="0" w:space="0" w:color="auto"/>
                  </w:divBdr>
                  <w:divsChild>
                    <w:div w:id="278269669">
                      <w:marLeft w:val="0"/>
                      <w:marRight w:val="0"/>
                      <w:marTop w:val="0"/>
                      <w:marBottom w:val="0"/>
                      <w:divBdr>
                        <w:top w:val="none" w:sz="0" w:space="0" w:color="auto"/>
                        <w:left w:val="none" w:sz="0" w:space="0" w:color="auto"/>
                        <w:bottom w:val="none" w:sz="0" w:space="0" w:color="auto"/>
                        <w:right w:val="none" w:sz="0" w:space="0" w:color="auto"/>
                      </w:divBdr>
                      <w:divsChild>
                        <w:div w:id="897668349">
                          <w:marLeft w:val="0"/>
                          <w:marRight w:val="0"/>
                          <w:marTop w:val="0"/>
                          <w:marBottom w:val="0"/>
                          <w:divBdr>
                            <w:top w:val="none" w:sz="0" w:space="0" w:color="auto"/>
                            <w:left w:val="none" w:sz="0" w:space="0" w:color="auto"/>
                            <w:bottom w:val="none" w:sz="0" w:space="0" w:color="auto"/>
                            <w:right w:val="none" w:sz="0" w:space="0" w:color="auto"/>
                          </w:divBdr>
                          <w:divsChild>
                            <w:div w:id="1692947944">
                              <w:marLeft w:val="0"/>
                              <w:marRight w:val="0"/>
                              <w:marTop w:val="0"/>
                              <w:marBottom w:val="0"/>
                              <w:divBdr>
                                <w:top w:val="none" w:sz="0" w:space="0" w:color="auto"/>
                                <w:left w:val="none" w:sz="0" w:space="0" w:color="auto"/>
                                <w:bottom w:val="none" w:sz="0" w:space="0" w:color="auto"/>
                                <w:right w:val="none" w:sz="0" w:space="0" w:color="auto"/>
                              </w:divBdr>
                            </w:div>
                            <w:div w:id="2033728262">
                              <w:marLeft w:val="0"/>
                              <w:marRight w:val="0"/>
                              <w:marTop w:val="120"/>
                              <w:marBottom w:val="0"/>
                              <w:divBdr>
                                <w:top w:val="none" w:sz="0" w:space="0" w:color="auto"/>
                                <w:left w:val="none" w:sz="0" w:space="0" w:color="auto"/>
                                <w:bottom w:val="none" w:sz="0" w:space="0" w:color="auto"/>
                                <w:right w:val="none" w:sz="0" w:space="0" w:color="auto"/>
                              </w:divBdr>
                            </w:div>
                          </w:divsChild>
                        </w:div>
                        <w:div w:id="1069574627">
                          <w:marLeft w:val="0"/>
                          <w:marRight w:val="0"/>
                          <w:marTop w:val="0"/>
                          <w:marBottom w:val="0"/>
                          <w:divBdr>
                            <w:top w:val="none" w:sz="0" w:space="0" w:color="auto"/>
                            <w:left w:val="none" w:sz="0" w:space="0" w:color="auto"/>
                            <w:bottom w:val="none" w:sz="0" w:space="0" w:color="auto"/>
                            <w:right w:val="none" w:sz="0" w:space="0" w:color="auto"/>
                          </w:divBdr>
                          <w:divsChild>
                            <w:div w:id="1340961031">
                              <w:marLeft w:val="0"/>
                              <w:marRight w:val="0"/>
                              <w:marTop w:val="0"/>
                              <w:marBottom w:val="0"/>
                              <w:divBdr>
                                <w:top w:val="none" w:sz="0" w:space="0" w:color="auto"/>
                                <w:left w:val="none" w:sz="0" w:space="0" w:color="auto"/>
                                <w:bottom w:val="none" w:sz="0" w:space="0" w:color="auto"/>
                                <w:right w:val="none" w:sz="0" w:space="0" w:color="auto"/>
                              </w:divBdr>
                            </w:div>
                            <w:div w:id="1532378772">
                              <w:marLeft w:val="0"/>
                              <w:marRight w:val="0"/>
                              <w:marTop w:val="120"/>
                              <w:marBottom w:val="0"/>
                              <w:divBdr>
                                <w:top w:val="none" w:sz="0" w:space="0" w:color="auto"/>
                                <w:left w:val="none" w:sz="0" w:space="0" w:color="auto"/>
                                <w:bottom w:val="none" w:sz="0" w:space="0" w:color="auto"/>
                                <w:right w:val="none" w:sz="0" w:space="0" w:color="auto"/>
                              </w:divBdr>
                            </w:div>
                          </w:divsChild>
                        </w:div>
                        <w:div w:id="1615089853">
                          <w:marLeft w:val="0"/>
                          <w:marRight w:val="0"/>
                          <w:marTop w:val="0"/>
                          <w:marBottom w:val="0"/>
                          <w:divBdr>
                            <w:top w:val="none" w:sz="0" w:space="0" w:color="auto"/>
                            <w:left w:val="none" w:sz="0" w:space="0" w:color="auto"/>
                            <w:bottom w:val="none" w:sz="0" w:space="0" w:color="auto"/>
                            <w:right w:val="none" w:sz="0" w:space="0" w:color="auto"/>
                          </w:divBdr>
                          <w:divsChild>
                            <w:div w:id="943539621">
                              <w:marLeft w:val="0"/>
                              <w:marRight w:val="0"/>
                              <w:marTop w:val="0"/>
                              <w:marBottom w:val="0"/>
                              <w:divBdr>
                                <w:top w:val="none" w:sz="0" w:space="0" w:color="auto"/>
                                <w:left w:val="none" w:sz="0" w:space="0" w:color="auto"/>
                                <w:bottom w:val="none" w:sz="0" w:space="0" w:color="auto"/>
                                <w:right w:val="none" w:sz="0" w:space="0" w:color="auto"/>
                              </w:divBdr>
                            </w:div>
                            <w:div w:id="14435697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5832182">
                      <w:marLeft w:val="0"/>
                      <w:marRight w:val="0"/>
                      <w:marTop w:val="120"/>
                      <w:marBottom w:val="0"/>
                      <w:divBdr>
                        <w:top w:val="none" w:sz="0" w:space="0" w:color="auto"/>
                        <w:left w:val="none" w:sz="0" w:space="0" w:color="auto"/>
                        <w:bottom w:val="none" w:sz="0" w:space="0" w:color="auto"/>
                        <w:right w:val="none" w:sz="0" w:space="0" w:color="auto"/>
                      </w:divBdr>
                    </w:div>
                  </w:divsChild>
                </w:div>
                <w:div w:id="198324331">
                  <w:marLeft w:val="0"/>
                  <w:marRight w:val="0"/>
                  <w:marTop w:val="0"/>
                  <w:marBottom w:val="0"/>
                  <w:divBdr>
                    <w:top w:val="none" w:sz="0" w:space="0" w:color="auto"/>
                    <w:left w:val="none" w:sz="0" w:space="0" w:color="auto"/>
                    <w:bottom w:val="none" w:sz="0" w:space="0" w:color="auto"/>
                    <w:right w:val="none" w:sz="0" w:space="0" w:color="auto"/>
                  </w:divBdr>
                  <w:divsChild>
                    <w:div w:id="211697582">
                      <w:marLeft w:val="0"/>
                      <w:marRight w:val="0"/>
                      <w:marTop w:val="0"/>
                      <w:marBottom w:val="0"/>
                      <w:divBdr>
                        <w:top w:val="none" w:sz="0" w:space="0" w:color="auto"/>
                        <w:left w:val="none" w:sz="0" w:space="0" w:color="auto"/>
                        <w:bottom w:val="none" w:sz="0" w:space="0" w:color="auto"/>
                        <w:right w:val="none" w:sz="0" w:space="0" w:color="auto"/>
                      </w:divBdr>
                    </w:div>
                    <w:div w:id="1543176906">
                      <w:marLeft w:val="0"/>
                      <w:marRight w:val="0"/>
                      <w:marTop w:val="120"/>
                      <w:marBottom w:val="0"/>
                      <w:divBdr>
                        <w:top w:val="none" w:sz="0" w:space="0" w:color="auto"/>
                        <w:left w:val="none" w:sz="0" w:space="0" w:color="auto"/>
                        <w:bottom w:val="none" w:sz="0" w:space="0" w:color="auto"/>
                        <w:right w:val="none" w:sz="0" w:space="0" w:color="auto"/>
                      </w:divBdr>
                    </w:div>
                  </w:divsChild>
                </w:div>
                <w:div w:id="370305053">
                  <w:marLeft w:val="0"/>
                  <w:marRight w:val="0"/>
                  <w:marTop w:val="0"/>
                  <w:marBottom w:val="0"/>
                  <w:divBdr>
                    <w:top w:val="none" w:sz="0" w:space="0" w:color="auto"/>
                    <w:left w:val="none" w:sz="0" w:space="0" w:color="auto"/>
                    <w:bottom w:val="none" w:sz="0" w:space="0" w:color="auto"/>
                    <w:right w:val="none" w:sz="0" w:space="0" w:color="auto"/>
                  </w:divBdr>
                  <w:divsChild>
                    <w:div w:id="581990518">
                      <w:marLeft w:val="0"/>
                      <w:marRight w:val="0"/>
                      <w:marTop w:val="120"/>
                      <w:marBottom w:val="0"/>
                      <w:divBdr>
                        <w:top w:val="none" w:sz="0" w:space="0" w:color="auto"/>
                        <w:left w:val="none" w:sz="0" w:space="0" w:color="auto"/>
                        <w:bottom w:val="none" w:sz="0" w:space="0" w:color="auto"/>
                        <w:right w:val="none" w:sz="0" w:space="0" w:color="auto"/>
                      </w:divBdr>
                    </w:div>
                    <w:div w:id="1640454541">
                      <w:marLeft w:val="0"/>
                      <w:marRight w:val="0"/>
                      <w:marTop w:val="0"/>
                      <w:marBottom w:val="0"/>
                      <w:divBdr>
                        <w:top w:val="none" w:sz="0" w:space="0" w:color="auto"/>
                        <w:left w:val="none" w:sz="0" w:space="0" w:color="auto"/>
                        <w:bottom w:val="none" w:sz="0" w:space="0" w:color="auto"/>
                        <w:right w:val="none" w:sz="0" w:space="0" w:color="auto"/>
                      </w:divBdr>
                    </w:div>
                  </w:divsChild>
                </w:div>
                <w:div w:id="531647542">
                  <w:marLeft w:val="0"/>
                  <w:marRight w:val="0"/>
                  <w:marTop w:val="0"/>
                  <w:marBottom w:val="0"/>
                  <w:divBdr>
                    <w:top w:val="none" w:sz="0" w:space="0" w:color="auto"/>
                    <w:left w:val="none" w:sz="0" w:space="0" w:color="auto"/>
                    <w:bottom w:val="none" w:sz="0" w:space="0" w:color="auto"/>
                    <w:right w:val="none" w:sz="0" w:space="0" w:color="auto"/>
                  </w:divBdr>
                  <w:divsChild>
                    <w:div w:id="303898937">
                      <w:marLeft w:val="0"/>
                      <w:marRight w:val="0"/>
                      <w:marTop w:val="0"/>
                      <w:marBottom w:val="0"/>
                      <w:divBdr>
                        <w:top w:val="none" w:sz="0" w:space="0" w:color="auto"/>
                        <w:left w:val="none" w:sz="0" w:space="0" w:color="auto"/>
                        <w:bottom w:val="none" w:sz="0" w:space="0" w:color="auto"/>
                        <w:right w:val="none" w:sz="0" w:space="0" w:color="auto"/>
                      </w:divBdr>
                    </w:div>
                    <w:div w:id="2105224973">
                      <w:marLeft w:val="0"/>
                      <w:marRight w:val="0"/>
                      <w:marTop w:val="120"/>
                      <w:marBottom w:val="0"/>
                      <w:divBdr>
                        <w:top w:val="none" w:sz="0" w:space="0" w:color="auto"/>
                        <w:left w:val="none" w:sz="0" w:space="0" w:color="auto"/>
                        <w:bottom w:val="none" w:sz="0" w:space="0" w:color="auto"/>
                        <w:right w:val="none" w:sz="0" w:space="0" w:color="auto"/>
                      </w:divBdr>
                    </w:div>
                  </w:divsChild>
                </w:div>
                <w:div w:id="556208746">
                  <w:marLeft w:val="0"/>
                  <w:marRight w:val="0"/>
                  <w:marTop w:val="0"/>
                  <w:marBottom w:val="0"/>
                  <w:divBdr>
                    <w:top w:val="none" w:sz="0" w:space="0" w:color="auto"/>
                    <w:left w:val="none" w:sz="0" w:space="0" w:color="auto"/>
                    <w:bottom w:val="none" w:sz="0" w:space="0" w:color="auto"/>
                    <w:right w:val="none" w:sz="0" w:space="0" w:color="auto"/>
                  </w:divBdr>
                  <w:divsChild>
                    <w:div w:id="507017482">
                      <w:marLeft w:val="0"/>
                      <w:marRight w:val="0"/>
                      <w:marTop w:val="120"/>
                      <w:marBottom w:val="0"/>
                      <w:divBdr>
                        <w:top w:val="none" w:sz="0" w:space="0" w:color="auto"/>
                        <w:left w:val="none" w:sz="0" w:space="0" w:color="auto"/>
                        <w:bottom w:val="none" w:sz="0" w:space="0" w:color="auto"/>
                        <w:right w:val="none" w:sz="0" w:space="0" w:color="auto"/>
                      </w:divBdr>
                    </w:div>
                    <w:div w:id="689332658">
                      <w:marLeft w:val="0"/>
                      <w:marRight w:val="0"/>
                      <w:marTop w:val="0"/>
                      <w:marBottom w:val="0"/>
                      <w:divBdr>
                        <w:top w:val="none" w:sz="0" w:space="0" w:color="auto"/>
                        <w:left w:val="none" w:sz="0" w:space="0" w:color="auto"/>
                        <w:bottom w:val="none" w:sz="0" w:space="0" w:color="auto"/>
                        <w:right w:val="none" w:sz="0" w:space="0" w:color="auto"/>
                      </w:divBdr>
                    </w:div>
                  </w:divsChild>
                </w:div>
                <w:div w:id="794644425">
                  <w:marLeft w:val="0"/>
                  <w:marRight w:val="0"/>
                  <w:marTop w:val="0"/>
                  <w:marBottom w:val="0"/>
                  <w:divBdr>
                    <w:top w:val="none" w:sz="0" w:space="0" w:color="auto"/>
                    <w:left w:val="none" w:sz="0" w:space="0" w:color="auto"/>
                    <w:bottom w:val="none" w:sz="0" w:space="0" w:color="auto"/>
                    <w:right w:val="none" w:sz="0" w:space="0" w:color="auto"/>
                  </w:divBdr>
                  <w:divsChild>
                    <w:div w:id="559707275">
                      <w:marLeft w:val="0"/>
                      <w:marRight w:val="0"/>
                      <w:marTop w:val="0"/>
                      <w:marBottom w:val="0"/>
                      <w:divBdr>
                        <w:top w:val="none" w:sz="0" w:space="0" w:color="auto"/>
                        <w:left w:val="none" w:sz="0" w:space="0" w:color="auto"/>
                        <w:bottom w:val="none" w:sz="0" w:space="0" w:color="auto"/>
                        <w:right w:val="none" w:sz="0" w:space="0" w:color="auto"/>
                      </w:divBdr>
                      <w:divsChild>
                        <w:div w:id="360936640">
                          <w:marLeft w:val="0"/>
                          <w:marRight w:val="0"/>
                          <w:marTop w:val="0"/>
                          <w:marBottom w:val="0"/>
                          <w:divBdr>
                            <w:top w:val="none" w:sz="0" w:space="0" w:color="auto"/>
                            <w:left w:val="none" w:sz="0" w:space="0" w:color="auto"/>
                            <w:bottom w:val="none" w:sz="0" w:space="0" w:color="auto"/>
                            <w:right w:val="none" w:sz="0" w:space="0" w:color="auto"/>
                          </w:divBdr>
                          <w:divsChild>
                            <w:div w:id="1945961532">
                              <w:marLeft w:val="0"/>
                              <w:marRight w:val="0"/>
                              <w:marTop w:val="120"/>
                              <w:marBottom w:val="0"/>
                              <w:divBdr>
                                <w:top w:val="none" w:sz="0" w:space="0" w:color="auto"/>
                                <w:left w:val="none" w:sz="0" w:space="0" w:color="auto"/>
                                <w:bottom w:val="none" w:sz="0" w:space="0" w:color="auto"/>
                                <w:right w:val="none" w:sz="0" w:space="0" w:color="auto"/>
                              </w:divBdr>
                            </w:div>
                            <w:div w:id="1988822100">
                              <w:marLeft w:val="0"/>
                              <w:marRight w:val="0"/>
                              <w:marTop w:val="0"/>
                              <w:marBottom w:val="0"/>
                              <w:divBdr>
                                <w:top w:val="none" w:sz="0" w:space="0" w:color="auto"/>
                                <w:left w:val="none" w:sz="0" w:space="0" w:color="auto"/>
                                <w:bottom w:val="none" w:sz="0" w:space="0" w:color="auto"/>
                                <w:right w:val="none" w:sz="0" w:space="0" w:color="auto"/>
                              </w:divBdr>
                            </w:div>
                          </w:divsChild>
                        </w:div>
                        <w:div w:id="1280793871">
                          <w:marLeft w:val="0"/>
                          <w:marRight w:val="0"/>
                          <w:marTop w:val="0"/>
                          <w:marBottom w:val="0"/>
                          <w:divBdr>
                            <w:top w:val="none" w:sz="0" w:space="0" w:color="auto"/>
                            <w:left w:val="none" w:sz="0" w:space="0" w:color="auto"/>
                            <w:bottom w:val="none" w:sz="0" w:space="0" w:color="auto"/>
                            <w:right w:val="none" w:sz="0" w:space="0" w:color="auto"/>
                          </w:divBdr>
                          <w:divsChild>
                            <w:div w:id="25109157">
                              <w:marLeft w:val="0"/>
                              <w:marRight w:val="0"/>
                              <w:marTop w:val="120"/>
                              <w:marBottom w:val="0"/>
                              <w:divBdr>
                                <w:top w:val="none" w:sz="0" w:space="0" w:color="auto"/>
                                <w:left w:val="none" w:sz="0" w:space="0" w:color="auto"/>
                                <w:bottom w:val="none" w:sz="0" w:space="0" w:color="auto"/>
                                <w:right w:val="none" w:sz="0" w:space="0" w:color="auto"/>
                              </w:divBdr>
                            </w:div>
                            <w:div w:id="4697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7050">
                      <w:marLeft w:val="0"/>
                      <w:marRight w:val="0"/>
                      <w:marTop w:val="120"/>
                      <w:marBottom w:val="0"/>
                      <w:divBdr>
                        <w:top w:val="none" w:sz="0" w:space="0" w:color="auto"/>
                        <w:left w:val="none" w:sz="0" w:space="0" w:color="auto"/>
                        <w:bottom w:val="none" w:sz="0" w:space="0" w:color="auto"/>
                        <w:right w:val="none" w:sz="0" w:space="0" w:color="auto"/>
                      </w:divBdr>
                    </w:div>
                  </w:divsChild>
                </w:div>
                <w:div w:id="928735990">
                  <w:marLeft w:val="0"/>
                  <w:marRight w:val="0"/>
                  <w:marTop w:val="0"/>
                  <w:marBottom w:val="0"/>
                  <w:divBdr>
                    <w:top w:val="none" w:sz="0" w:space="0" w:color="auto"/>
                    <w:left w:val="none" w:sz="0" w:space="0" w:color="auto"/>
                    <w:bottom w:val="none" w:sz="0" w:space="0" w:color="auto"/>
                    <w:right w:val="none" w:sz="0" w:space="0" w:color="auto"/>
                  </w:divBdr>
                  <w:divsChild>
                    <w:div w:id="696659323">
                      <w:marLeft w:val="0"/>
                      <w:marRight w:val="0"/>
                      <w:marTop w:val="120"/>
                      <w:marBottom w:val="0"/>
                      <w:divBdr>
                        <w:top w:val="none" w:sz="0" w:space="0" w:color="auto"/>
                        <w:left w:val="none" w:sz="0" w:space="0" w:color="auto"/>
                        <w:bottom w:val="none" w:sz="0" w:space="0" w:color="auto"/>
                        <w:right w:val="none" w:sz="0" w:space="0" w:color="auto"/>
                      </w:divBdr>
                    </w:div>
                    <w:div w:id="1853834496">
                      <w:marLeft w:val="0"/>
                      <w:marRight w:val="0"/>
                      <w:marTop w:val="0"/>
                      <w:marBottom w:val="0"/>
                      <w:divBdr>
                        <w:top w:val="none" w:sz="0" w:space="0" w:color="auto"/>
                        <w:left w:val="none" w:sz="0" w:space="0" w:color="auto"/>
                        <w:bottom w:val="none" w:sz="0" w:space="0" w:color="auto"/>
                        <w:right w:val="none" w:sz="0" w:space="0" w:color="auto"/>
                      </w:divBdr>
                    </w:div>
                  </w:divsChild>
                </w:div>
                <w:div w:id="1009648451">
                  <w:marLeft w:val="0"/>
                  <w:marRight w:val="0"/>
                  <w:marTop w:val="0"/>
                  <w:marBottom w:val="0"/>
                  <w:divBdr>
                    <w:top w:val="none" w:sz="0" w:space="0" w:color="auto"/>
                    <w:left w:val="none" w:sz="0" w:space="0" w:color="auto"/>
                    <w:bottom w:val="none" w:sz="0" w:space="0" w:color="auto"/>
                    <w:right w:val="none" w:sz="0" w:space="0" w:color="auto"/>
                  </w:divBdr>
                  <w:divsChild>
                    <w:div w:id="470372017">
                      <w:marLeft w:val="0"/>
                      <w:marRight w:val="0"/>
                      <w:marTop w:val="120"/>
                      <w:marBottom w:val="0"/>
                      <w:divBdr>
                        <w:top w:val="none" w:sz="0" w:space="0" w:color="auto"/>
                        <w:left w:val="none" w:sz="0" w:space="0" w:color="auto"/>
                        <w:bottom w:val="none" w:sz="0" w:space="0" w:color="auto"/>
                        <w:right w:val="none" w:sz="0" w:space="0" w:color="auto"/>
                      </w:divBdr>
                    </w:div>
                    <w:div w:id="1927882059">
                      <w:marLeft w:val="0"/>
                      <w:marRight w:val="0"/>
                      <w:marTop w:val="0"/>
                      <w:marBottom w:val="0"/>
                      <w:divBdr>
                        <w:top w:val="none" w:sz="0" w:space="0" w:color="auto"/>
                        <w:left w:val="none" w:sz="0" w:space="0" w:color="auto"/>
                        <w:bottom w:val="none" w:sz="0" w:space="0" w:color="auto"/>
                        <w:right w:val="none" w:sz="0" w:space="0" w:color="auto"/>
                      </w:divBdr>
                    </w:div>
                  </w:divsChild>
                </w:div>
                <w:div w:id="1590113954">
                  <w:marLeft w:val="0"/>
                  <w:marRight w:val="0"/>
                  <w:marTop w:val="0"/>
                  <w:marBottom w:val="0"/>
                  <w:divBdr>
                    <w:top w:val="none" w:sz="0" w:space="0" w:color="auto"/>
                    <w:left w:val="none" w:sz="0" w:space="0" w:color="auto"/>
                    <w:bottom w:val="none" w:sz="0" w:space="0" w:color="auto"/>
                    <w:right w:val="none" w:sz="0" w:space="0" w:color="auto"/>
                  </w:divBdr>
                  <w:divsChild>
                    <w:div w:id="1529492193">
                      <w:marLeft w:val="0"/>
                      <w:marRight w:val="0"/>
                      <w:marTop w:val="120"/>
                      <w:marBottom w:val="0"/>
                      <w:divBdr>
                        <w:top w:val="none" w:sz="0" w:space="0" w:color="auto"/>
                        <w:left w:val="none" w:sz="0" w:space="0" w:color="auto"/>
                        <w:bottom w:val="none" w:sz="0" w:space="0" w:color="auto"/>
                        <w:right w:val="none" w:sz="0" w:space="0" w:color="auto"/>
                      </w:divBdr>
                    </w:div>
                    <w:div w:id="2065640130">
                      <w:marLeft w:val="0"/>
                      <w:marRight w:val="0"/>
                      <w:marTop w:val="0"/>
                      <w:marBottom w:val="0"/>
                      <w:divBdr>
                        <w:top w:val="none" w:sz="0" w:space="0" w:color="auto"/>
                        <w:left w:val="none" w:sz="0" w:space="0" w:color="auto"/>
                        <w:bottom w:val="none" w:sz="0" w:space="0" w:color="auto"/>
                        <w:right w:val="none" w:sz="0" w:space="0" w:color="auto"/>
                      </w:divBdr>
                    </w:div>
                  </w:divsChild>
                </w:div>
                <w:div w:id="1866943147">
                  <w:marLeft w:val="0"/>
                  <w:marRight w:val="0"/>
                  <w:marTop w:val="0"/>
                  <w:marBottom w:val="0"/>
                  <w:divBdr>
                    <w:top w:val="none" w:sz="0" w:space="0" w:color="auto"/>
                    <w:left w:val="none" w:sz="0" w:space="0" w:color="auto"/>
                    <w:bottom w:val="none" w:sz="0" w:space="0" w:color="auto"/>
                    <w:right w:val="none" w:sz="0" w:space="0" w:color="auto"/>
                  </w:divBdr>
                  <w:divsChild>
                    <w:div w:id="504980019">
                      <w:marLeft w:val="0"/>
                      <w:marRight w:val="0"/>
                      <w:marTop w:val="0"/>
                      <w:marBottom w:val="0"/>
                      <w:divBdr>
                        <w:top w:val="none" w:sz="0" w:space="0" w:color="auto"/>
                        <w:left w:val="none" w:sz="0" w:space="0" w:color="auto"/>
                        <w:bottom w:val="none" w:sz="0" w:space="0" w:color="auto"/>
                        <w:right w:val="none" w:sz="0" w:space="0" w:color="auto"/>
                      </w:divBdr>
                    </w:div>
                    <w:div w:id="1277835259">
                      <w:marLeft w:val="0"/>
                      <w:marRight w:val="0"/>
                      <w:marTop w:val="120"/>
                      <w:marBottom w:val="0"/>
                      <w:divBdr>
                        <w:top w:val="none" w:sz="0" w:space="0" w:color="auto"/>
                        <w:left w:val="none" w:sz="0" w:space="0" w:color="auto"/>
                        <w:bottom w:val="none" w:sz="0" w:space="0" w:color="auto"/>
                        <w:right w:val="none" w:sz="0" w:space="0" w:color="auto"/>
                      </w:divBdr>
                    </w:div>
                  </w:divsChild>
                </w:div>
                <w:div w:id="1981882270">
                  <w:marLeft w:val="0"/>
                  <w:marRight w:val="0"/>
                  <w:marTop w:val="0"/>
                  <w:marBottom w:val="0"/>
                  <w:divBdr>
                    <w:top w:val="none" w:sz="0" w:space="0" w:color="auto"/>
                    <w:left w:val="none" w:sz="0" w:space="0" w:color="auto"/>
                    <w:bottom w:val="none" w:sz="0" w:space="0" w:color="auto"/>
                    <w:right w:val="none" w:sz="0" w:space="0" w:color="auto"/>
                  </w:divBdr>
                  <w:divsChild>
                    <w:div w:id="7030512">
                      <w:marLeft w:val="0"/>
                      <w:marRight w:val="0"/>
                      <w:marTop w:val="0"/>
                      <w:marBottom w:val="0"/>
                      <w:divBdr>
                        <w:top w:val="none" w:sz="0" w:space="0" w:color="auto"/>
                        <w:left w:val="none" w:sz="0" w:space="0" w:color="auto"/>
                        <w:bottom w:val="none" w:sz="0" w:space="0" w:color="auto"/>
                        <w:right w:val="none" w:sz="0" w:space="0" w:color="auto"/>
                      </w:divBdr>
                    </w:div>
                    <w:div w:id="308369591">
                      <w:marLeft w:val="0"/>
                      <w:marRight w:val="0"/>
                      <w:marTop w:val="120"/>
                      <w:marBottom w:val="0"/>
                      <w:divBdr>
                        <w:top w:val="none" w:sz="0" w:space="0" w:color="auto"/>
                        <w:left w:val="none" w:sz="0" w:space="0" w:color="auto"/>
                        <w:bottom w:val="none" w:sz="0" w:space="0" w:color="auto"/>
                        <w:right w:val="none" w:sz="0" w:space="0" w:color="auto"/>
                      </w:divBdr>
                    </w:div>
                  </w:divsChild>
                </w:div>
                <w:div w:id="2131391505">
                  <w:marLeft w:val="0"/>
                  <w:marRight w:val="0"/>
                  <w:marTop w:val="0"/>
                  <w:marBottom w:val="0"/>
                  <w:divBdr>
                    <w:top w:val="none" w:sz="0" w:space="0" w:color="auto"/>
                    <w:left w:val="none" w:sz="0" w:space="0" w:color="auto"/>
                    <w:bottom w:val="none" w:sz="0" w:space="0" w:color="auto"/>
                    <w:right w:val="none" w:sz="0" w:space="0" w:color="auto"/>
                  </w:divBdr>
                  <w:divsChild>
                    <w:div w:id="219169692">
                      <w:marLeft w:val="0"/>
                      <w:marRight w:val="0"/>
                      <w:marTop w:val="120"/>
                      <w:marBottom w:val="0"/>
                      <w:divBdr>
                        <w:top w:val="none" w:sz="0" w:space="0" w:color="auto"/>
                        <w:left w:val="none" w:sz="0" w:space="0" w:color="auto"/>
                        <w:bottom w:val="none" w:sz="0" w:space="0" w:color="auto"/>
                        <w:right w:val="none" w:sz="0" w:space="0" w:color="auto"/>
                      </w:divBdr>
                    </w:div>
                    <w:div w:id="15783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0964">
          <w:marLeft w:val="0"/>
          <w:marRight w:val="0"/>
          <w:marTop w:val="0"/>
          <w:marBottom w:val="0"/>
          <w:divBdr>
            <w:top w:val="none" w:sz="0" w:space="0" w:color="auto"/>
            <w:left w:val="none" w:sz="0" w:space="0" w:color="auto"/>
            <w:bottom w:val="none" w:sz="0" w:space="0" w:color="auto"/>
            <w:right w:val="none" w:sz="0" w:space="0" w:color="auto"/>
          </w:divBdr>
          <w:divsChild>
            <w:div w:id="684595369">
              <w:marLeft w:val="0"/>
              <w:marRight w:val="0"/>
              <w:marTop w:val="0"/>
              <w:marBottom w:val="0"/>
              <w:divBdr>
                <w:top w:val="none" w:sz="0" w:space="0" w:color="auto"/>
                <w:left w:val="none" w:sz="0" w:space="0" w:color="auto"/>
                <w:bottom w:val="none" w:sz="0" w:space="0" w:color="auto"/>
                <w:right w:val="none" w:sz="0" w:space="0" w:color="auto"/>
              </w:divBdr>
            </w:div>
          </w:divsChild>
        </w:div>
        <w:div w:id="741410875">
          <w:marLeft w:val="0"/>
          <w:marRight w:val="0"/>
          <w:marTop w:val="0"/>
          <w:marBottom w:val="0"/>
          <w:divBdr>
            <w:top w:val="none" w:sz="0" w:space="0" w:color="auto"/>
            <w:left w:val="none" w:sz="0" w:space="0" w:color="auto"/>
            <w:bottom w:val="none" w:sz="0" w:space="0" w:color="auto"/>
            <w:right w:val="none" w:sz="0" w:space="0" w:color="auto"/>
          </w:divBdr>
          <w:divsChild>
            <w:div w:id="1990673500">
              <w:marLeft w:val="0"/>
              <w:marRight w:val="0"/>
              <w:marTop w:val="0"/>
              <w:marBottom w:val="0"/>
              <w:divBdr>
                <w:top w:val="none" w:sz="0" w:space="0" w:color="auto"/>
                <w:left w:val="none" w:sz="0" w:space="0" w:color="auto"/>
                <w:bottom w:val="none" w:sz="0" w:space="0" w:color="auto"/>
                <w:right w:val="none" w:sz="0" w:space="0" w:color="auto"/>
              </w:divBdr>
              <w:divsChild>
                <w:div w:id="1163278943">
                  <w:marLeft w:val="0"/>
                  <w:marRight w:val="0"/>
                  <w:marTop w:val="0"/>
                  <w:marBottom w:val="0"/>
                  <w:divBdr>
                    <w:top w:val="none" w:sz="0" w:space="0" w:color="auto"/>
                    <w:left w:val="none" w:sz="0" w:space="0" w:color="auto"/>
                    <w:bottom w:val="none" w:sz="0" w:space="0" w:color="auto"/>
                    <w:right w:val="none" w:sz="0" w:space="0" w:color="auto"/>
                  </w:divBdr>
                  <w:divsChild>
                    <w:div w:id="429006812">
                      <w:marLeft w:val="0"/>
                      <w:marRight w:val="0"/>
                      <w:marTop w:val="0"/>
                      <w:marBottom w:val="0"/>
                      <w:divBdr>
                        <w:top w:val="none" w:sz="0" w:space="0" w:color="auto"/>
                        <w:left w:val="none" w:sz="0" w:space="0" w:color="auto"/>
                        <w:bottom w:val="none" w:sz="0" w:space="0" w:color="auto"/>
                        <w:right w:val="none" w:sz="0" w:space="0" w:color="auto"/>
                      </w:divBdr>
                    </w:div>
                    <w:div w:id="992637343">
                      <w:marLeft w:val="0"/>
                      <w:marRight w:val="0"/>
                      <w:marTop w:val="120"/>
                      <w:marBottom w:val="0"/>
                      <w:divBdr>
                        <w:top w:val="none" w:sz="0" w:space="0" w:color="auto"/>
                        <w:left w:val="none" w:sz="0" w:space="0" w:color="auto"/>
                        <w:bottom w:val="none" w:sz="0" w:space="0" w:color="auto"/>
                        <w:right w:val="none" w:sz="0" w:space="0" w:color="auto"/>
                      </w:divBdr>
                    </w:div>
                  </w:divsChild>
                </w:div>
                <w:div w:id="1793744685">
                  <w:marLeft w:val="0"/>
                  <w:marRight w:val="0"/>
                  <w:marTop w:val="0"/>
                  <w:marBottom w:val="0"/>
                  <w:divBdr>
                    <w:top w:val="none" w:sz="0" w:space="0" w:color="auto"/>
                    <w:left w:val="none" w:sz="0" w:space="0" w:color="auto"/>
                    <w:bottom w:val="none" w:sz="0" w:space="0" w:color="auto"/>
                    <w:right w:val="none" w:sz="0" w:space="0" w:color="auto"/>
                  </w:divBdr>
                  <w:divsChild>
                    <w:div w:id="946498644">
                      <w:marLeft w:val="0"/>
                      <w:marRight w:val="0"/>
                      <w:marTop w:val="0"/>
                      <w:marBottom w:val="0"/>
                      <w:divBdr>
                        <w:top w:val="none" w:sz="0" w:space="0" w:color="auto"/>
                        <w:left w:val="none" w:sz="0" w:space="0" w:color="auto"/>
                        <w:bottom w:val="none" w:sz="0" w:space="0" w:color="auto"/>
                        <w:right w:val="none" w:sz="0" w:space="0" w:color="auto"/>
                      </w:divBdr>
                    </w:div>
                    <w:div w:id="1812021157">
                      <w:marLeft w:val="0"/>
                      <w:marRight w:val="0"/>
                      <w:marTop w:val="120"/>
                      <w:marBottom w:val="0"/>
                      <w:divBdr>
                        <w:top w:val="none" w:sz="0" w:space="0" w:color="auto"/>
                        <w:left w:val="none" w:sz="0" w:space="0" w:color="auto"/>
                        <w:bottom w:val="none" w:sz="0" w:space="0" w:color="auto"/>
                        <w:right w:val="none" w:sz="0" w:space="0" w:color="auto"/>
                      </w:divBdr>
                    </w:div>
                  </w:divsChild>
                </w:div>
                <w:div w:id="2107263968">
                  <w:marLeft w:val="0"/>
                  <w:marRight w:val="0"/>
                  <w:marTop w:val="0"/>
                  <w:marBottom w:val="0"/>
                  <w:divBdr>
                    <w:top w:val="none" w:sz="0" w:space="0" w:color="auto"/>
                    <w:left w:val="none" w:sz="0" w:space="0" w:color="auto"/>
                    <w:bottom w:val="none" w:sz="0" w:space="0" w:color="auto"/>
                    <w:right w:val="none" w:sz="0" w:space="0" w:color="auto"/>
                  </w:divBdr>
                  <w:divsChild>
                    <w:div w:id="134297617">
                      <w:marLeft w:val="0"/>
                      <w:marRight w:val="0"/>
                      <w:marTop w:val="0"/>
                      <w:marBottom w:val="0"/>
                      <w:divBdr>
                        <w:top w:val="none" w:sz="0" w:space="0" w:color="auto"/>
                        <w:left w:val="none" w:sz="0" w:space="0" w:color="auto"/>
                        <w:bottom w:val="none" w:sz="0" w:space="0" w:color="auto"/>
                        <w:right w:val="none" w:sz="0" w:space="0" w:color="auto"/>
                      </w:divBdr>
                    </w:div>
                    <w:div w:id="14562917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2220892">
          <w:marLeft w:val="0"/>
          <w:marRight w:val="0"/>
          <w:marTop w:val="0"/>
          <w:marBottom w:val="0"/>
          <w:divBdr>
            <w:top w:val="none" w:sz="0" w:space="0" w:color="auto"/>
            <w:left w:val="none" w:sz="0" w:space="0" w:color="auto"/>
            <w:bottom w:val="none" w:sz="0" w:space="0" w:color="auto"/>
            <w:right w:val="none" w:sz="0" w:space="0" w:color="auto"/>
          </w:divBdr>
          <w:divsChild>
            <w:div w:id="72556445">
              <w:marLeft w:val="0"/>
              <w:marRight w:val="0"/>
              <w:marTop w:val="0"/>
              <w:marBottom w:val="0"/>
              <w:divBdr>
                <w:top w:val="none" w:sz="0" w:space="0" w:color="auto"/>
                <w:left w:val="none" w:sz="0" w:space="0" w:color="auto"/>
                <w:bottom w:val="none" w:sz="0" w:space="0" w:color="auto"/>
                <w:right w:val="none" w:sz="0" w:space="0" w:color="auto"/>
              </w:divBdr>
              <w:divsChild>
                <w:div w:id="242760965">
                  <w:marLeft w:val="0"/>
                  <w:marRight w:val="0"/>
                  <w:marTop w:val="0"/>
                  <w:marBottom w:val="0"/>
                  <w:divBdr>
                    <w:top w:val="none" w:sz="0" w:space="0" w:color="auto"/>
                    <w:left w:val="none" w:sz="0" w:space="0" w:color="auto"/>
                    <w:bottom w:val="none" w:sz="0" w:space="0" w:color="auto"/>
                    <w:right w:val="none" w:sz="0" w:space="0" w:color="auto"/>
                  </w:divBdr>
                  <w:divsChild>
                    <w:div w:id="1044213217">
                      <w:marLeft w:val="0"/>
                      <w:marRight w:val="0"/>
                      <w:marTop w:val="120"/>
                      <w:marBottom w:val="0"/>
                      <w:divBdr>
                        <w:top w:val="none" w:sz="0" w:space="0" w:color="auto"/>
                        <w:left w:val="none" w:sz="0" w:space="0" w:color="auto"/>
                        <w:bottom w:val="none" w:sz="0" w:space="0" w:color="auto"/>
                        <w:right w:val="none" w:sz="0" w:space="0" w:color="auto"/>
                      </w:divBdr>
                    </w:div>
                    <w:div w:id="2003196101">
                      <w:marLeft w:val="0"/>
                      <w:marRight w:val="0"/>
                      <w:marTop w:val="0"/>
                      <w:marBottom w:val="0"/>
                      <w:divBdr>
                        <w:top w:val="none" w:sz="0" w:space="0" w:color="auto"/>
                        <w:left w:val="none" w:sz="0" w:space="0" w:color="auto"/>
                        <w:bottom w:val="none" w:sz="0" w:space="0" w:color="auto"/>
                        <w:right w:val="none" w:sz="0" w:space="0" w:color="auto"/>
                      </w:divBdr>
                    </w:div>
                  </w:divsChild>
                </w:div>
                <w:div w:id="1181507996">
                  <w:marLeft w:val="0"/>
                  <w:marRight w:val="0"/>
                  <w:marTop w:val="0"/>
                  <w:marBottom w:val="0"/>
                  <w:divBdr>
                    <w:top w:val="none" w:sz="0" w:space="0" w:color="auto"/>
                    <w:left w:val="none" w:sz="0" w:space="0" w:color="auto"/>
                    <w:bottom w:val="none" w:sz="0" w:space="0" w:color="auto"/>
                    <w:right w:val="none" w:sz="0" w:space="0" w:color="auto"/>
                  </w:divBdr>
                  <w:divsChild>
                    <w:div w:id="140539283">
                      <w:marLeft w:val="0"/>
                      <w:marRight w:val="0"/>
                      <w:marTop w:val="0"/>
                      <w:marBottom w:val="0"/>
                      <w:divBdr>
                        <w:top w:val="none" w:sz="0" w:space="0" w:color="auto"/>
                        <w:left w:val="none" w:sz="0" w:space="0" w:color="auto"/>
                        <w:bottom w:val="none" w:sz="0" w:space="0" w:color="auto"/>
                        <w:right w:val="none" w:sz="0" w:space="0" w:color="auto"/>
                      </w:divBdr>
                    </w:div>
                    <w:div w:id="20571237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12804764">
          <w:marLeft w:val="0"/>
          <w:marRight w:val="0"/>
          <w:marTop w:val="0"/>
          <w:marBottom w:val="0"/>
          <w:divBdr>
            <w:top w:val="none" w:sz="0" w:space="0" w:color="auto"/>
            <w:left w:val="none" w:sz="0" w:space="0" w:color="auto"/>
            <w:bottom w:val="none" w:sz="0" w:space="0" w:color="auto"/>
            <w:right w:val="none" w:sz="0" w:space="0" w:color="auto"/>
          </w:divBdr>
          <w:divsChild>
            <w:div w:id="1464931175">
              <w:marLeft w:val="0"/>
              <w:marRight w:val="0"/>
              <w:marTop w:val="0"/>
              <w:marBottom w:val="0"/>
              <w:divBdr>
                <w:top w:val="none" w:sz="0" w:space="0" w:color="auto"/>
                <w:left w:val="none" w:sz="0" w:space="0" w:color="auto"/>
                <w:bottom w:val="none" w:sz="0" w:space="0" w:color="auto"/>
                <w:right w:val="none" w:sz="0" w:space="0" w:color="auto"/>
              </w:divBdr>
              <w:divsChild>
                <w:div w:id="8875355">
                  <w:marLeft w:val="0"/>
                  <w:marRight w:val="0"/>
                  <w:marTop w:val="0"/>
                  <w:marBottom w:val="0"/>
                  <w:divBdr>
                    <w:top w:val="none" w:sz="0" w:space="0" w:color="auto"/>
                    <w:left w:val="none" w:sz="0" w:space="0" w:color="auto"/>
                    <w:bottom w:val="none" w:sz="0" w:space="0" w:color="auto"/>
                    <w:right w:val="none" w:sz="0" w:space="0" w:color="auto"/>
                  </w:divBdr>
                  <w:divsChild>
                    <w:div w:id="426275141">
                      <w:marLeft w:val="0"/>
                      <w:marRight w:val="0"/>
                      <w:marTop w:val="0"/>
                      <w:marBottom w:val="0"/>
                      <w:divBdr>
                        <w:top w:val="none" w:sz="0" w:space="0" w:color="auto"/>
                        <w:left w:val="none" w:sz="0" w:space="0" w:color="auto"/>
                        <w:bottom w:val="none" w:sz="0" w:space="0" w:color="auto"/>
                        <w:right w:val="none" w:sz="0" w:space="0" w:color="auto"/>
                      </w:divBdr>
                    </w:div>
                    <w:div w:id="1290668550">
                      <w:marLeft w:val="0"/>
                      <w:marRight w:val="0"/>
                      <w:marTop w:val="120"/>
                      <w:marBottom w:val="0"/>
                      <w:divBdr>
                        <w:top w:val="none" w:sz="0" w:space="0" w:color="auto"/>
                        <w:left w:val="none" w:sz="0" w:space="0" w:color="auto"/>
                        <w:bottom w:val="none" w:sz="0" w:space="0" w:color="auto"/>
                        <w:right w:val="none" w:sz="0" w:space="0" w:color="auto"/>
                      </w:divBdr>
                    </w:div>
                  </w:divsChild>
                </w:div>
                <w:div w:id="318265453">
                  <w:marLeft w:val="0"/>
                  <w:marRight w:val="0"/>
                  <w:marTop w:val="0"/>
                  <w:marBottom w:val="0"/>
                  <w:divBdr>
                    <w:top w:val="none" w:sz="0" w:space="0" w:color="auto"/>
                    <w:left w:val="none" w:sz="0" w:space="0" w:color="auto"/>
                    <w:bottom w:val="none" w:sz="0" w:space="0" w:color="auto"/>
                    <w:right w:val="none" w:sz="0" w:space="0" w:color="auto"/>
                  </w:divBdr>
                  <w:divsChild>
                    <w:div w:id="987905242">
                      <w:marLeft w:val="0"/>
                      <w:marRight w:val="0"/>
                      <w:marTop w:val="0"/>
                      <w:marBottom w:val="0"/>
                      <w:divBdr>
                        <w:top w:val="none" w:sz="0" w:space="0" w:color="auto"/>
                        <w:left w:val="none" w:sz="0" w:space="0" w:color="auto"/>
                        <w:bottom w:val="none" w:sz="0" w:space="0" w:color="auto"/>
                        <w:right w:val="none" w:sz="0" w:space="0" w:color="auto"/>
                      </w:divBdr>
                    </w:div>
                    <w:div w:id="1189290708">
                      <w:marLeft w:val="0"/>
                      <w:marRight w:val="0"/>
                      <w:marTop w:val="120"/>
                      <w:marBottom w:val="0"/>
                      <w:divBdr>
                        <w:top w:val="none" w:sz="0" w:space="0" w:color="auto"/>
                        <w:left w:val="none" w:sz="0" w:space="0" w:color="auto"/>
                        <w:bottom w:val="none" w:sz="0" w:space="0" w:color="auto"/>
                        <w:right w:val="none" w:sz="0" w:space="0" w:color="auto"/>
                      </w:divBdr>
                    </w:div>
                  </w:divsChild>
                </w:div>
                <w:div w:id="1147938076">
                  <w:marLeft w:val="0"/>
                  <w:marRight w:val="0"/>
                  <w:marTop w:val="0"/>
                  <w:marBottom w:val="0"/>
                  <w:divBdr>
                    <w:top w:val="none" w:sz="0" w:space="0" w:color="auto"/>
                    <w:left w:val="none" w:sz="0" w:space="0" w:color="auto"/>
                    <w:bottom w:val="none" w:sz="0" w:space="0" w:color="auto"/>
                    <w:right w:val="none" w:sz="0" w:space="0" w:color="auto"/>
                  </w:divBdr>
                  <w:divsChild>
                    <w:div w:id="1128088656">
                      <w:marLeft w:val="0"/>
                      <w:marRight w:val="0"/>
                      <w:marTop w:val="0"/>
                      <w:marBottom w:val="0"/>
                      <w:divBdr>
                        <w:top w:val="none" w:sz="0" w:space="0" w:color="auto"/>
                        <w:left w:val="none" w:sz="0" w:space="0" w:color="auto"/>
                        <w:bottom w:val="none" w:sz="0" w:space="0" w:color="auto"/>
                        <w:right w:val="none" w:sz="0" w:space="0" w:color="auto"/>
                      </w:divBdr>
                    </w:div>
                    <w:div w:id="1932623562">
                      <w:marLeft w:val="0"/>
                      <w:marRight w:val="0"/>
                      <w:marTop w:val="120"/>
                      <w:marBottom w:val="0"/>
                      <w:divBdr>
                        <w:top w:val="none" w:sz="0" w:space="0" w:color="auto"/>
                        <w:left w:val="none" w:sz="0" w:space="0" w:color="auto"/>
                        <w:bottom w:val="none" w:sz="0" w:space="0" w:color="auto"/>
                        <w:right w:val="none" w:sz="0" w:space="0" w:color="auto"/>
                      </w:divBdr>
                    </w:div>
                  </w:divsChild>
                </w:div>
                <w:div w:id="1488981713">
                  <w:marLeft w:val="0"/>
                  <w:marRight w:val="0"/>
                  <w:marTop w:val="0"/>
                  <w:marBottom w:val="0"/>
                  <w:divBdr>
                    <w:top w:val="none" w:sz="0" w:space="0" w:color="auto"/>
                    <w:left w:val="none" w:sz="0" w:space="0" w:color="auto"/>
                    <w:bottom w:val="none" w:sz="0" w:space="0" w:color="auto"/>
                    <w:right w:val="none" w:sz="0" w:space="0" w:color="auto"/>
                  </w:divBdr>
                  <w:divsChild>
                    <w:div w:id="546645097">
                      <w:marLeft w:val="0"/>
                      <w:marRight w:val="0"/>
                      <w:marTop w:val="0"/>
                      <w:marBottom w:val="0"/>
                      <w:divBdr>
                        <w:top w:val="none" w:sz="0" w:space="0" w:color="auto"/>
                        <w:left w:val="none" w:sz="0" w:space="0" w:color="auto"/>
                        <w:bottom w:val="none" w:sz="0" w:space="0" w:color="auto"/>
                        <w:right w:val="none" w:sz="0" w:space="0" w:color="auto"/>
                      </w:divBdr>
                    </w:div>
                    <w:div w:id="1762867882">
                      <w:marLeft w:val="0"/>
                      <w:marRight w:val="0"/>
                      <w:marTop w:val="120"/>
                      <w:marBottom w:val="0"/>
                      <w:divBdr>
                        <w:top w:val="none" w:sz="0" w:space="0" w:color="auto"/>
                        <w:left w:val="none" w:sz="0" w:space="0" w:color="auto"/>
                        <w:bottom w:val="none" w:sz="0" w:space="0" w:color="auto"/>
                        <w:right w:val="none" w:sz="0" w:space="0" w:color="auto"/>
                      </w:divBdr>
                    </w:div>
                  </w:divsChild>
                </w:div>
                <w:div w:id="1836068653">
                  <w:marLeft w:val="0"/>
                  <w:marRight w:val="0"/>
                  <w:marTop w:val="0"/>
                  <w:marBottom w:val="0"/>
                  <w:divBdr>
                    <w:top w:val="none" w:sz="0" w:space="0" w:color="auto"/>
                    <w:left w:val="none" w:sz="0" w:space="0" w:color="auto"/>
                    <w:bottom w:val="none" w:sz="0" w:space="0" w:color="auto"/>
                    <w:right w:val="none" w:sz="0" w:space="0" w:color="auto"/>
                  </w:divBdr>
                  <w:divsChild>
                    <w:div w:id="1772362113">
                      <w:marLeft w:val="0"/>
                      <w:marRight w:val="0"/>
                      <w:marTop w:val="0"/>
                      <w:marBottom w:val="0"/>
                      <w:divBdr>
                        <w:top w:val="none" w:sz="0" w:space="0" w:color="auto"/>
                        <w:left w:val="none" w:sz="0" w:space="0" w:color="auto"/>
                        <w:bottom w:val="none" w:sz="0" w:space="0" w:color="auto"/>
                        <w:right w:val="none" w:sz="0" w:space="0" w:color="auto"/>
                      </w:divBdr>
                    </w:div>
                    <w:div w:id="2009169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2936785">
          <w:marLeft w:val="0"/>
          <w:marRight w:val="0"/>
          <w:marTop w:val="0"/>
          <w:marBottom w:val="0"/>
          <w:divBdr>
            <w:top w:val="none" w:sz="0" w:space="0" w:color="auto"/>
            <w:left w:val="none" w:sz="0" w:space="0" w:color="auto"/>
            <w:bottom w:val="none" w:sz="0" w:space="0" w:color="auto"/>
            <w:right w:val="none" w:sz="0" w:space="0" w:color="auto"/>
          </w:divBdr>
          <w:divsChild>
            <w:div w:id="11931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10450">
      <w:bodyDiv w:val="1"/>
      <w:marLeft w:val="0"/>
      <w:marRight w:val="0"/>
      <w:marTop w:val="0"/>
      <w:marBottom w:val="0"/>
      <w:divBdr>
        <w:top w:val="none" w:sz="0" w:space="0" w:color="auto"/>
        <w:left w:val="none" w:sz="0" w:space="0" w:color="auto"/>
        <w:bottom w:val="none" w:sz="0" w:space="0" w:color="auto"/>
        <w:right w:val="none" w:sz="0" w:space="0" w:color="auto"/>
      </w:divBdr>
      <w:divsChild>
        <w:div w:id="363136586">
          <w:marLeft w:val="0"/>
          <w:marRight w:val="0"/>
          <w:marTop w:val="0"/>
          <w:marBottom w:val="0"/>
          <w:divBdr>
            <w:top w:val="none" w:sz="0" w:space="0" w:color="auto"/>
            <w:left w:val="none" w:sz="0" w:space="0" w:color="auto"/>
            <w:bottom w:val="none" w:sz="0" w:space="0" w:color="auto"/>
            <w:right w:val="none" w:sz="0" w:space="0" w:color="auto"/>
          </w:divBdr>
        </w:div>
      </w:divsChild>
    </w:div>
    <w:div w:id="1276327903">
      <w:bodyDiv w:val="1"/>
      <w:marLeft w:val="0"/>
      <w:marRight w:val="0"/>
      <w:marTop w:val="0"/>
      <w:marBottom w:val="0"/>
      <w:divBdr>
        <w:top w:val="none" w:sz="0" w:space="0" w:color="auto"/>
        <w:left w:val="none" w:sz="0" w:space="0" w:color="auto"/>
        <w:bottom w:val="none" w:sz="0" w:space="0" w:color="auto"/>
        <w:right w:val="none" w:sz="0" w:space="0" w:color="auto"/>
      </w:divBdr>
      <w:divsChild>
        <w:div w:id="1211531181">
          <w:marLeft w:val="0"/>
          <w:marRight w:val="0"/>
          <w:marTop w:val="0"/>
          <w:marBottom w:val="0"/>
          <w:divBdr>
            <w:top w:val="none" w:sz="0" w:space="0" w:color="auto"/>
            <w:left w:val="none" w:sz="0" w:space="0" w:color="auto"/>
            <w:bottom w:val="none" w:sz="0" w:space="0" w:color="auto"/>
            <w:right w:val="none" w:sz="0" w:space="0" w:color="auto"/>
          </w:divBdr>
          <w:divsChild>
            <w:div w:id="579750933">
              <w:marLeft w:val="0"/>
              <w:marRight w:val="0"/>
              <w:marTop w:val="120"/>
              <w:marBottom w:val="0"/>
              <w:divBdr>
                <w:top w:val="none" w:sz="0" w:space="0" w:color="auto"/>
                <w:left w:val="none" w:sz="0" w:space="0" w:color="auto"/>
                <w:bottom w:val="none" w:sz="0" w:space="0" w:color="auto"/>
                <w:right w:val="none" w:sz="0" w:space="0" w:color="auto"/>
              </w:divBdr>
            </w:div>
            <w:div w:id="1293906427">
              <w:marLeft w:val="0"/>
              <w:marRight w:val="0"/>
              <w:marTop w:val="0"/>
              <w:marBottom w:val="0"/>
              <w:divBdr>
                <w:top w:val="none" w:sz="0" w:space="0" w:color="auto"/>
                <w:left w:val="none" w:sz="0" w:space="0" w:color="auto"/>
                <w:bottom w:val="none" w:sz="0" w:space="0" w:color="auto"/>
                <w:right w:val="none" w:sz="0" w:space="0" w:color="auto"/>
              </w:divBdr>
            </w:div>
          </w:divsChild>
        </w:div>
        <w:div w:id="1719160461">
          <w:marLeft w:val="0"/>
          <w:marRight w:val="0"/>
          <w:marTop w:val="0"/>
          <w:marBottom w:val="0"/>
          <w:divBdr>
            <w:top w:val="none" w:sz="0" w:space="0" w:color="auto"/>
            <w:left w:val="none" w:sz="0" w:space="0" w:color="auto"/>
            <w:bottom w:val="none" w:sz="0" w:space="0" w:color="auto"/>
            <w:right w:val="none" w:sz="0" w:space="0" w:color="auto"/>
          </w:divBdr>
          <w:divsChild>
            <w:div w:id="441153560">
              <w:marLeft w:val="0"/>
              <w:marRight w:val="0"/>
              <w:marTop w:val="0"/>
              <w:marBottom w:val="0"/>
              <w:divBdr>
                <w:top w:val="none" w:sz="0" w:space="0" w:color="auto"/>
                <w:left w:val="none" w:sz="0" w:space="0" w:color="auto"/>
                <w:bottom w:val="none" w:sz="0" w:space="0" w:color="auto"/>
                <w:right w:val="none" w:sz="0" w:space="0" w:color="auto"/>
              </w:divBdr>
            </w:div>
            <w:div w:id="13697253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1304254">
      <w:bodyDiv w:val="1"/>
      <w:marLeft w:val="0"/>
      <w:marRight w:val="0"/>
      <w:marTop w:val="0"/>
      <w:marBottom w:val="0"/>
      <w:divBdr>
        <w:top w:val="none" w:sz="0" w:space="0" w:color="auto"/>
        <w:left w:val="none" w:sz="0" w:space="0" w:color="auto"/>
        <w:bottom w:val="none" w:sz="0" w:space="0" w:color="auto"/>
        <w:right w:val="none" w:sz="0" w:space="0" w:color="auto"/>
      </w:divBdr>
      <w:divsChild>
        <w:div w:id="329455673">
          <w:marLeft w:val="0"/>
          <w:marRight w:val="0"/>
          <w:marTop w:val="0"/>
          <w:marBottom w:val="0"/>
          <w:divBdr>
            <w:top w:val="none" w:sz="0" w:space="0" w:color="auto"/>
            <w:left w:val="none" w:sz="0" w:space="0" w:color="auto"/>
            <w:bottom w:val="none" w:sz="0" w:space="0" w:color="auto"/>
            <w:right w:val="none" w:sz="0" w:space="0" w:color="auto"/>
          </w:divBdr>
        </w:div>
      </w:divsChild>
    </w:div>
    <w:div w:id="1284923459">
      <w:bodyDiv w:val="1"/>
      <w:marLeft w:val="0"/>
      <w:marRight w:val="0"/>
      <w:marTop w:val="0"/>
      <w:marBottom w:val="0"/>
      <w:divBdr>
        <w:top w:val="none" w:sz="0" w:space="0" w:color="auto"/>
        <w:left w:val="none" w:sz="0" w:space="0" w:color="auto"/>
        <w:bottom w:val="none" w:sz="0" w:space="0" w:color="auto"/>
        <w:right w:val="none" w:sz="0" w:space="0" w:color="auto"/>
      </w:divBdr>
    </w:div>
    <w:div w:id="1290355553">
      <w:bodyDiv w:val="1"/>
      <w:marLeft w:val="0"/>
      <w:marRight w:val="0"/>
      <w:marTop w:val="0"/>
      <w:marBottom w:val="0"/>
      <w:divBdr>
        <w:top w:val="none" w:sz="0" w:space="0" w:color="auto"/>
        <w:left w:val="none" w:sz="0" w:space="0" w:color="auto"/>
        <w:bottom w:val="none" w:sz="0" w:space="0" w:color="auto"/>
        <w:right w:val="none" w:sz="0" w:space="0" w:color="auto"/>
      </w:divBdr>
    </w:div>
    <w:div w:id="1295602735">
      <w:bodyDiv w:val="1"/>
      <w:marLeft w:val="0"/>
      <w:marRight w:val="0"/>
      <w:marTop w:val="0"/>
      <w:marBottom w:val="0"/>
      <w:divBdr>
        <w:top w:val="none" w:sz="0" w:space="0" w:color="auto"/>
        <w:left w:val="none" w:sz="0" w:space="0" w:color="auto"/>
        <w:bottom w:val="none" w:sz="0" w:space="0" w:color="auto"/>
        <w:right w:val="none" w:sz="0" w:space="0" w:color="auto"/>
      </w:divBdr>
      <w:divsChild>
        <w:div w:id="595285053">
          <w:marLeft w:val="0"/>
          <w:marRight w:val="0"/>
          <w:marTop w:val="0"/>
          <w:marBottom w:val="0"/>
          <w:divBdr>
            <w:top w:val="none" w:sz="0" w:space="0" w:color="auto"/>
            <w:left w:val="none" w:sz="0" w:space="0" w:color="auto"/>
            <w:bottom w:val="none" w:sz="0" w:space="0" w:color="auto"/>
            <w:right w:val="none" w:sz="0" w:space="0" w:color="auto"/>
          </w:divBdr>
          <w:divsChild>
            <w:div w:id="1731732290">
              <w:marLeft w:val="0"/>
              <w:marRight w:val="0"/>
              <w:marTop w:val="0"/>
              <w:marBottom w:val="0"/>
              <w:divBdr>
                <w:top w:val="none" w:sz="0" w:space="0" w:color="auto"/>
                <w:left w:val="none" w:sz="0" w:space="0" w:color="auto"/>
                <w:bottom w:val="none" w:sz="0" w:space="0" w:color="auto"/>
                <w:right w:val="none" w:sz="0" w:space="0" w:color="auto"/>
              </w:divBdr>
            </w:div>
          </w:divsChild>
        </w:div>
        <w:div w:id="656690585">
          <w:marLeft w:val="0"/>
          <w:marRight w:val="0"/>
          <w:marTop w:val="0"/>
          <w:marBottom w:val="0"/>
          <w:divBdr>
            <w:top w:val="none" w:sz="0" w:space="0" w:color="auto"/>
            <w:left w:val="none" w:sz="0" w:space="0" w:color="auto"/>
            <w:bottom w:val="none" w:sz="0" w:space="0" w:color="auto"/>
            <w:right w:val="none" w:sz="0" w:space="0" w:color="auto"/>
          </w:divBdr>
          <w:divsChild>
            <w:div w:id="630672434">
              <w:marLeft w:val="0"/>
              <w:marRight w:val="0"/>
              <w:marTop w:val="0"/>
              <w:marBottom w:val="0"/>
              <w:divBdr>
                <w:top w:val="none" w:sz="0" w:space="0" w:color="auto"/>
                <w:left w:val="none" w:sz="0" w:space="0" w:color="auto"/>
                <w:bottom w:val="none" w:sz="0" w:space="0" w:color="auto"/>
                <w:right w:val="none" w:sz="0" w:space="0" w:color="auto"/>
              </w:divBdr>
              <w:divsChild>
                <w:div w:id="180514371">
                  <w:marLeft w:val="0"/>
                  <w:marRight w:val="0"/>
                  <w:marTop w:val="0"/>
                  <w:marBottom w:val="0"/>
                  <w:divBdr>
                    <w:top w:val="none" w:sz="0" w:space="0" w:color="auto"/>
                    <w:left w:val="none" w:sz="0" w:space="0" w:color="auto"/>
                    <w:bottom w:val="none" w:sz="0" w:space="0" w:color="auto"/>
                    <w:right w:val="none" w:sz="0" w:space="0" w:color="auto"/>
                  </w:divBdr>
                  <w:divsChild>
                    <w:div w:id="383988720">
                      <w:marLeft w:val="0"/>
                      <w:marRight w:val="0"/>
                      <w:marTop w:val="0"/>
                      <w:marBottom w:val="0"/>
                      <w:divBdr>
                        <w:top w:val="none" w:sz="0" w:space="0" w:color="auto"/>
                        <w:left w:val="none" w:sz="0" w:space="0" w:color="auto"/>
                        <w:bottom w:val="none" w:sz="0" w:space="0" w:color="auto"/>
                        <w:right w:val="none" w:sz="0" w:space="0" w:color="auto"/>
                      </w:divBdr>
                    </w:div>
                    <w:div w:id="936982282">
                      <w:marLeft w:val="0"/>
                      <w:marRight w:val="0"/>
                      <w:marTop w:val="120"/>
                      <w:marBottom w:val="0"/>
                      <w:divBdr>
                        <w:top w:val="none" w:sz="0" w:space="0" w:color="auto"/>
                        <w:left w:val="none" w:sz="0" w:space="0" w:color="auto"/>
                        <w:bottom w:val="none" w:sz="0" w:space="0" w:color="auto"/>
                        <w:right w:val="none" w:sz="0" w:space="0" w:color="auto"/>
                      </w:divBdr>
                    </w:div>
                  </w:divsChild>
                </w:div>
                <w:div w:id="252667047">
                  <w:marLeft w:val="0"/>
                  <w:marRight w:val="0"/>
                  <w:marTop w:val="0"/>
                  <w:marBottom w:val="0"/>
                  <w:divBdr>
                    <w:top w:val="none" w:sz="0" w:space="0" w:color="auto"/>
                    <w:left w:val="none" w:sz="0" w:space="0" w:color="auto"/>
                    <w:bottom w:val="none" w:sz="0" w:space="0" w:color="auto"/>
                    <w:right w:val="none" w:sz="0" w:space="0" w:color="auto"/>
                  </w:divBdr>
                  <w:divsChild>
                    <w:div w:id="357046515">
                      <w:marLeft w:val="0"/>
                      <w:marRight w:val="0"/>
                      <w:marTop w:val="120"/>
                      <w:marBottom w:val="0"/>
                      <w:divBdr>
                        <w:top w:val="none" w:sz="0" w:space="0" w:color="auto"/>
                        <w:left w:val="none" w:sz="0" w:space="0" w:color="auto"/>
                        <w:bottom w:val="none" w:sz="0" w:space="0" w:color="auto"/>
                        <w:right w:val="none" w:sz="0" w:space="0" w:color="auto"/>
                      </w:divBdr>
                    </w:div>
                    <w:div w:id="894394058">
                      <w:marLeft w:val="0"/>
                      <w:marRight w:val="0"/>
                      <w:marTop w:val="0"/>
                      <w:marBottom w:val="0"/>
                      <w:divBdr>
                        <w:top w:val="none" w:sz="0" w:space="0" w:color="auto"/>
                        <w:left w:val="none" w:sz="0" w:space="0" w:color="auto"/>
                        <w:bottom w:val="none" w:sz="0" w:space="0" w:color="auto"/>
                        <w:right w:val="none" w:sz="0" w:space="0" w:color="auto"/>
                      </w:divBdr>
                    </w:div>
                  </w:divsChild>
                </w:div>
                <w:div w:id="742336786">
                  <w:marLeft w:val="0"/>
                  <w:marRight w:val="0"/>
                  <w:marTop w:val="0"/>
                  <w:marBottom w:val="0"/>
                  <w:divBdr>
                    <w:top w:val="none" w:sz="0" w:space="0" w:color="auto"/>
                    <w:left w:val="none" w:sz="0" w:space="0" w:color="auto"/>
                    <w:bottom w:val="none" w:sz="0" w:space="0" w:color="auto"/>
                    <w:right w:val="none" w:sz="0" w:space="0" w:color="auto"/>
                  </w:divBdr>
                  <w:divsChild>
                    <w:div w:id="116148211">
                      <w:marLeft w:val="0"/>
                      <w:marRight w:val="0"/>
                      <w:marTop w:val="120"/>
                      <w:marBottom w:val="0"/>
                      <w:divBdr>
                        <w:top w:val="none" w:sz="0" w:space="0" w:color="auto"/>
                        <w:left w:val="none" w:sz="0" w:space="0" w:color="auto"/>
                        <w:bottom w:val="none" w:sz="0" w:space="0" w:color="auto"/>
                        <w:right w:val="none" w:sz="0" w:space="0" w:color="auto"/>
                      </w:divBdr>
                    </w:div>
                    <w:div w:id="1645231113">
                      <w:marLeft w:val="0"/>
                      <w:marRight w:val="0"/>
                      <w:marTop w:val="0"/>
                      <w:marBottom w:val="0"/>
                      <w:divBdr>
                        <w:top w:val="none" w:sz="0" w:space="0" w:color="auto"/>
                        <w:left w:val="none" w:sz="0" w:space="0" w:color="auto"/>
                        <w:bottom w:val="none" w:sz="0" w:space="0" w:color="auto"/>
                        <w:right w:val="none" w:sz="0" w:space="0" w:color="auto"/>
                      </w:divBdr>
                    </w:div>
                  </w:divsChild>
                </w:div>
                <w:div w:id="1020818941">
                  <w:marLeft w:val="0"/>
                  <w:marRight w:val="0"/>
                  <w:marTop w:val="0"/>
                  <w:marBottom w:val="0"/>
                  <w:divBdr>
                    <w:top w:val="none" w:sz="0" w:space="0" w:color="auto"/>
                    <w:left w:val="none" w:sz="0" w:space="0" w:color="auto"/>
                    <w:bottom w:val="none" w:sz="0" w:space="0" w:color="auto"/>
                    <w:right w:val="none" w:sz="0" w:space="0" w:color="auto"/>
                  </w:divBdr>
                  <w:divsChild>
                    <w:div w:id="78643672">
                      <w:marLeft w:val="0"/>
                      <w:marRight w:val="0"/>
                      <w:marTop w:val="0"/>
                      <w:marBottom w:val="0"/>
                      <w:divBdr>
                        <w:top w:val="none" w:sz="0" w:space="0" w:color="auto"/>
                        <w:left w:val="none" w:sz="0" w:space="0" w:color="auto"/>
                        <w:bottom w:val="none" w:sz="0" w:space="0" w:color="auto"/>
                        <w:right w:val="none" w:sz="0" w:space="0" w:color="auto"/>
                      </w:divBdr>
                    </w:div>
                    <w:div w:id="123081389">
                      <w:marLeft w:val="0"/>
                      <w:marRight w:val="0"/>
                      <w:marTop w:val="120"/>
                      <w:marBottom w:val="0"/>
                      <w:divBdr>
                        <w:top w:val="none" w:sz="0" w:space="0" w:color="auto"/>
                        <w:left w:val="none" w:sz="0" w:space="0" w:color="auto"/>
                        <w:bottom w:val="none" w:sz="0" w:space="0" w:color="auto"/>
                        <w:right w:val="none" w:sz="0" w:space="0" w:color="auto"/>
                      </w:divBdr>
                    </w:div>
                  </w:divsChild>
                </w:div>
                <w:div w:id="1473867758">
                  <w:marLeft w:val="0"/>
                  <w:marRight w:val="0"/>
                  <w:marTop w:val="0"/>
                  <w:marBottom w:val="0"/>
                  <w:divBdr>
                    <w:top w:val="none" w:sz="0" w:space="0" w:color="auto"/>
                    <w:left w:val="none" w:sz="0" w:space="0" w:color="auto"/>
                    <w:bottom w:val="none" w:sz="0" w:space="0" w:color="auto"/>
                    <w:right w:val="none" w:sz="0" w:space="0" w:color="auto"/>
                  </w:divBdr>
                  <w:divsChild>
                    <w:div w:id="375735210">
                      <w:marLeft w:val="0"/>
                      <w:marRight w:val="0"/>
                      <w:marTop w:val="120"/>
                      <w:marBottom w:val="0"/>
                      <w:divBdr>
                        <w:top w:val="none" w:sz="0" w:space="0" w:color="auto"/>
                        <w:left w:val="none" w:sz="0" w:space="0" w:color="auto"/>
                        <w:bottom w:val="none" w:sz="0" w:space="0" w:color="auto"/>
                        <w:right w:val="none" w:sz="0" w:space="0" w:color="auto"/>
                      </w:divBdr>
                    </w:div>
                    <w:div w:id="1943955085">
                      <w:marLeft w:val="0"/>
                      <w:marRight w:val="0"/>
                      <w:marTop w:val="0"/>
                      <w:marBottom w:val="0"/>
                      <w:divBdr>
                        <w:top w:val="none" w:sz="0" w:space="0" w:color="auto"/>
                        <w:left w:val="none" w:sz="0" w:space="0" w:color="auto"/>
                        <w:bottom w:val="none" w:sz="0" w:space="0" w:color="auto"/>
                        <w:right w:val="none" w:sz="0" w:space="0" w:color="auto"/>
                      </w:divBdr>
                      <w:divsChild>
                        <w:div w:id="456489246">
                          <w:marLeft w:val="0"/>
                          <w:marRight w:val="0"/>
                          <w:marTop w:val="0"/>
                          <w:marBottom w:val="0"/>
                          <w:divBdr>
                            <w:top w:val="none" w:sz="0" w:space="0" w:color="auto"/>
                            <w:left w:val="none" w:sz="0" w:space="0" w:color="auto"/>
                            <w:bottom w:val="none" w:sz="0" w:space="0" w:color="auto"/>
                            <w:right w:val="none" w:sz="0" w:space="0" w:color="auto"/>
                          </w:divBdr>
                          <w:divsChild>
                            <w:div w:id="318776737">
                              <w:marLeft w:val="0"/>
                              <w:marRight w:val="0"/>
                              <w:marTop w:val="0"/>
                              <w:marBottom w:val="0"/>
                              <w:divBdr>
                                <w:top w:val="none" w:sz="0" w:space="0" w:color="auto"/>
                                <w:left w:val="none" w:sz="0" w:space="0" w:color="auto"/>
                                <w:bottom w:val="none" w:sz="0" w:space="0" w:color="auto"/>
                                <w:right w:val="none" w:sz="0" w:space="0" w:color="auto"/>
                              </w:divBdr>
                            </w:div>
                            <w:div w:id="1618873849">
                              <w:marLeft w:val="0"/>
                              <w:marRight w:val="0"/>
                              <w:marTop w:val="120"/>
                              <w:marBottom w:val="0"/>
                              <w:divBdr>
                                <w:top w:val="none" w:sz="0" w:space="0" w:color="auto"/>
                                <w:left w:val="none" w:sz="0" w:space="0" w:color="auto"/>
                                <w:bottom w:val="none" w:sz="0" w:space="0" w:color="auto"/>
                                <w:right w:val="none" w:sz="0" w:space="0" w:color="auto"/>
                              </w:divBdr>
                            </w:div>
                          </w:divsChild>
                        </w:div>
                        <w:div w:id="464739264">
                          <w:marLeft w:val="0"/>
                          <w:marRight w:val="0"/>
                          <w:marTop w:val="0"/>
                          <w:marBottom w:val="0"/>
                          <w:divBdr>
                            <w:top w:val="none" w:sz="0" w:space="0" w:color="auto"/>
                            <w:left w:val="none" w:sz="0" w:space="0" w:color="auto"/>
                            <w:bottom w:val="none" w:sz="0" w:space="0" w:color="auto"/>
                            <w:right w:val="none" w:sz="0" w:space="0" w:color="auto"/>
                          </w:divBdr>
                          <w:divsChild>
                            <w:div w:id="312834448">
                              <w:marLeft w:val="0"/>
                              <w:marRight w:val="0"/>
                              <w:marTop w:val="120"/>
                              <w:marBottom w:val="0"/>
                              <w:divBdr>
                                <w:top w:val="none" w:sz="0" w:space="0" w:color="auto"/>
                                <w:left w:val="none" w:sz="0" w:space="0" w:color="auto"/>
                                <w:bottom w:val="none" w:sz="0" w:space="0" w:color="auto"/>
                                <w:right w:val="none" w:sz="0" w:space="0" w:color="auto"/>
                              </w:divBdr>
                            </w:div>
                            <w:div w:id="1151605219">
                              <w:marLeft w:val="0"/>
                              <w:marRight w:val="0"/>
                              <w:marTop w:val="0"/>
                              <w:marBottom w:val="0"/>
                              <w:divBdr>
                                <w:top w:val="none" w:sz="0" w:space="0" w:color="auto"/>
                                <w:left w:val="none" w:sz="0" w:space="0" w:color="auto"/>
                                <w:bottom w:val="none" w:sz="0" w:space="0" w:color="auto"/>
                                <w:right w:val="none" w:sz="0" w:space="0" w:color="auto"/>
                              </w:divBdr>
                            </w:div>
                          </w:divsChild>
                        </w:div>
                        <w:div w:id="1558317656">
                          <w:marLeft w:val="0"/>
                          <w:marRight w:val="0"/>
                          <w:marTop w:val="0"/>
                          <w:marBottom w:val="0"/>
                          <w:divBdr>
                            <w:top w:val="none" w:sz="0" w:space="0" w:color="auto"/>
                            <w:left w:val="none" w:sz="0" w:space="0" w:color="auto"/>
                            <w:bottom w:val="none" w:sz="0" w:space="0" w:color="auto"/>
                            <w:right w:val="none" w:sz="0" w:space="0" w:color="auto"/>
                          </w:divBdr>
                          <w:divsChild>
                            <w:div w:id="1650524252">
                              <w:marLeft w:val="0"/>
                              <w:marRight w:val="0"/>
                              <w:marTop w:val="0"/>
                              <w:marBottom w:val="0"/>
                              <w:divBdr>
                                <w:top w:val="none" w:sz="0" w:space="0" w:color="auto"/>
                                <w:left w:val="none" w:sz="0" w:space="0" w:color="auto"/>
                                <w:bottom w:val="none" w:sz="0" w:space="0" w:color="auto"/>
                                <w:right w:val="none" w:sz="0" w:space="0" w:color="auto"/>
                              </w:divBdr>
                            </w:div>
                            <w:div w:id="1763646362">
                              <w:marLeft w:val="0"/>
                              <w:marRight w:val="0"/>
                              <w:marTop w:val="120"/>
                              <w:marBottom w:val="0"/>
                              <w:divBdr>
                                <w:top w:val="none" w:sz="0" w:space="0" w:color="auto"/>
                                <w:left w:val="none" w:sz="0" w:space="0" w:color="auto"/>
                                <w:bottom w:val="none" w:sz="0" w:space="0" w:color="auto"/>
                                <w:right w:val="none" w:sz="0" w:space="0" w:color="auto"/>
                              </w:divBdr>
                            </w:div>
                          </w:divsChild>
                        </w:div>
                        <w:div w:id="1886067448">
                          <w:marLeft w:val="0"/>
                          <w:marRight w:val="0"/>
                          <w:marTop w:val="0"/>
                          <w:marBottom w:val="0"/>
                          <w:divBdr>
                            <w:top w:val="none" w:sz="0" w:space="0" w:color="auto"/>
                            <w:left w:val="none" w:sz="0" w:space="0" w:color="auto"/>
                            <w:bottom w:val="none" w:sz="0" w:space="0" w:color="auto"/>
                            <w:right w:val="none" w:sz="0" w:space="0" w:color="auto"/>
                          </w:divBdr>
                          <w:divsChild>
                            <w:div w:id="822085158">
                              <w:marLeft w:val="0"/>
                              <w:marRight w:val="0"/>
                              <w:marTop w:val="120"/>
                              <w:marBottom w:val="0"/>
                              <w:divBdr>
                                <w:top w:val="none" w:sz="0" w:space="0" w:color="auto"/>
                                <w:left w:val="none" w:sz="0" w:space="0" w:color="auto"/>
                                <w:bottom w:val="none" w:sz="0" w:space="0" w:color="auto"/>
                                <w:right w:val="none" w:sz="0" w:space="0" w:color="auto"/>
                              </w:divBdr>
                            </w:div>
                            <w:div w:id="1985961143">
                              <w:marLeft w:val="0"/>
                              <w:marRight w:val="0"/>
                              <w:marTop w:val="0"/>
                              <w:marBottom w:val="0"/>
                              <w:divBdr>
                                <w:top w:val="none" w:sz="0" w:space="0" w:color="auto"/>
                                <w:left w:val="none" w:sz="0" w:space="0" w:color="auto"/>
                                <w:bottom w:val="none" w:sz="0" w:space="0" w:color="auto"/>
                                <w:right w:val="none" w:sz="0" w:space="0" w:color="auto"/>
                              </w:divBdr>
                            </w:div>
                          </w:divsChild>
                        </w:div>
                        <w:div w:id="2032104927">
                          <w:marLeft w:val="0"/>
                          <w:marRight w:val="0"/>
                          <w:marTop w:val="0"/>
                          <w:marBottom w:val="0"/>
                          <w:divBdr>
                            <w:top w:val="none" w:sz="0" w:space="0" w:color="auto"/>
                            <w:left w:val="none" w:sz="0" w:space="0" w:color="auto"/>
                            <w:bottom w:val="none" w:sz="0" w:space="0" w:color="auto"/>
                            <w:right w:val="none" w:sz="0" w:space="0" w:color="auto"/>
                          </w:divBdr>
                          <w:divsChild>
                            <w:div w:id="464852496">
                              <w:marLeft w:val="0"/>
                              <w:marRight w:val="0"/>
                              <w:marTop w:val="120"/>
                              <w:marBottom w:val="0"/>
                              <w:divBdr>
                                <w:top w:val="none" w:sz="0" w:space="0" w:color="auto"/>
                                <w:left w:val="none" w:sz="0" w:space="0" w:color="auto"/>
                                <w:bottom w:val="none" w:sz="0" w:space="0" w:color="auto"/>
                                <w:right w:val="none" w:sz="0" w:space="0" w:color="auto"/>
                              </w:divBdr>
                            </w:div>
                            <w:div w:id="177604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91089">
                  <w:marLeft w:val="0"/>
                  <w:marRight w:val="0"/>
                  <w:marTop w:val="0"/>
                  <w:marBottom w:val="0"/>
                  <w:divBdr>
                    <w:top w:val="none" w:sz="0" w:space="0" w:color="auto"/>
                    <w:left w:val="none" w:sz="0" w:space="0" w:color="auto"/>
                    <w:bottom w:val="none" w:sz="0" w:space="0" w:color="auto"/>
                    <w:right w:val="none" w:sz="0" w:space="0" w:color="auto"/>
                  </w:divBdr>
                  <w:divsChild>
                    <w:div w:id="663819674">
                      <w:marLeft w:val="0"/>
                      <w:marRight w:val="0"/>
                      <w:marTop w:val="120"/>
                      <w:marBottom w:val="0"/>
                      <w:divBdr>
                        <w:top w:val="none" w:sz="0" w:space="0" w:color="auto"/>
                        <w:left w:val="none" w:sz="0" w:space="0" w:color="auto"/>
                        <w:bottom w:val="none" w:sz="0" w:space="0" w:color="auto"/>
                        <w:right w:val="none" w:sz="0" w:space="0" w:color="auto"/>
                      </w:divBdr>
                    </w:div>
                    <w:div w:id="9804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32055">
          <w:marLeft w:val="0"/>
          <w:marRight w:val="0"/>
          <w:marTop w:val="0"/>
          <w:marBottom w:val="0"/>
          <w:divBdr>
            <w:top w:val="none" w:sz="0" w:space="0" w:color="auto"/>
            <w:left w:val="none" w:sz="0" w:space="0" w:color="auto"/>
            <w:bottom w:val="none" w:sz="0" w:space="0" w:color="auto"/>
            <w:right w:val="none" w:sz="0" w:space="0" w:color="auto"/>
          </w:divBdr>
          <w:divsChild>
            <w:div w:id="821044898">
              <w:marLeft w:val="0"/>
              <w:marRight w:val="0"/>
              <w:marTop w:val="0"/>
              <w:marBottom w:val="0"/>
              <w:divBdr>
                <w:top w:val="none" w:sz="0" w:space="0" w:color="auto"/>
                <w:left w:val="none" w:sz="0" w:space="0" w:color="auto"/>
                <w:bottom w:val="none" w:sz="0" w:space="0" w:color="auto"/>
                <w:right w:val="none" w:sz="0" w:space="0" w:color="auto"/>
              </w:divBdr>
              <w:divsChild>
                <w:div w:id="1558081399">
                  <w:marLeft w:val="0"/>
                  <w:marRight w:val="0"/>
                  <w:marTop w:val="0"/>
                  <w:marBottom w:val="0"/>
                  <w:divBdr>
                    <w:top w:val="none" w:sz="0" w:space="0" w:color="auto"/>
                    <w:left w:val="none" w:sz="0" w:space="0" w:color="auto"/>
                    <w:bottom w:val="none" w:sz="0" w:space="0" w:color="auto"/>
                    <w:right w:val="none" w:sz="0" w:space="0" w:color="auto"/>
                  </w:divBdr>
                  <w:divsChild>
                    <w:div w:id="2011057273">
                      <w:marLeft w:val="0"/>
                      <w:marRight w:val="0"/>
                      <w:marTop w:val="0"/>
                      <w:marBottom w:val="0"/>
                      <w:divBdr>
                        <w:top w:val="none" w:sz="0" w:space="0" w:color="auto"/>
                        <w:left w:val="none" w:sz="0" w:space="0" w:color="auto"/>
                        <w:bottom w:val="none" w:sz="0" w:space="0" w:color="auto"/>
                        <w:right w:val="none" w:sz="0" w:space="0" w:color="auto"/>
                      </w:divBdr>
                    </w:div>
                    <w:div w:id="2061051409">
                      <w:marLeft w:val="0"/>
                      <w:marRight w:val="0"/>
                      <w:marTop w:val="120"/>
                      <w:marBottom w:val="0"/>
                      <w:divBdr>
                        <w:top w:val="none" w:sz="0" w:space="0" w:color="auto"/>
                        <w:left w:val="none" w:sz="0" w:space="0" w:color="auto"/>
                        <w:bottom w:val="none" w:sz="0" w:space="0" w:color="auto"/>
                        <w:right w:val="none" w:sz="0" w:space="0" w:color="auto"/>
                      </w:divBdr>
                    </w:div>
                  </w:divsChild>
                </w:div>
                <w:div w:id="2109539500">
                  <w:marLeft w:val="0"/>
                  <w:marRight w:val="0"/>
                  <w:marTop w:val="0"/>
                  <w:marBottom w:val="0"/>
                  <w:divBdr>
                    <w:top w:val="none" w:sz="0" w:space="0" w:color="auto"/>
                    <w:left w:val="none" w:sz="0" w:space="0" w:color="auto"/>
                    <w:bottom w:val="none" w:sz="0" w:space="0" w:color="auto"/>
                    <w:right w:val="none" w:sz="0" w:space="0" w:color="auto"/>
                  </w:divBdr>
                  <w:divsChild>
                    <w:div w:id="891696555">
                      <w:marLeft w:val="0"/>
                      <w:marRight w:val="0"/>
                      <w:marTop w:val="0"/>
                      <w:marBottom w:val="0"/>
                      <w:divBdr>
                        <w:top w:val="none" w:sz="0" w:space="0" w:color="auto"/>
                        <w:left w:val="none" w:sz="0" w:space="0" w:color="auto"/>
                        <w:bottom w:val="none" w:sz="0" w:space="0" w:color="auto"/>
                        <w:right w:val="none" w:sz="0" w:space="0" w:color="auto"/>
                      </w:divBdr>
                    </w:div>
                    <w:div w:id="1592347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07971652">
      <w:bodyDiv w:val="1"/>
      <w:marLeft w:val="0"/>
      <w:marRight w:val="0"/>
      <w:marTop w:val="0"/>
      <w:marBottom w:val="0"/>
      <w:divBdr>
        <w:top w:val="none" w:sz="0" w:space="0" w:color="auto"/>
        <w:left w:val="none" w:sz="0" w:space="0" w:color="auto"/>
        <w:bottom w:val="none" w:sz="0" w:space="0" w:color="auto"/>
        <w:right w:val="none" w:sz="0" w:space="0" w:color="auto"/>
      </w:divBdr>
    </w:div>
    <w:div w:id="1309480548">
      <w:bodyDiv w:val="1"/>
      <w:marLeft w:val="0"/>
      <w:marRight w:val="0"/>
      <w:marTop w:val="0"/>
      <w:marBottom w:val="0"/>
      <w:divBdr>
        <w:top w:val="none" w:sz="0" w:space="0" w:color="auto"/>
        <w:left w:val="none" w:sz="0" w:space="0" w:color="auto"/>
        <w:bottom w:val="none" w:sz="0" w:space="0" w:color="auto"/>
        <w:right w:val="none" w:sz="0" w:space="0" w:color="auto"/>
      </w:divBdr>
      <w:divsChild>
        <w:div w:id="1059093961">
          <w:marLeft w:val="0"/>
          <w:marRight w:val="0"/>
          <w:marTop w:val="0"/>
          <w:marBottom w:val="0"/>
          <w:divBdr>
            <w:top w:val="none" w:sz="0" w:space="0" w:color="auto"/>
            <w:left w:val="none" w:sz="0" w:space="0" w:color="auto"/>
            <w:bottom w:val="none" w:sz="0" w:space="0" w:color="auto"/>
            <w:right w:val="none" w:sz="0" w:space="0" w:color="auto"/>
          </w:divBdr>
          <w:divsChild>
            <w:div w:id="545947542">
              <w:marLeft w:val="0"/>
              <w:marRight w:val="0"/>
              <w:marTop w:val="0"/>
              <w:marBottom w:val="0"/>
              <w:divBdr>
                <w:top w:val="none" w:sz="0" w:space="0" w:color="auto"/>
                <w:left w:val="none" w:sz="0" w:space="0" w:color="auto"/>
                <w:bottom w:val="none" w:sz="0" w:space="0" w:color="auto"/>
                <w:right w:val="none" w:sz="0" w:space="0" w:color="auto"/>
              </w:divBdr>
            </w:div>
          </w:divsChild>
        </w:div>
        <w:div w:id="1314524838">
          <w:marLeft w:val="0"/>
          <w:marRight w:val="0"/>
          <w:marTop w:val="0"/>
          <w:marBottom w:val="0"/>
          <w:divBdr>
            <w:top w:val="none" w:sz="0" w:space="0" w:color="auto"/>
            <w:left w:val="none" w:sz="0" w:space="0" w:color="auto"/>
            <w:bottom w:val="none" w:sz="0" w:space="0" w:color="auto"/>
            <w:right w:val="none" w:sz="0" w:space="0" w:color="auto"/>
          </w:divBdr>
          <w:divsChild>
            <w:div w:id="1572960947">
              <w:marLeft w:val="0"/>
              <w:marRight w:val="0"/>
              <w:marTop w:val="0"/>
              <w:marBottom w:val="0"/>
              <w:divBdr>
                <w:top w:val="none" w:sz="0" w:space="0" w:color="auto"/>
                <w:left w:val="none" w:sz="0" w:space="0" w:color="auto"/>
                <w:bottom w:val="none" w:sz="0" w:space="0" w:color="auto"/>
                <w:right w:val="none" w:sz="0" w:space="0" w:color="auto"/>
              </w:divBdr>
            </w:div>
          </w:divsChild>
        </w:div>
        <w:div w:id="1529105342">
          <w:marLeft w:val="0"/>
          <w:marRight w:val="0"/>
          <w:marTop w:val="0"/>
          <w:marBottom w:val="0"/>
          <w:divBdr>
            <w:top w:val="none" w:sz="0" w:space="0" w:color="auto"/>
            <w:left w:val="none" w:sz="0" w:space="0" w:color="auto"/>
            <w:bottom w:val="none" w:sz="0" w:space="0" w:color="auto"/>
            <w:right w:val="none" w:sz="0" w:space="0" w:color="auto"/>
          </w:divBdr>
          <w:divsChild>
            <w:div w:id="1049495858">
              <w:marLeft w:val="0"/>
              <w:marRight w:val="0"/>
              <w:marTop w:val="0"/>
              <w:marBottom w:val="0"/>
              <w:divBdr>
                <w:top w:val="none" w:sz="0" w:space="0" w:color="auto"/>
                <w:left w:val="none" w:sz="0" w:space="0" w:color="auto"/>
                <w:bottom w:val="none" w:sz="0" w:space="0" w:color="auto"/>
                <w:right w:val="none" w:sz="0" w:space="0" w:color="auto"/>
              </w:divBdr>
            </w:div>
          </w:divsChild>
        </w:div>
        <w:div w:id="2048872054">
          <w:marLeft w:val="0"/>
          <w:marRight w:val="0"/>
          <w:marTop w:val="0"/>
          <w:marBottom w:val="0"/>
          <w:divBdr>
            <w:top w:val="none" w:sz="0" w:space="0" w:color="auto"/>
            <w:left w:val="none" w:sz="0" w:space="0" w:color="auto"/>
            <w:bottom w:val="none" w:sz="0" w:space="0" w:color="auto"/>
            <w:right w:val="none" w:sz="0" w:space="0" w:color="auto"/>
          </w:divBdr>
          <w:divsChild>
            <w:div w:id="19370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3394">
      <w:bodyDiv w:val="1"/>
      <w:marLeft w:val="0"/>
      <w:marRight w:val="0"/>
      <w:marTop w:val="0"/>
      <w:marBottom w:val="0"/>
      <w:divBdr>
        <w:top w:val="none" w:sz="0" w:space="0" w:color="auto"/>
        <w:left w:val="none" w:sz="0" w:space="0" w:color="auto"/>
        <w:bottom w:val="none" w:sz="0" w:space="0" w:color="auto"/>
        <w:right w:val="none" w:sz="0" w:space="0" w:color="auto"/>
      </w:divBdr>
    </w:div>
    <w:div w:id="1344671142">
      <w:bodyDiv w:val="1"/>
      <w:marLeft w:val="0"/>
      <w:marRight w:val="0"/>
      <w:marTop w:val="0"/>
      <w:marBottom w:val="0"/>
      <w:divBdr>
        <w:top w:val="none" w:sz="0" w:space="0" w:color="auto"/>
        <w:left w:val="none" w:sz="0" w:space="0" w:color="auto"/>
        <w:bottom w:val="none" w:sz="0" w:space="0" w:color="auto"/>
        <w:right w:val="none" w:sz="0" w:space="0" w:color="auto"/>
      </w:divBdr>
      <w:divsChild>
        <w:div w:id="1442527268">
          <w:marLeft w:val="0"/>
          <w:marRight w:val="0"/>
          <w:marTop w:val="0"/>
          <w:marBottom w:val="0"/>
          <w:divBdr>
            <w:top w:val="none" w:sz="0" w:space="0" w:color="auto"/>
            <w:left w:val="none" w:sz="0" w:space="0" w:color="auto"/>
            <w:bottom w:val="none" w:sz="0" w:space="0" w:color="auto"/>
            <w:right w:val="none" w:sz="0" w:space="0" w:color="auto"/>
          </w:divBdr>
          <w:divsChild>
            <w:div w:id="1035084551">
              <w:marLeft w:val="0"/>
              <w:marRight w:val="0"/>
              <w:marTop w:val="0"/>
              <w:marBottom w:val="0"/>
              <w:divBdr>
                <w:top w:val="none" w:sz="0" w:space="0" w:color="auto"/>
                <w:left w:val="none" w:sz="0" w:space="0" w:color="auto"/>
                <w:bottom w:val="none" w:sz="0" w:space="0" w:color="auto"/>
                <w:right w:val="none" w:sz="0" w:space="0" w:color="auto"/>
              </w:divBdr>
              <w:divsChild>
                <w:div w:id="910240414">
                  <w:marLeft w:val="0"/>
                  <w:marRight w:val="0"/>
                  <w:marTop w:val="120"/>
                  <w:marBottom w:val="0"/>
                  <w:divBdr>
                    <w:top w:val="none" w:sz="0" w:space="0" w:color="auto"/>
                    <w:left w:val="none" w:sz="0" w:space="0" w:color="auto"/>
                    <w:bottom w:val="none" w:sz="0" w:space="0" w:color="auto"/>
                    <w:right w:val="none" w:sz="0" w:space="0" w:color="auto"/>
                  </w:divBdr>
                </w:div>
                <w:div w:id="1895582089">
                  <w:marLeft w:val="0"/>
                  <w:marRight w:val="0"/>
                  <w:marTop w:val="0"/>
                  <w:marBottom w:val="0"/>
                  <w:divBdr>
                    <w:top w:val="none" w:sz="0" w:space="0" w:color="auto"/>
                    <w:left w:val="none" w:sz="0" w:space="0" w:color="auto"/>
                    <w:bottom w:val="none" w:sz="0" w:space="0" w:color="auto"/>
                    <w:right w:val="none" w:sz="0" w:space="0" w:color="auto"/>
                  </w:divBdr>
                  <w:divsChild>
                    <w:div w:id="57168488">
                      <w:marLeft w:val="0"/>
                      <w:marRight w:val="0"/>
                      <w:marTop w:val="0"/>
                      <w:marBottom w:val="0"/>
                      <w:divBdr>
                        <w:top w:val="none" w:sz="0" w:space="0" w:color="auto"/>
                        <w:left w:val="none" w:sz="0" w:space="0" w:color="auto"/>
                        <w:bottom w:val="none" w:sz="0" w:space="0" w:color="auto"/>
                        <w:right w:val="none" w:sz="0" w:space="0" w:color="auto"/>
                      </w:divBdr>
                      <w:divsChild>
                        <w:div w:id="1063330715">
                          <w:marLeft w:val="0"/>
                          <w:marRight w:val="0"/>
                          <w:marTop w:val="0"/>
                          <w:marBottom w:val="0"/>
                          <w:divBdr>
                            <w:top w:val="none" w:sz="0" w:space="0" w:color="auto"/>
                            <w:left w:val="none" w:sz="0" w:space="0" w:color="auto"/>
                            <w:bottom w:val="none" w:sz="0" w:space="0" w:color="auto"/>
                            <w:right w:val="none" w:sz="0" w:space="0" w:color="auto"/>
                          </w:divBdr>
                        </w:div>
                        <w:div w:id="1553616843">
                          <w:marLeft w:val="0"/>
                          <w:marRight w:val="0"/>
                          <w:marTop w:val="120"/>
                          <w:marBottom w:val="0"/>
                          <w:divBdr>
                            <w:top w:val="none" w:sz="0" w:space="0" w:color="auto"/>
                            <w:left w:val="none" w:sz="0" w:space="0" w:color="auto"/>
                            <w:bottom w:val="none" w:sz="0" w:space="0" w:color="auto"/>
                            <w:right w:val="none" w:sz="0" w:space="0" w:color="auto"/>
                          </w:divBdr>
                        </w:div>
                      </w:divsChild>
                    </w:div>
                    <w:div w:id="78332412">
                      <w:marLeft w:val="0"/>
                      <w:marRight w:val="0"/>
                      <w:marTop w:val="0"/>
                      <w:marBottom w:val="0"/>
                      <w:divBdr>
                        <w:top w:val="none" w:sz="0" w:space="0" w:color="auto"/>
                        <w:left w:val="none" w:sz="0" w:space="0" w:color="auto"/>
                        <w:bottom w:val="none" w:sz="0" w:space="0" w:color="auto"/>
                        <w:right w:val="none" w:sz="0" w:space="0" w:color="auto"/>
                      </w:divBdr>
                      <w:divsChild>
                        <w:div w:id="3482312">
                          <w:marLeft w:val="0"/>
                          <w:marRight w:val="0"/>
                          <w:marTop w:val="120"/>
                          <w:marBottom w:val="0"/>
                          <w:divBdr>
                            <w:top w:val="none" w:sz="0" w:space="0" w:color="auto"/>
                            <w:left w:val="none" w:sz="0" w:space="0" w:color="auto"/>
                            <w:bottom w:val="none" w:sz="0" w:space="0" w:color="auto"/>
                            <w:right w:val="none" w:sz="0" w:space="0" w:color="auto"/>
                          </w:divBdr>
                        </w:div>
                        <w:div w:id="1863932451">
                          <w:marLeft w:val="0"/>
                          <w:marRight w:val="0"/>
                          <w:marTop w:val="0"/>
                          <w:marBottom w:val="0"/>
                          <w:divBdr>
                            <w:top w:val="none" w:sz="0" w:space="0" w:color="auto"/>
                            <w:left w:val="none" w:sz="0" w:space="0" w:color="auto"/>
                            <w:bottom w:val="none" w:sz="0" w:space="0" w:color="auto"/>
                            <w:right w:val="none" w:sz="0" w:space="0" w:color="auto"/>
                          </w:divBdr>
                        </w:div>
                      </w:divsChild>
                    </w:div>
                    <w:div w:id="559677446">
                      <w:marLeft w:val="0"/>
                      <w:marRight w:val="0"/>
                      <w:marTop w:val="0"/>
                      <w:marBottom w:val="0"/>
                      <w:divBdr>
                        <w:top w:val="none" w:sz="0" w:space="0" w:color="auto"/>
                        <w:left w:val="none" w:sz="0" w:space="0" w:color="auto"/>
                        <w:bottom w:val="none" w:sz="0" w:space="0" w:color="auto"/>
                        <w:right w:val="none" w:sz="0" w:space="0" w:color="auto"/>
                      </w:divBdr>
                      <w:divsChild>
                        <w:div w:id="22638192">
                          <w:marLeft w:val="0"/>
                          <w:marRight w:val="0"/>
                          <w:marTop w:val="120"/>
                          <w:marBottom w:val="0"/>
                          <w:divBdr>
                            <w:top w:val="none" w:sz="0" w:space="0" w:color="auto"/>
                            <w:left w:val="none" w:sz="0" w:space="0" w:color="auto"/>
                            <w:bottom w:val="none" w:sz="0" w:space="0" w:color="auto"/>
                            <w:right w:val="none" w:sz="0" w:space="0" w:color="auto"/>
                          </w:divBdr>
                        </w:div>
                        <w:div w:id="183083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31285">
              <w:marLeft w:val="0"/>
              <w:marRight w:val="0"/>
              <w:marTop w:val="0"/>
              <w:marBottom w:val="0"/>
              <w:divBdr>
                <w:top w:val="none" w:sz="0" w:space="0" w:color="auto"/>
                <w:left w:val="none" w:sz="0" w:space="0" w:color="auto"/>
                <w:bottom w:val="none" w:sz="0" w:space="0" w:color="auto"/>
                <w:right w:val="none" w:sz="0" w:space="0" w:color="auto"/>
              </w:divBdr>
              <w:divsChild>
                <w:div w:id="415857372">
                  <w:marLeft w:val="0"/>
                  <w:marRight w:val="0"/>
                  <w:marTop w:val="120"/>
                  <w:marBottom w:val="0"/>
                  <w:divBdr>
                    <w:top w:val="none" w:sz="0" w:space="0" w:color="auto"/>
                    <w:left w:val="none" w:sz="0" w:space="0" w:color="auto"/>
                    <w:bottom w:val="none" w:sz="0" w:space="0" w:color="auto"/>
                    <w:right w:val="none" w:sz="0" w:space="0" w:color="auto"/>
                  </w:divBdr>
                </w:div>
                <w:div w:id="1745565806">
                  <w:marLeft w:val="0"/>
                  <w:marRight w:val="0"/>
                  <w:marTop w:val="0"/>
                  <w:marBottom w:val="0"/>
                  <w:divBdr>
                    <w:top w:val="none" w:sz="0" w:space="0" w:color="auto"/>
                    <w:left w:val="none" w:sz="0" w:space="0" w:color="auto"/>
                    <w:bottom w:val="none" w:sz="0" w:space="0" w:color="auto"/>
                    <w:right w:val="none" w:sz="0" w:space="0" w:color="auto"/>
                  </w:divBdr>
                </w:div>
              </w:divsChild>
            </w:div>
            <w:div w:id="1727756972">
              <w:marLeft w:val="0"/>
              <w:marRight w:val="0"/>
              <w:marTop w:val="0"/>
              <w:marBottom w:val="0"/>
              <w:divBdr>
                <w:top w:val="none" w:sz="0" w:space="0" w:color="auto"/>
                <w:left w:val="none" w:sz="0" w:space="0" w:color="auto"/>
                <w:bottom w:val="none" w:sz="0" w:space="0" w:color="auto"/>
                <w:right w:val="none" w:sz="0" w:space="0" w:color="auto"/>
              </w:divBdr>
              <w:divsChild>
                <w:div w:id="124393233">
                  <w:marLeft w:val="0"/>
                  <w:marRight w:val="0"/>
                  <w:marTop w:val="0"/>
                  <w:marBottom w:val="0"/>
                  <w:divBdr>
                    <w:top w:val="none" w:sz="0" w:space="0" w:color="auto"/>
                    <w:left w:val="none" w:sz="0" w:space="0" w:color="auto"/>
                    <w:bottom w:val="none" w:sz="0" w:space="0" w:color="auto"/>
                    <w:right w:val="none" w:sz="0" w:space="0" w:color="auto"/>
                  </w:divBdr>
                  <w:divsChild>
                    <w:div w:id="85808578">
                      <w:marLeft w:val="0"/>
                      <w:marRight w:val="0"/>
                      <w:marTop w:val="0"/>
                      <w:marBottom w:val="0"/>
                      <w:divBdr>
                        <w:top w:val="none" w:sz="0" w:space="0" w:color="auto"/>
                        <w:left w:val="none" w:sz="0" w:space="0" w:color="auto"/>
                        <w:bottom w:val="none" w:sz="0" w:space="0" w:color="auto"/>
                        <w:right w:val="none" w:sz="0" w:space="0" w:color="auto"/>
                      </w:divBdr>
                      <w:divsChild>
                        <w:div w:id="804200003">
                          <w:marLeft w:val="0"/>
                          <w:marRight w:val="0"/>
                          <w:marTop w:val="120"/>
                          <w:marBottom w:val="0"/>
                          <w:divBdr>
                            <w:top w:val="none" w:sz="0" w:space="0" w:color="auto"/>
                            <w:left w:val="none" w:sz="0" w:space="0" w:color="auto"/>
                            <w:bottom w:val="none" w:sz="0" w:space="0" w:color="auto"/>
                            <w:right w:val="none" w:sz="0" w:space="0" w:color="auto"/>
                          </w:divBdr>
                        </w:div>
                        <w:div w:id="1952858777">
                          <w:marLeft w:val="0"/>
                          <w:marRight w:val="0"/>
                          <w:marTop w:val="0"/>
                          <w:marBottom w:val="0"/>
                          <w:divBdr>
                            <w:top w:val="none" w:sz="0" w:space="0" w:color="auto"/>
                            <w:left w:val="none" w:sz="0" w:space="0" w:color="auto"/>
                            <w:bottom w:val="none" w:sz="0" w:space="0" w:color="auto"/>
                            <w:right w:val="none" w:sz="0" w:space="0" w:color="auto"/>
                          </w:divBdr>
                        </w:div>
                      </w:divsChild>
                    </w:div>
                    <w:div w:id="222376603">
                      <w:marLeft w:val="0"/>
                      <w:marRight w:val="0"/>
                      <w:marTop w:val="0"/>
                      <w:marBottom w:val="0"/>
                      <w:divBdr>
                        <w:top w:val="none" w:sz="0" w:space="0" w:color="auto"/>
                        <w:left w:val="none" w:sz="0" w:space="0" w:color="auto"/>
                        <w:bottom w:val="none" w:sz="0" w:space="0" w:color="auto"/>
                        <w:right w:val="none" w:sz="0" w:space="0" w:color="auto"/>
                      </w:divBdr>
                      <w:divsChild>
                        <w:div w:id="355086133">
                          <w:marLeft w:val="0"/>
                          <w:marRight w:val="0"/>
                          <w:marTop w:val="0"/>
                          <w:marBottom w:val="0"/>
                          <w:divBdr>
                            <w:top w:val="none" w:sz="0" w:space="0" w:color="auto"/>
                            <w:left w:val="none" w:sz="0" w:space="0" w:color="auto"/>
                            <w:bottom w:val="none" w:sz="0" w:space="0" w:color="auto"/>
                            <w:right w:val="none" w:sz="0" w:space="0" w:color="auto"/>
                          </w:divBdr>
                        </w:div>
                        <w:div w:id="1734622149">
                          <w:marLeft w:val="0"/>
                          <w:marRight w:val="0"/>
                          <w:marTop w:val="120"/>
                          <w:marBottom w:val="0"/>
                          <w:divBdr>
                            <w:top w:val="none" w:sz="0" w:space="0" w:color="auto"/>
                            <w:left w:val="none" w:sz="0" w:space="0" w:color="auto"/>
                            <w:bottom w:val="none" w:sz="0" w:space="0" w:color="auto"/>
                            <w:right w:val="none" w:sz="0" w:space="0" w:color="auto"/>
                          </w:divBdr>
                        </w:div>
                      </w:divsChild>
                    </w:div>
                    <w:div w:id="467435370">
                      <w:marLeft w:val="0"/>
                      <w:marRight w:val="0"/>
                      <w:marTop w:val="0"/>
                      <w:marBottom w:val="0"/>
                      <w:divBdr>
                        <w:top w:val="none" w:sz="0" w:space="0" w:color="auto"/>
                        <w:left w:val="none" w:sz="0" w:space="0" w:color="auto"/>
                        <w:bottom w:val="none" w:sz="0" w:space="0" w:color="auto"/>
                        <w:right w:val="none" w:sz="0" w:space="0" w:color="auto"/>
                      </w:divBdr>
                      <w:divsChild>
                        <w:div w:id="386803035">
                          <w:marLeft w:val="0"/>
                          <w:marRight w:val="0"/>
                          <w:marTop w:val="0"/>
                          <w:marBottom w:val="0"/>
                          <w:divBdr>
                            <w:top w:val="none" w:sz="0" w:space="0" w:color="auto"/>
                            <w:left w:val="none" w:sz="0" w:space="0" w:color="auto"/>
                            <w:bottom w:val="none" w:sz="0" w:space="0" w:color="auto"/>
                            <w:right w:val="none" w:sz="0" w:space="0" w:color="auto"/>
                          </w:divBdr>
                        </w:div>
                        <w:div w:id="701173395">
                          <w:marLeft w:val="0"/>
                          <w:marRight w:val="0"/>
                          <w:marTop w:val="120"/>
                          <w:marBottom w:val="0"/>
                          <w:divBdr>
                            <w:top w:val="none" w:sz="0" w:space="0" w:color="auto"/>
                            <w:left w:val="none" w:sz="0" w:space="0" w:color="auto"/>
                            <w:bottom w:val="none" w:sz="0" w:space="0" w:color="auto"/>
                            <w:right w:val="none" w:sz="0" w:space="0" w:color="auto"/>
                          </w:divBdr>
                        </w:div>
                      </w:divsChild>
                    </w:div>
                    <w:div w:id="1212574840">
                      <w:marLeft w:val="0"/>
                      <w:marRight w:val="0"/>
                      <w:marTop w:val="0"/>
                      <w:marBottom w:val="0"/>
                      <w:divBdr>
                        <w:top w:val="none" w:sz="0" w:space="0" w:color="auto"/>
                        <w:left w:val="none" w:sz="0" w:space="0" w:color="auto"/>
                        <w:bottom w:val="none" w:sz="0" w:space="0" w:color="auto"/>
                        <w:right w:val="none" w:sz="0" w:space="0" w:color="auto"/>
                      </w:divBdr>
                      <w:divsChild>
                        <w:div w:id="732194428">
                          <w:marLeft w:val="0"/>
                          <w:marRight w:val="0"/>
                          <w:marTop w:val="0"/>
                          <w:marBottom w:val="0"/>
                          <w:divBdr>
                            <w:top w:val="none" w:sz="0" w:space="0" w:color="auto"/>
                            <w:left w:val="none" w:sz="0" w:space="0" w:color="auto"/>
                            <w:bottom w:val="none" w:sz="0" w:space="0" w:color="auto"/>
                            <w:right w:val="none" w:sz="0" w:space="0" w:color="auto"/>
                          </w:divBdr>
                        </w:div>
                        <w:div w:id="1454252826">
                          <w:marLeft w:val="0"/>
                          <w:marRight w:val="0"/>
                          <w:marTop w:val="120"/>
                          <w:marBottom w:val="0"/>
                          <w:divBdr>
                            <w:top w:val="none" w:sz="0" w:space="0" w:color="auto"/>
                            <w:left w:val="none" w:sz="0" w:space="0" w:color="auto"/>
                            <w:bottom w:val="none" w:sz="0" w:space="0" w:color="auto"/>
                            <w:right w:val="none" w:sz="0" w:space="0" w:color="auto"/>
                          </w:divBdr>
                        </w:div>
                      </w:divsChild>
                    </w:div>
                    <w:div w:id="1388992008">
                      <w:marLeft w:val="0"/>
                      <w:marRight w:val="0"/>
                      <w:marTop w:val="0"/>
                      <w:marBottom w:val="0"/>
                      <w:divBdr>
                        <w:top w:val="none" w:sz="0" w:space="0" w:color="auto"/>
                        <w:left w:val="none" w:sz="0" w:space="0" w:color="auto"/>
                        <w:bottom w:val="none" w:sz="0" w:space="0" w:color="auto"/>
                        <w:right w:val="none" w:sz="0" w:space="0" w:color="auto"/>
                      </w:divBdr>
                      <w:divsChild>
                        <w:div w:id="808403815">
                          <w:marLeft w:val="0"/>
                          <w:marRight w:val="0"/>
                          <w:marTop w:val="0"/>
                          <w:marBottom w:val="0"/>
                          <w:divBdr>
                            <w:top w:val="none" w:sz="0" w:space="0" w:color="auto"/>
                            <w:left w:val="none" w:sz="0" w:space="0" w:color="auto"/>
                            <w:bottom w:val="none" w:sz="0" w:space="0" w:color="auto"/>
                            <w:right w:val="none" w:sz="0" w:space="0" w:color="auto"/>
                          </w:divBdr>
                        </w:div>
                        <w:div w:id="1148325693">
                          <w:marLeft w:val="0"/>
                          <w:marRight w:val="0"/>
                          <w:marTop w:val="120"/>
                          <w:marBottom w:val="0"/>
                          <w:divBdr>
                            <w:top w:val="none" w:sz="0" w:space="0" w:color="auto"/>
                            <w:left w:val="none" w:sz="0" w:space="0" w:color="auto"/>
                            <w:bottom w:val="none" w:sz="0" w:space="0" w:color="auto"/>
                            <w:right w:val="none" w:sz="0" w:space="0" w:color="auto"/>
                          </w:divBdr>
                        </w:div>
                      </w:divsChild>
                    </w:div>
                    <w:div w:id="1447777688">
                      <w:marLeft w:val="0"/>
                      <w:marRight w:val="0"/>
                      <w:marTop w:val="0"/>
                      <w:marBottom w:val="0"/>
                      <w:divBdr>
                        <w:top w:val="none" w:sz="0" w:space="0" w:color="auto"/>
                        <w:left w:val="none" w:sz="0" w:space="0" w:color="auto"/>
                        <w:bottom w:val="none" w:sz="0" w:space="0" w:color="auto"/>
                        <w:right w:val="none" w:sz="0" w:space="0" w:color="auto"/>
                      </w:divBdr>
                      <w:divsChild>
                        <w:div w:id="1779182441">
                          <w:marLeft w:val="0"/>
                          <w:marRight w:val="0"/>
                          <w:marTop w:val="120"/>
                          <w:marBottom w:val="0"/>
                          <w:divBdr>
                            <w:top w:val="none" w:sz="0" w:space="0" w:color="auto"/>
                            <w:left w:val="none" w:sz="0" w:space="0" w:color="auto"/>
                            <w:bottom w:val="none" w:sz="0" w:space="0" w:color="auto"/>
                            <w:right w:val="none" w:sz="0" w:space="0" w:color="auto"/>
                          </w:divBdr>
                        </w:div>
                        <w:div w:id="1887831096">
                          <w:marLeft w:val="0"/>
                          <w:marRight w:val="0"/>
                          <w:marTop w:val="0"/>
                          <w:marBottom w:val="0"/>
                          <w:divBdr>
                            <w:top w:val="none" w:sz="0" w:space="0" w:color="auto"/>
                            <w:left w:val="none" w:sz="0" w:space="0" w:color="auto"/>
                            <w:bottom w:val="none" w:sz="0" w:space="0" w:color="auto"/>
                            <w:right w:val="none" w:sz="0" w:space="0" w:color="auto"/>
                          </w:divBdr>
                        </w:div>
                      </w:divsChild>
                    </w:div>
                    <w:div w:id="1496145121">
                      <w:marLeft w:val="0"/>
                      <w:marRight w:val="0"/>
                      <w:marTop w:val="0"/>
                      <w:marBottom w:val="0"/>
                      <w:divBdr>
                        <w:top w:val="none" w:sz="0" w:space="0" w:color="auto"/>
                        <w:left w:val="none" w:sz="0" w:space="0" w:color="auto"/>
                        <w:bottom w:val="none" w:sz="0" w:space="0" w:color="auto"/>
                        <w:right w:val="none" w:sz="0" w:space="0" w:color="auto"/>
                      </w:divBdr>
                      <w:divsChild>
                        <w:div w:id="458185502">
                          <w:marLeft w:val="0"/>
                          <w:marRight w:val="0"/>
                          <w:marTop w:val="120"/>
                          <w:marBottom w:val="0"/>
                          <w:divBdr>
                            <w:top w:val="none" w:sz="0" w:space="0" w:color="auto"/>
                            <w:left w:val="none" w:sz="0" w:space="0" w:color="auto"/>
                            <w:bottom w:val="none" w:sz="0" w:space="0" w:color="auto"/>
                            <w:right w:val="none" w:sz="0" w:space="0" w:color="auto"/>
                          </w:divBdr>
                        </w:div>
                        <w:div w:id="828518452">
                          <w:marLeft w:val="0"/>
                          <w:marRight w:val="0"/>
                          <w:marTop w:val="0"/>
                          <w:marBottom w:val="0"/>
                          <w:divBdr>
                            <w:top w:val="none" w:sz="0" w:space="0" w:color="auto"/>
                            <w:left w:val="none" w:sz="0" w:space="0" w:color="auto"/>
                            <w:bottom w:val="none" w:sz="0" w:space="0" w:color="auto"/>
                            <w:right w:val="none" w:sz="0" w:space="0" w:color="auto"/>
                          </w:divBdr>
                        </w:div>
                      </w:divsChild>
                    </w:div>
                    <w:div w:id="1588927299">
                      <w:marLeft w:val="0"/>
                      <w:marRight w:val="0"/>
                      <w:marTop w:val="0"/>
                      <w:marBottom w:val="0"/>
                      <w:divBdr>
                        <w:top w:val="none" w:sz="0" w:space="0" w:color="auto"/>
                        <w:left w:val="none" w:sz="0" w:space="0" w:color="auto"/>
                        <w:bottom w:val="none" w:sz="0" w:space="0" w:color="auto"/>
                        <w:right w:val="none" w:sz="0" w:space="0" w:color="auto"/>
                      </w:divBdr>
                      <w:divsChild>
                        <w:div w:id="442726477">
                          <w:marLeft w:val="0"/>
                          <w:marRight w:val="0"/>
                          <w:marTop w:val="0"/>
                          <w:marBottom w:val="0"/>
                          <w:divBdr>
                            <w:top w:val="none" w:sz="0" w:space="0" w:color="auto"/>
                            <w:left w:val="none" w:sz="0" w:space="0" w:color="auto"/>
                            <w:bottom w:val="none" w:sz="0" w:space="0" w:color="auto"/>
                            <w:right w:val="none" w:sz="0" w:space="0" w:color="auto"/>
                          </w:divBdr>
                        </w:div>
                        <w:div w:id="2124155118">
                          <w:marLeft w:val="0"/>
                          <w:marRight w:val="0"/>
                          <w:marTop w:val="120"/>
                          <w:marBottom w:val="0"/>
                          <w:divBdr>
                            <w:top w:val="none" w:sz="0" w:space="0" w:color="auto"/>
                            <w:left w:val="none" w:sz="0" w:space="0" w:color="auto"/>
                            <w:bottom w:val="none" w:sz="0" w:space="0" w:color="auto"/>
                            <w:right w:val="none" w:sz="0" w:space="0" w:color="auto"/>
                          </w:divBdr>
                        </w:div>
                      </w:divsChild>
                    </w:div>
                    <w:div w:id="1621761751">
                      <w:marLeft w:val="0"/>
                      <w:marRight w:val="0"/>
                      <w:marTop w:val="0"/>
                      <w:marBottom w:val="0"/>
                      <w:divBdr>
                        <w:top w:val="none" w:sz="0" w:space="0" w:color="auto"/>
                        <w:left w:val="none" w:sz="0" w:space="0" w:color="auto"/>
                        <w:bottom w:val="none" w:sz="0" w:space="0" w:color="auto"/>
                        <w:right w:val="none" w:sz="0" w:space="0" w:color="auto"/>
                      </w:divBdr>
                      <w:divsChild>
                        <w:div w:id="201745880">
                          <w:marLeft w:val="0"/>
                          <w:marRight w:val="0"/>
                          <w:marTop w:val="120"/>
                          <w:marBottom w:val="0"/>
                          <w:divBdr>
                            <w:top w:val="none" w:sz="0" w:space="0" w:color="auto"/>
                            <w:left w:val="none" w:sz="0" w:space="0" w:color="auto"/>
                            <w:bottom w:val="none" w:sz="0" w:space="0" w:color="auto"/>
                            <w:right w:val="none" w:sz="0" w:space="0" w:color="auto"/>
                          </w:divBdr>
                        </w:div>
                        <w:div w:id="1146776970">
                          <w:marLeft w:val="0"/>
                          <w:marRight w:val="0"/>
                          <w:marTop w:val="0"/>
                          <w:marBottom w:val="0"/>
                          <w:divBdr>
                            <w:top w:val="none" w:sz="0" w:space="0" w:color="auto"/>
                            <w:left w:val="none" w:sz="0" w:space="0" w:color="auto"/>
                            <w:bottom w:val="none" w:sz="0" w:space="0" w:color="auto"/>
                            <w:right w:val="none" w:sz="0" w:space="0" w:color="auto"/>
                          </w:divBdr>
                        </w:div>
                      </w:divsChild>
                    </w:div>
                    <w:div w:id="1803452047">
                      <w:marLeft w:val="0"/>
                      <w:marRight w:val="0"/>
                      <w:marTop w:val="0"/>
                      <w:marBottom w:val="0"/>
                      <w:divBdr>
                        <w:top w:val="none" w:sz="0" w:space="0" w:color="auto"/>
                        <w:left w:val="none" w:sz="0" w:space="0" w:color="auto"/>
                        <w:bottom w:val="none" w:sz="0" w:space="0" w:color="auto"/>
                        <w:right w:val="none" w:sz="0" w:space="0" w:color="auto"/>
                      </w:divBdr>
                      <w:divsChild>
                        <w:div w:id="163130526">
                          <w:marLeft w:val="0"/>
                          <w:marRight w:val="0"/>
                          <w:marTop w:val="120"/>
                          <w:marBottom w:val="0"/>
                          <w:divBdr>
                            <w:top w:val="none" w:sz="0" w:space="0" w:color="auto"/>
                            <w:left w:val="none" w:sz="0" w:space="0" w:color="auto"/>
                            <w:bottom w:val="none" w:sz="0" w:space="0" w:color="auto"/>
                            <w:right w:val="none" w:sz="0" w:space="0" w:color="auto"/>
                          </w:divBdr>
                        </w:div>
                        <w:div w:id="994651909">
                          <w:marLeft w:val="0"/>
                          <w:marRight w:val="0"/>
                          <w:marTop w:val="0"/>
                          <w:marBottom w:val="0"/>
                          <w:divBdr>
                            <w:top w:val="none" w:sz="0" w:space="0" w:color="auto"/>
                            <w:left w:val="none" w:sz="0" w:space="0" w:color="auto"/>
                            <w:bottom w:val="none" w:sz="0" w:space="0" w:color="auto"/>
                            <w:right w:val="none" w:sz="0" w:space="0" w:color="auto"/>
                          </w:divBdr>
                        </w:div>
                      </w:divsChild>
                    </w:div>
                    <w:div w:id="1931547511">
                      <w:marLeft w:val="0"/>
                      <w:marRight w:val="0"/>
                      <w:marTop w:val="0"/>
                      <w:marBottom w:val="0"/>
                      <w:divBdr>
                        <w:top w:val="none" w:sz="0" w:space="0" w:color="auto"/>
                        <w:left w:val="none" w:sz="0" w:space="0" w:color="auto"/>
                        <w:bottom w:val="none" w:sz="0" w:space="0" w:color="auto"/>
                        <w:right w:val="none" w:sz="0" w:space="0" w:color="auto"/>
                      </w:divBdr>
                      <w:divsChild>
                        <w:div w:id="1244560038">
                          <w:marLeft w:val="0"/>
                          <w:marRight w:val="0"/>
                          <w:marTop w:val="120"/>
                          <w:marBottom w:val="0"/>
                          <w:divBdr>
                            <w:top w:val="none" w:sz="0" w:space="0" w:color="auto"/>
                            <w:left w:val="none" w:sz="0" w:space="0" w:color="auto"/>
                            <w:bottom w:val="none" w:sz="0" w:space="0" w:color="auto"/>
                            <w:right w:val="none" w:sz="0" w:space="0" w:color="auto"/>
                          </w:divBdr>
                        </w:div>
                        <w:div w:id="1753042055">
                          <w:marLeft w:val="0"/>
                          <w:marRight w:val="0"/>
                          <w:marTop w:val="0"/>
                          <w:marBottom w:val="0"/>
                          <w:divBdr>
                            <w:top w:val="none" w:sz="0" w:space="0" w:color="auto"/>
                            <w:left w:val="none" w:sz="0" w:space="0" w:color="auto"/>
                            <w:bottom w:val="none" w:sz="0" w:space="0" w:color="auto"/>
                            <w:right w:val="none" w:sz="0" w:space="0" w:color="auto"/>
                          </w:divBdr>
                        </w:div>
                      </w:divsChild>
                    </w:div>
                    <w:div w:id="1957906707">
                      <w:marLeft w:val="0"/>
                      <w:marRight w:val="0"/>
                      <w:marTop w:val="0"/>
                      <w:marBottom w:val="0"/>
                      <w:divBdr>
                        <w:top w:val="none" w:sz="0" w:space="0" w:color="auto"/>
                        <w:left w:val="none" w:sz="0" w:space="0" w:color="auto"/>
                        <w:bottom w:val="none" w:sz="0" w:space="0" w:color="auto"/>
                        <w:right w:val="none" w:sz="0" w:space="0" w:color="auto"/>
                      </w:divBdr>
                      <w:divsChild>
                        <w:div w:id="783187258">
                          <w:marLeft w:val="0"/>
                          <w:marRight w:val="0"/>
                          <w:marTop w:val="120"/>
                          <w:marBottom w:val="0"/>
                          <w:divBdr>
                            <w:top w:val="none" w:sz="0" w:space="0" w:color="auto"/>
                            <w:left w:val="none" w:sz="0" w:space="0" w:color="auto"/>
                            <w:bottom w:val="none" w:sz="0" w:space="0" w:color="auto"/>
                            <w:right w:val="none" w:sz="0" w:space="0" w:color="auto"/>
                          </w:divBdr>
                        </w:div>
                        <w:div w:id="982730967">
                          <w:marLeft w:val="0"/>
                          <w:marRight w:val="0"/>
                          <w:marTop w:val="0"/>
                          <w:marBottom w:val="0"/>
                          <w:divBdr>
                            <w:top w:val="none" w:sz="0" w:space="0" w:color="auto"/>
                            <w:left w:val="none" w:sz="0" w:space="0" w:color="auto"/>
                            <w:bottom w:val="none" w:sz="0" w:space="0" w:color="auto"/>
                            <w:right w:val="none" w:sz="0" w:space="0" w:color="auto"/>
                          </w:divBdr>
                        </w:div>
                      </w:divsChild>
                    </w:div>
                    <w:div w:id="2035306351">
                      <w:marLeft w:val="0"/>
                      <w:marRight w:val="0"/>
                      <w:marTop w:val="0"/>
                      <w:marBottom w:val="0"/>
                      <w:divBdr>
                        <w:top w:val="none" w:sz="0" w:space="0" w:color="auto"/>
                        <w:left w:val="none" w:sz="0" w:space="0" w:color="auto"/>
                        <w:bottom w:val="none" w:sz="0" w:space="0" w:color="auto"/>
                        <w:right w:val="none" w:sz="0" w:space="0" w:color="auto"/>
                      </w:divBdr>
                      <w:divsChild>
                        <w:div w:id="96566909">
                          <w:marLeft w:val="0"/>
                          <w:marRight w:val="0"/>
                          <w:marTop w:val="120"/>
                          <w:marBottom w:val="0"/>
                          <w:divBdr>
                            <w:top w:val="none" w:sz="0" w:space="0" w:color="auto"/>
                            <w:left w:val="none" w:sz="0" w:space="0" w:color="auto"/>
                            <w:bottom w:val="none" w:sz="0" w:space="0" w:color="auto"/>
                            <w:right w:val="none" w:sz="0" w:space="0" w:color="auto"/>
                          </w:divBdr>
                        </w:div>
                        <w:div w:id="832649787">
                          <w:marLeft w:val="0"/>
                          <w:marRight w:val="0"/>
                          <w:marTop w:val="0"/>
                          <w:marBottom w:val="0"/>
                          <w:divBdr>
                            <w:top w:val="none" w:sz="0" w:space="0" w:color="auto"/>
                            <w:left w:val="none" w:sz="0" w:space="0" w:color="auto"/>
                            <w:bottom w:val="none" w:sz="0" w:space="0" w:color="auto"/>
                            <w:right w:val="none" w:sz="0" w:space="0" w:color="auto"/>
                          </w:divBdr>
                        </w:div>
                      </w:divsChild>
                    </w:div>
                    <w:div w:id="2140566731">
                      <w:marLeft w:val="0"/>
                      <w:marRight w:val="0"/>
                      <w:marTop w:val="0"/>
                      <w:marBottom w:val="0"/>
                      <w:divBdr>
                        <w:top w:val="none" w:sz="0" w:space="0" w:color="auto"/>
                        <w:left w:val="none" w:sz="0" w:space="0" w:color="auto"/>
                        <w:bottom w:val="none" w:sz="0" w:space="0" w:color="auto"/>
                        <w:right w:val="none" w:sz="0" w:space="0" w:color="auto"/>
                      </w:divBdr>
                      <w:divsChild>
                        <w:div w:id="1300502552">
                          <w:marLeft w:val="0"/>
                          <w:marRight w:val="0"/>
                          <w:marTop w:val="120"/>
                          <w:marBottom w:val="0"/>
                          <w:divBdr>
                            <w:top w:val="none" w:sz="0" w:space="0" w:color="auto"/>
                            <w:left w:val="none" w:sz="0" w:space="0" w:color="auto"/>
                            <w:bottom w:val="none" w:sz="0" w:space="0" w:color="auto"/>
                            <w:right w:val="none" w:sz="0" w:space="0" w:color="auto"/>
                          </w:divBdr>
                        </w:div>
                        <w:div w:id="17421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66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5841387">
      <w:bodyDiv w:val="1"/>
      <w:marLeft w:val="0"/>
      <w:marRight w:val="0"/>
      <w:marTop w:val="0"/>
      <w:marBottom w:val="0"/>
      <w:divBdr>
        <w:top w:val="none" w:sz="0" w:space="0" w:color="auto"/>
        <w:left w:val="none" w:sz="0" w:space="0" w:color="auto"/>
        <w:bottom w:val="none" w:sz="0" w:space="0" w:color="auto"/>
        <w:right w:val="none" w:sz="0" w:space="0" w:color="auto"/>
      </w:divBdr>
      <w:divsChild>
        <w:div w:id="9768314">
          <w:marLeft w:val="0"/>
          <w:marRight w:val="0"/>
          <w:marTop w:val="0"/>
          <w:marBottom w:val="0"/>
          <w:divBdr>
            <w:top w:val="none" w:sz="0" w:space="0" w:color="auto"/>
            <w:left w:val="none" w:sz="0" w:space="0" w:color="auto"/>
            <w:bottom w:val="none" w:sz="0" w:space="0" w:color="auto"/>
            <w:right w:val="none" w:sz="0" w:space="0" w:color="auto"/>
          </w:divBdr>
          <w:divsChild>
            <w:div w:id="441849951">
              <w:marLeft w:val="0"/>
              <w:marRight w:val="0"/>
              <w:marTop w:val="0"/>
              <w:marBottom w:val="0"/>
              <w:divBdr>
                <w:top w:val="none" w:sz="0" w:space="0" w:color="auto"/>
                <w:left w:val="none" w:sz="0" w:space="0" w:color="auto"/>
                <w:bottom w:val="none" w:sz="0" w:space="0" w:color="auto"/>
                <w:right w:val="none" w:sz="0" w:space="0" w:color="auto"/>
              </w:divBdr>
              <w:divsChild>
                <w:div w:id="1222443826">
                  <w:marLeft w:val="0"/>
                  <w:marRight w:val="0"/>
                  <w:marTop w:val="0"/>
                  <w:marBottom w:val="0"/>
                  <w:divBdr>
                    <w:top w:val="none" w:sz="0" w:space="0" w:color="auto"/>
                    <w:left w:val="none" w:sz="0" w:space="0" w:color="auto"/>
                    <w:bottom w:val="none" w:sz="0" w:space="0" w:color="auto"/>
                    <w:right w:val="none" w:sz="0" w:space="0" w:color="auto"/>
                  </w:divBdr>
                  <w:divsChild>
                    <w:div w:id="598562794">
                      <w:marLeft w:val="0"/>
                      <w:marRight w:val="0"/>
                      <w:marTop w:val="0"/>
                      <w:marBottom w:val="0"/>
                      <w:divBdr>
                        <w:top w:val="none" w:sz="0" w:space="0" w:color="auto"/>
                        <w:left w:val="none" w:sz="0" w:space="0" w:color="auto"/>
                        <w:bottom w:val="none" w:sz="0" w:space="0" w:color="auto"/>
                        <w:right w:val="none" w:sz="0" w:space="0" w:color="auto"/>
                      </w:divBdr>
                    </w:div>
                    <w:div w:id="791095637">
                      <w:marLeft w:val="0"/>
                      <w:marRight w:val="0"/>
                      <w:marTop w:val="120"/>
                      <w:marBottom w:val="0"/>
                      <w:divBdr>
                        <w:top w:val="none" w:sz="0" w:space="0" w:color="auto"/>
                        <w:left w:val="none" w:sz="0" w:space="0" w:color="auto"/>
                        <w:bottom w:val="none" w:sz="0" w:space="0" w:color="auto"/>
                        <w:right w:val="none" w:sz="0" w:space="0" w:color="auto"/>
                      </w:divBdr>
                    </w:div>
                  </w:divsChild>
                </w:div>
                <w:div w:id="1553535332">
                  <w:marLeft w:val="0"/>
                  <w:marRight w:val="0"/>
                  <w:marTop w:val="0"/>
                  <w:marBottom w:val="0"/>
                  <w:divBdr>
                    <w:top w:val="none" w:sz="0" w:space="0" w:color="auto"/>
                    <w:left w:val="none" w:sz="0" w:space="0" w:color="auto"/>
                    <w:bottom w:val="none" w:sz="0" w:space="0" w:color="auto"/>
                    <w:right w:val="none" w:sz="0" w:space="0" w:color="auto"/>
                  </w:divBdr>
                  <w:divsChild>
                    <w:div w:id="747070503">
                      <w:marLeft w:val="0"/>
                      <w:marRight w:val="0"/>
                      <w:marTop w:val="0"/>
                      <w:marBottom w:val="0"/>
                      <w:divBdr>
                        <w:top w:val="none" w:sz="0" w:space="0" w:color="auto"/>
                        <w:left w:val="none" w:sz="0" w:space="0" w:color="auto"/>
                        <w:bottom w:val="none" w:sz="0" w:space="0" w:color="auto"/>
                        <w:right w:val="none" w:sz="0" w:space="0" w:color="auto"/>
                      </w:divBdr>
                    </w:div>
                    <w:div w:id="13023416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9092286">
          <w:marLeft w:val="0"/>
          <w:marRight w:val="0"/>
          <w:marTop w:val="0"/>
          <w:marBottom w:val="0"/>
          <w:divBdr>
            <w:top w:val="none" w:sz="0" w:space="0" w:color="auto"/>
            <w:left w:val="none" w:sz="0" w:space="0" w:color="auto"/>
            <w:bottom w:val="none" w:sz="0" w:space="0" w:color="auto"/>
            <w:right w:val="none" w:sz="0" w:space="0" w:color="auto"/>
          </w:divBdr>
          <w:divsChild>
            <w:div w:id="1886794369">
              <w:marLeft w:val="0"/>
              <w:marRight w:val="0"/>
              <w:marTop w:val="0"/>
              <w:marBottom w:val="0"/>
              <w:divBdr>
                <w:top w:val="none" w:sz="0" w:space="0" w:color="auto"/>
                <w:left w:val="none" w:sz="0" w:space="0" w:color="auto"/>
                <w:bottom w:val="none" w:sz="0" w:space="0" w:color="auto"/>
                <w:right w:val="none" w:sz="0" w:space="0" w:color="auto"/>
              </w:divBdr>
              <w:divsChild>
                <w:div w:id="277179422">
                  <w:marLeft w:val="0"/>
                  <w:marRight w:val="0"/>
                  <w:marTop w:val="0"/>
                  <w:marBottom w:val="0"/>
                  <w:divBdr>
                    <w:top w:val="none" w:sz="0" w:space="0" w:color="auto"/>
                    <w:left w:val="none" w:sz="0" w:space="0" w:color="auto"/>
                    <w:bottom w:val="none" w:sz="0" w:space="0" w:color="auto"/>
                    <w:right w:val="none" w:sz="0" w:space="0" w:color="auto"/>
                  </w:divBdr>
                  <w:divsChild>
                    <w:div w:id="77602436">
                      <w:marLeft w:val="0"/>
                      <w:marRight w:val="0"/>
                      <w:marTop w:val="120"/>
                      <w:marBottom w:val="0"/>
                      <w:divBdr>
                        <w:top w:val="none" w:sz="0" w:space="0" w:color="auto"/>
                        <w:left w:val="none" w:sz="0" w:space="0" w:color="auto"/>
                        <w:bottom w:val="none" w:sz="0" w:space="0" w:color="auto"/>
                        <w:right w:val="none" w:sz="0" w:space="0" w:color="auto"/>
                      </w:divBdr>
                    </w:div>
                    <w:div w:id="1295914396">
                      <w:marLeft w:val="0"/>
                      <w:marRight w:val="0"/>
                      <w:marTop w:val="0"/>
                      <w:marBottom w:val="0"/>
                      <w:divBdr>
                        <w:top w:val="none" w:sz="0" w:space="0" w:color="auto"/>
                        <w:left w:val="none" w:sz="0" w:space="0" w:color="auto"/>
                        <w:bottom w:val="none" w:sz="0" w:space="0" w:color="auto"/>
                        <w:right w:val="none" w:sz="0" w:space="0" w:color="auto"/>
                      </w:divBdr>
                    </w:div>
                  </w:divsChild>
                </w:div>
                <w:div w:id="849611826">
                  <w:marLeft w:val="0"/>
                  <w:marRight w:val="0"/>
                  <w:marTop w:val="0"/>
                  <w:marBottom w:val="0"/>
                  <w:divBdr>
                    <w:top w:val="none" w:sz="0" w:space="0" w:color="auto"/>
                    <w:left w:val="none" w:sz="0" w:space="0" w:color="auto"/>
                    <w:bottom w:val="none" w:sz="0" w:space="0" w:color="auto"/>
                    <w:right w:val="none" w:sz="0" w:space="0" w:color="auto"/>
                  </w:divBdr>
                  <w:divsChild>
                    <w:div w:id="53552996">
                      <w:marLeft w:val="0"/>
                      <w:marRight w:val="0"/>
                      <w:marTop w:val="0"/>
                      <w:marBottom w:val="0"/>
                      <w:divBdr>
                        <w:top w:val="none" w:sz="0" w:space="0" w:color="auto"/>
                        <w:left w:val="none" w:sz="0" w:space="0" w:color="auto"/>
                        <w:bottom w:val="none" w:sz="0" w:space="0" w:color="auto"/>
                        <w:right w:val="none" w:sz="0" w:space="0" w:color="auto"/>
                      </w:divBdr>
                    </w:div>
                    <w:div w:id="1613245653">
                      <w:marLeft w:val="0"/>
                      <w:marRight w:val="0"/>
                      <w:marTop w:val="120"/>
                      <w:marBottom w:val="0"/>
                      <w:divBdr>
                        <w:top w:val="none" w:sz="0" w:space="0" w:color="auto"/>
                        <w:left w:val="none" w:sz="0" w:space="0" w:color="auto"/>
                        <w:bottom w:val="none" w:sz="0" w:space="0" w:color="auto"/>
                        <w:right w:val="none" w:sz="0" w:space="0" w:color="auto"/>
                      </w:divBdr>
                    </w:div>
                  </w:divsChild>
                </w:div>
                <w:div w:id="918102331">
                  <w:marLeft w:val="0"/>
                  <w:marRight w:val="0"/>
                  <w:marTop w:val="0"/>
                  <w:marBottom w:val="0"/>
                  <w:divBdr>
                    <w:top w:val="none" w:sz="0" w:space="0" w:color="auto"/>
                    <w:left w:val="none" w:sz="0" w:space="0" w:color="auto"/>
                    <w:bottom w:val="none" w:sz="0" w:space="0" w:color="auto"/>
                    <w:right w:val="none" w:sz="0" w:space="0" w:color="auto"/>
                  </w:divBdr>
                  <w:divsChild>
                    <w:div w:id="915438932">
                      <w:marLeft w:val="0"/>
                      <w:marRight w:val="0"/>
                      <w:marTop w:val="0"/>
                      <w:marBottom w:val="0"/>
                      <w:divBdr>
                        <w:top w:val="none" w:sz="0" w:space="0" w:color="auto"/>
                        <w:left w:val="none" w:sz="0" w:space="0" w:color="auto"/>
                        <w:bottom w:val="none" w:sz="0" w:space="0" w:color="auto"/>
                        <w:right w:val="none" w:sz="0" w:space="0" w:color="auto"/>
                      </w:divBdr>
                    </w:div>
                    <w:div w:id="1943025779">
                      <w:marLeft w:val="0"/>
                      <w:marRight w:val="0"/>
                      <w:marTop w:val="120"/>
                      <w:marBottom w:val="0"/>
                      <w:divBdr>
                        <w:top w:val="none" w:sz="0" w:space="0" w:color="auto"/>
                        <w:left w:val="none" w:sz="0" w:space="0" w:color="auto"/>
                        <w:bottom w:val="none" w:sz="0" w:space="0" w:color="auto"/>
                        <w:right w:val="none" w:sz="0" w:space="0" w:color="auto"/>
                      </w:divBdr>
                    </w:div>
                  </w:divsChild>
                </w:div>
                <w:div w:id="1273367637">
                  <w:marLeft w:val="0"/>
                  <w:marRight w:val="0"/>
                  <w:marTop w:val="0"/>
                  <w:marBottom w:val="0"/>
                  <w:divBdr>
                    <w:top w:val="none" w:sz="0" w:space="0" w:color="auto"/>
                    <w:left w:val="none" w:sz="0" w:space="0" w:color="auto"/>
                    <w:bottom w:val="none" w:sz="0" w:space="0" w:color="auto"/>
                    <w:right w:val="none" w:sz="0" w:space="0" w:color="auto"/>
                  </w:divBdr>
                  <w:divsChild>
                    <w:div w:id="1243098894">
                      <w:marLeft w:val="0"/>
                      <w:marRight w:val="0"/>
                      <w:marTop w:val="0"/>
                      <w:marBottom w:val="0"/>
                      <w:divBdr>
                        <w:top w:val="none" w:sz="0" w:space="0" w:color="auto"/>
                        <w:left w:val="none" w:sz="0" w:space="0" w:color="auto"/>
                        <w:bottom w:val="none" w:sz="0" w:space="0" w:color="auto"/>
                        <w:right w:val="none" w:sz="0" w:space="0" w:color="auto"/>
                      </w:divBdr>
                      <w:divsChild>
                        <w:div w:id="453443610">
                          <w:marLeft w:val="0"/>
                          <w:marRight w:val="0"/>
                          <w:marTop w:val="0"/>
                          <w:marBottom w:val="0"/>
                          <w:divBdr>
                            <w:top w:val="none" w:sz="0" w:space="0" w:color="auto"/>
                            <w:left w:val="none" w:sz="0" w:space="0" w:color="auto"/>
                            <w:bottom w:val="none" w:sz="0" w:space="0" w:color="auto"/>
                            <w:right w:val="none" w:sz="0" w:space="0" w:color="auto"/>
                          </w:divBdr>
                          <w:divsChild>
                            <w:div w:id="156968176">
                              <w:marLeft w:val="0"/>
                              <w:marRight w:val="0"/>
                              <w:marTop w:val="0"/>
                              <w:marBottom w:val="0"/>
                              <w:divBdr>
                                <w:top w:val="none" w:sz="0" w:space="0" w:color="auto"/>
                                <w:left w:val="none" w:sz="0" w:space="0" w:color="auto"/>
                                <w:bottom w:val="none" w:sz="0" w:space="0" w:color="auto"/>
                                <w:right w:val="none" w:sz="0" w:space="0" w:color="auto"/>
                              </w:divBdr>
                            </w:div>
                            <w:div w:id="1266378522">
                              <w:marLeft w:val="0"/>
                              <w:marRight w:val="0"/>
                              <w:marTop w:val="120"/>
                              <w:marBottom w:val="0"/>
                              <w:divBdr>
                                <w:top w:val="none" w:sz="0" w:space="0" w:color="auto"/>
                                <w:left w:val="none" w:sz="0" w:space="0" w:color="auto"/>
                                <w:bottom w:val="none" w:sz="0" w:space="0" w:color="auto"/>
                                <w:right w:val="none" w:sz="0" w:space="0" w:color="auto"/>
                              </w:divBdr>
                            </w:div>
                          </w:divsChild>
                        </w:div>
                        <w:div w:id="1447309748">
                          <w:marLeft w:val="0"/>
                          <w:marRight w:val="0"/>
                          <w:marTop w:val="0"/>
                          <w:marBottom w:val="0"/>
                          <w:divBdr>
                            <w:top w:val="none" w:sz="0" w:space="0" w:color="auto"/>
                            <w:left w:val="none" w:sz="0" w:space="0" w:color="auto"/>
                            <w:bottom w:val="none" w:sz="0" w:space="0" w:color="auto"/>
                            <w:right w:val="none" w:sz="0" w:space="0" w:color="auto"/>
                          </w:divBdr>
                          <w:divsChild>
                            <w:div w:id="220098547">
                              <w:marLeft w:val="0"/>
                              <w:marRight w:val="0"/>
                              <w:marTop w:val="0"/>
                              <w:marBottom w:val="0"/>
                              <w:divBdr>
                                <w:top w:val="none" w:sz="0" w:space="0" w:color="auto"/>
                                <w:left w:val="none" w:sz="0" w:space="0" w:color="auto"/>
                                <w:bottom w:val="none" w:sz="0" w:space="0" w:color="auto"/>
                                <w:right w:val="none" w:sz="0" w:space="0" w:color="auto"/>
                              </w:divBdr>
                            </w:div>
                            <w:div w:id="19412532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4093281">
                      <w:marLeft w:val="0"/>
                      <w:marRight w:val="0"/>
                      <w:marTop w:val="120"/>
                      <w:marBottom w:val="0"/>
                      <w:divBdr>
                        <w:top w:val="none" w:sz="0" w:space="0" w:color="auto"/>
                        <w:left w:val="none" w:sz="0" w:space="0" w:color="auto"/>
                        <w:bottom w:val="none" w:sz="0" w:space="0" w:color="auto"/>
                        <w:right w:val="none" w:sz="0" w:space="0" w:color="auto"/>
                      </w:divBdr>
                    </w:div>
                  </w:divsChild>
                </w:div>
                <w:div w:id="1802263342">
                  <w:marLeft w:val="0"/>
                  <w:marRight w:val="0"/>
                  <w:marTop w:val="0"/>
                  <w:marBottom w:val="0"/>
                  <w:divBdr>
                    <w:top w:val="none" w:sz="0" w:space="0" w:color="auto"/>
                    <w:left w:val="none" w:sz="0" w:space="0" w:color="auto"/>
                    <w:bottom w:val="none" w:sz="0" w:space="0" w:color="auto"/>
                    <w:right w:val="none" w:sz="0" w:space="0" w:color="auto"/>
                  </w:divBdr>
                  <w:divsChild>
                    <w:div w:id="296840356">
                      <w:marLeft w:val="0"/>
                      <w:marRight w:val="0"/>
                      <w:marTop w:val="120"/>
                      <w:marBottom w:val="0"/>
                      <w:divBdr>
                        <w:top w:val="none" w:sz="0" w:space="0" w:color="auto"/>
                        <w:left w:val="none" w:sz="0" w:space="0" w:color="auto"/>
                        <w:bottom w:val="none" w:sz="0" w:space="0" w:color="auto"/>
                        <w:right w:val="none" w:sz="0" w:space="0" w:color="auto"/>
                      </w:divBdr>
                    </w:div>
                    <w:div w:id="20939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8001">
          <w:marLeft w:val="0"/>
          <w:marRight w:val="0"/>
          <w:marTop w:val="0"/>
          <w:marBottom w:val="0"/>
          <w:divBdr>
            <w:top w:val="none" w:sz="0" w:space="0" w:color="auto"/>
            <w:left w:val="none" w:sz="0" w:space="0" w:color="auto"/>
            <w:bottom w:val="none" w:sz="0" w:space="0" w:color="auto"/>
            <w:right w:val="none" w:sz="0" w:space="0" w:color="auto"/>
          </w:divBdr>
          <w:divsChild>
            <w:div w:id="363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90514">
      <w:bodyDiv w:val="1"/>
      <w:marLeft w:val="0"/>
      <w:marRight w:val="0"/>
      <w:marTop w:val="0"/>
      <w:marBottom w:val="0"/>
      <w:divBdr>
        <w:top w:val="none" w:sz="0" w:space="0" w:color="auto"/>
        <w:left w:val="none" w:sz="0" w:space="0" w:color="auto"/>
        <w:bottom w:val="none" w:sz="0" w:space="0" w:color="auto"/>
        <w:right w:val="none" w:sz="0" w:space="0" w:color="auto"/>
      </w:divBdr>
      <w:divsChild>
        <w:div w:id="523901416">
          <w:marLeft w:val="0"/>
          <w:marRight w:val="0"/>
          <w:marTop w:val="0"/>
          <w:marBottom w:val="0"/>
          <w:divBdr>
            <w:top w:val="none" w:sz="0" w:space="0" w:color="auto"/>
            <w:left w:val="none" w:sz="0" w:space="0" w:color="auto"/>
            <w:bottom w:val="none" w:sz="0" w:space="0" w:color="auto"/>
            <w:right w:val="none" w:sz="0" w:space="0" w:color="auto"/>
          </w:divBdr>
          <w:divsChild>
            <w:div w:id="215287692">
              <w:marLeft w:val="0"/>
              <w:marRight w:val="0"/>
              <w:marTop w:val="0"/>
              <w:marBottom w:val="0"/>
              <w:divBdr>
                <w:top w:val="none" w:sz="0" w:space="0" w:color="auto"/>
                <w:left w:val="none" w:sz="0" w:space="0" w:color="auto"/>
                <w:bottom w:val="none" w:sz="0" w:space="0" w:color="auto"/>
                <w:right w:val="none" w:sz="0" w:space="0" w:color="auto"/>
              </w:divBdr>
            </w:div>
          </w:divsChild>
        </w:div>
        <w:div w:id="858736133">
          <w:marLeft w:val="0"/>
          <w:marRight w:val="0"/>
          <w:marTop w:val="0"/>
          <w:marBottom w:val="0"/>
          <w:divBdr>
            <w:top w:val="none" w:sz="0" w:space="0" w:color="auto"/>
            <w:left w:val="none" w:sz="0" w:space="0" w:color="auto"/>
            <w:bottom w:val="none" w:sz="0" w:space="0" w:color="auto"/>
            <w:right w:val="none" w:sz="0" w:space="0" w:color="auto"/>
          </w:divBdr>
          <w:divsChild>
            <w:div w:id="624581816">
              <w:marLeft w:val="0"/>
              <w:marRight w:val="0"/>
              <w:marTop w:val="0"/>
              <w:marBottom w:val="0"/>
              <w:divBdr>
                <w:top w:val="none" w:sz="0" w:space="0" w:color="auto"/>
                <w:left w:val="none" w:sz="0" w:space="0" w:color="auto"/>
                <w:bottom w:val="none" w:sz="0" w:space="0" w:color="auto"/>
                <w:right w:val="none" w:sz="0" w:space="0" w:color="auto"/>
              </w:divBdr>
            </w:div>
            <w:div w:id="1603757454">
              <w:marLeft w:val="0"/>
              <w:marRight w:val="0"/>
              <w:marTop w:val="120"/>
              <w:marBottom w:val="0"/>
              <w:divBdr>
                <w:top w:val="none" w:sz="0" w:space="0" w:color="auto"/>
                <w:left w:val="none" w:sz="0" w:space="0" w:color="auto"/>
                <w:bottom w:val="none" w:sz="0" w:space="0" w:color="auto"/>
                <w:right w:val="none" w:sz="0" w:space="0" w:color="auto"/>
              </w:divBdr>
            </w:div>
          </w:divsChild>
        </w:div>
        <w:div w:id="861434877">
          <w:marLeft w:val="0"/>
          <w:marRight w:val="0"/>
          <w:marTop w:val="0"/>
          <w:marBottom w:val="0"/>
          <w:divBdr>
            <w:top w:val="none" w:sz="0" w:space="0" w:color="auto"/>
            <w:left w:val="none" w:sz="0" w:space="0" w:color="auto"/>
            <w:bottom w:val="none" w:sz="0" w:space="0" w:color="auto"/>
            <w:right w:val="none" w:sz="0" w:space="0" w:color="auto"/>
          </w:divBdr>
          <w:divsChild>
            <w:div w:id="159545143">
              <w:marLeft w:val="0"/>
              <w:marRight w:val="0"/>
              <w:marTop w:val="0"/>
              <w:marBottom w:val="0"/>
              <w:divBdr>
                <w:top w:val="none" w:sz="0" w:space="0" w:color="auto"/>
                <w:left w:val="none" w:sz="0" w:space="0" w:color="auto"/>
                <w:bottom w:val="none" w:sz="0" w:space="0" w:color="auto"/>
                <w:right w:val="none" w:sz="0" w:space="0" w:color="auto"/>
              </w:divBdr>
            </w:div>
            <w:div w:id="1077166622">
              <w:marLeft w:val="0"/>
              <w:marRight w:val="0"/>
              <w:marTop w:val="120"/>
              <w:marBottom w:val="0"/>
              <w:divBdr>
                <w:top w:val="none" w:sz="0" w:space="0" w:color="auto"/>
                <w:left w:val="none" w:sz="0" w:space="0" w:color="auto"/>
                <w:bottom w:val="none" w:sz="0" w:space="0" w:color="auto"/>
                <w:right w:val="none" w:sz="0" w:space="0" w:color="auto"/>
              </w:divBdr>
            </w:div>
          </w:divsChild>
        </w:div>
        <w:div w:id="1802728902">
          <w:marLeft w:val="0"/>
          <w:marRight w:val="0"/>
          <w:marTop w:val="0"/>
          <w:marBottom w:val="0"/>
          <w:divBdr>
            <w:top w:val="none" w:sz="0" w:space="0" w:color="auto"/>
            <w:left w:val="none" w:sz="0" w:space="0" w:color="auto"/>
            <w:bottom w:val="none" w:sz="0" w:space="0" w:color="auto"/>
            <w:right w:val="none" w:sz="0" w:space="0" w:color="auto"/>
          </w:divBdr>
          <w:divsChild>
            <w:div w:id="133258946">
              <w:marLeft w:val="0"/>
              <w:marRight w:val="0"/>
              <w:marTop w:val="0"/>
              <w:marBottom w:val="0"/>
              <w:divBdr>
                <w:top w:val="none" w:sz="0" w:space="0" w:color="auto"/>
                <w:left w:val="none" w:sz="0" w:space="0" w:color="auto"/>
                <w:bottom w:val="none" w:sz="0" w:space="0" w:color="auto"/>
                <w:right w:val="none" w:sz="0" w:space="0" w:color="auto"/>
              </w:divBdr>
            </w:div>
            <w:div w:id="17306904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4987555">
      <w:bodyDiv w:val="1"/>
      <w:marLeft w:val="0"/>
      <w:marRight w:val="0"/>
      <w:marTop w:val="0"/>
      <w:marBottom w:val="0"/>
      <w:divBdr>
        <w:top w:val="none" w:sz="0" w:space="0" w:color="auto"/>
        <w:left w:val="none" w:sz="0" w:space="0" w:color="auto"/>
        <w:bottom w:val="none" w:sz="0" w:space="0" w:color="auto"/>
        <w:right w:val="none" w:sz="0" w:space="0" w:color="auto"/>
      </w:divBdr>
      <w:divsChild>
        <w:div w:id="241793942">
          <w:marLeft w:val="0"/>
          <w:marRight w:val="0"/>
          <w:marTop w:val="0"/>
          <w:marBottom w:val="0"/>
          <w:divBdr>
            <w:top w:val="none" w:sz="0" w:space="0" w:color="auto"/>
            <w:left w:val="none" w:sz="0" w:space="0" w:color="auto"/>
            <w:bottom w:val="none" w:sz="0" w:space="0" w:color="auto"/>
            <w:right w:val="none" w:sz="0" w:space="0" w:color="auto"/>
          </w:divBdr>
          <w:divsChild>
            <w:div w:id="123813509">
              <w:marLeft w:val="0"/>
              <w:marRight w:val="0"/>
              <w:marTop w:val="0"/>
              <w:marBottom w:val="0"/>
              <w:divBdr>
                <w:top w:val="none" w:sz="0" w:space="0" w:color="auto"/>
                <w:left w:val="none" w:sz="0" w:space="0" w:color="auto"/>
                <w:bottom w:val="none" w:sz="0" w:space="0" w:color="auto"/>
                <w:right w:val="none" w:sz="0" w:space="0" w:color="auto"/>
              </w:divBdr>
            </w:div>
            <w:div w:id="547686194">
              <w:marLeft w:val="0"/>
              <w:marRight w:val="0"/>
              <w:marTop w:val="120"/>
              <w:marBottom w:val="0"/>
              <w:divBdr>
                <w:top w:val="none" w:sz="0" w:space="0" w:color="auto"/>
                <w:left w:val="none" w:sz="0" w:space="0" w:color="auto"/>
                <w:bottom w:val="none" w:sz="0" w:space="0" w:color="auto"/>
                <w:right w:val="none" w:sz="0" w:space="0" w:color="auto"/>
              </w:divBdr>
            </w:div>
          </w:divsChild>
        </w:div>
        <w:div w:id="1643777703">
          <w:marLeft w:val="0"/>
          <w:marRight w:val="0"/>
          <w:marTop w:val="0"/>
          <w:marBottom w:val="0"/>
          <w:divBdr>
            <w:top w:val="none" w:sz="0" w:space="0" w:color="auto"/>
            <w:left w:val="none" w:sz="0" w:space="0" w:color="auto"/>
            <w:bottom w:val="none" w:sz="0" w:space="0" w:color="auto"/>
            <w:right w:val="none" w:sz="0" w:space="0" w:color="auto"/>
          </w:divBdr>
          <w:divsChild>
            <w:div w:id="236135746">
              <w:marLeft w:val="0"/>
              <w:marRight w:val="0"/>
              <w:marTop w:val="0"/>
              <w:marBottom w:val="0"/>
              <w:divBdr>
                <w:top w:val="none" w:sz="0" w:space="0" w:color="auto"/>
                <w:left w:val="none" w:sz="0" w:space="0" w:color="auto"/>
                <w:bottom w:val="none" w:sz="0" w:space="0" w:color="auto"/>
                <w:right w:val="none" w:sz="0" w:space="0" w:color="auto"/>
              </w:divBdr>
            </w:div>
            <w:div w:id="13819795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2003596">
      <w:bodyDiv w:val="1"/>
      <w:marLeft w:val="0"/>
      <w:marRight w:val="0"/>
      <w:marTop w:val="0"/>
      <w:marBottom w:val="0"/>
      <w:divBdr>
        <w:top w:val="none" w:sz="0" w:space="0" w:color="auto"/>
        <w:left w:val="none" w:sz="0" w:space="0" w:color="auto"/>
        <w:bottom w:val="none" w:sz="0" w:space="0" w:color="auto"/>
        <w:right w:val="none" w:sz="0" w:space="0" w:color="auto"/>
      </w:divBdr>
    </w:div>
    <w:div w:id="1401058948">
      <w:bodyDiv w:val="1"/>
      <w:marLeft w:val="0"/>
      <w:marRight w:val="0"/>
      <w:marTop w:val="0"/>
      <w:marBottom w:val="0"/>
      <w:divBdr>
        <w:top w:val="none" w:sz="0" w:space="0" w:color="auto"/>
        <w:left w:val="none" w:sz="0" w:space="0" w:color="auto"/>
        <w:bottom w:val="none" w:sz="0" w:space="0" w:color="auto"/>
        <w:right w:val="none" w:sz="0" w:space="0" w:color="auto"/>
      </w:divBdr>
    </w:div>
    <w:div w:id="1406418646">
      <w:bodyDiv w:val="1"/>
      <w:marLeft w:val="0"/>
      <w:marRight w:val="0"/>
      <w:marTop w:val="0"/>
      <w:marBottom w:val="0"/>
      <w:divBdr>
        <w:top w:val="none" w:sz="0" w:space="0" w:color="auto"/>
        <w:left w:val="none" w:sz="0" w:space="0" w:color="auto"/>
        <w:bottom w:val="none" w:sz="0" w:space="0" w:color="auto"/>
        <w:right w:val="none" w:sz="0" w:space="0" w:color="auto"/>
      </w:divBdr>
      <w:divsChild>
        <w:div w:id="934023925">
          <w:marLeft w:val="0"/>
          <w:marRight w:val="0"/>
          <w:marTop w:val="0"/>
          <w:marBottom w:val="0"/>
          <w:divBdr>
            <w:top w:val="none" w:sz="0" w:space="0" w:color="auto"/>
            <w:left w:val="none" w:sz="0" w:space="0" w:color="auto"/>
            <w:bottom w:val="none" w:sz="0" w:space="0" w:color="auto"/>
            <w:right w:val="none" w:sz="0" w:space="0" w:color="auto"/>
          </w:divBdr>
          <w:divsChild>
            <w:div w:id="1751122548">
              <w:marLeft w:val="0"/>
              <w:marRight w:val="0"/>
              <w:marTop w:val="0"/>
              <w:marBottom w:val="0"/>
              <w:divBdr>
                <w:top w:val="none" w:sz="0" w:space="0" w:color="auto"/>
                <w:left w:val="none" w:sz="0" w:space="0" w:color="auto"/>
                <w:bottom w:val="none" w:sz="0" w:space="0" w:color="auto"/>
                <w:right w:val="none" w:sz="0" w:space="0" w:color="auto"/>
              </w:divBdr>
            </w:div>
          </w:divsChild>
        </w:div>
        <w:div w:id="2145540011">
          <w:marLeft w:val="0"/>
          <w:marRight w:val="0"/>
          <w:marTop w:val="0"/>
          <w:marBottom w:val="0"/>
          <w:divBdr>
            <w:top w:val="none" w:sz="0" w:space="0" w:color="auto"/>
            <w:left w:val="none" w:sz="0" w:space="0" w:color="auto"/>
            <w:bottom w:val="none" w:sz="0" w:space="0" w:color="auto"/>
            <w:right w:val="none" w:sz="0" w:space="0" w:color="auto"/>
          </w:divBdr>
          <w:divsChild>
            <w:div w:id="1561164265">
              <w:marLeft w:val="0"/>
              <w:marRight w:val="0"/>
              <w:marTop w:val="0"/>
              <w:marBottom w:val="0"/>
              <w:divBdr>
                <w:top w:val="none" w:sz="0" w:space="0" w:color="auto"/>
                <w:left w:val="none" w:sz="0" w:space="0" w:color="auto"/>
                <w:bottom w:val="none" w:sz="0" w:space="0" w:color="auto"/>
                <w:right w:val="none" w:sz="0" w:space="0" w:color="auto"/>
              </w:divBdr>
            </w:div>
            <w:div w:id="16196751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8308295">
      <w:bodyDiv w:val="1"/>
      <w:marLeft w:val="0"/>
      <w:marRight w:val="0"/>
      <w:marTop w:val="0"/>
      <w:marBottom w:val="0"/>
      <w:divBdr>
        <w:top w:val="none" w:sz="0" w:space="0" w:color="auto"/>
        <w:left w:val="none" w:sz="0" w:space="0" w:color="auto"/>
        <w:bottom w:val="none" w:sz="0" w:space="0" w:color="auto"/>
        <w:right w:val="none" w:sz="0" w:space="0" w:color="auto"/>
      </w:divBdr>
      <w:divsChild>
        <w:div w:id="1791244114">
          <w:marLeft w:val="0"/>
          <w:marRight w:val="0"/>
          <w:marTop w:val="0"/>
          <w:marBottom w:val="0"/>
          <w:divBdr>
            <w:top w:val="none" w:sz="0" w:space="0" w:color="auto"/>
            <w:left w:val="none" w:sz="0" w:space="0" w:color="auto"/>
            <w:bottom w:val="none" w:sz="0" w:space="0" w:color="auto"/>
            <w:right w:val="none" w:sz="0" w:space="0" w:color="auto"/>
          </w:divBdr>
          <w:divsChild>
            <w:div w:id="361594745">
              <w:marLeft w:val="0"/>
              <w:marRight w:val="0"/>
              <w:marTop w:val="0"/>
              <w:marBottom w:val="0"/>
              <w:divBdr>
                <w:top w:val="none" w:sz="0" w:space="0" w:color="auto"/>
                <w:left w:val="none" w:sz="0" w:space="0" w:color="auto"/>
                <w:bottom w:val="none" w:sz="0" w:space="0" w:color="auto"/>
                <w:right w:val="none" w:sz="0" w:space="0" w:color="auto"/>
              </w:divBdr>
              <w:divsChild>
                <w:div w:id="1019545568">
                  <w:marLeft w:val="0"/>
                  <w:marRight w:val="0"/>
                  <w:marTop w:val="0"/>
                  <w:marBottom w:val="0"/>
                  <w:divBdr>
                    <w:top w:val="none" w:sz="0" w:space="0" w:color="auto"/>
                    <w:left w:val="none" w:sz="0" w:space="0" w:color="auto"/>
                    <w:bottom w:val="none" w:sz="0" w:space="0" w:color="auto"/>
                    <w:right w:val="none" w:sz="0" w:space="0" w:color="auto"/>
                  </w:divBdr>
                </w:div>
                <w:div w:id="1311443587">
                  <w:marLeft w:val="0"/>
                  <w:marRight w:val="0"/>
                  <w:marTop w:val="120"/>
                  <w:marBottom w:val="0"/>
                  <w:divBdr>
                    <w:top w:val="none" w:sz="0" w:space="0" w:color="auto"/>
                    <w:left w:val="none" w:sz="0" w:space="0" w:color="auto"/>
                    <w:bottom w:val="none" w:sz="0" w:space="0" w:color="auto"/>
                    <w:right w:val="none" w:sz="0" w:space="0" w:color="auto"/>
                  </w:divBdr>
                </w:div>
              </w:divsChild>
            </w:div>
            <w:div w:id="392043938">
              <w:marLeft w:val="0"/>
              <w:marRight w:val="0"/>
              <w:marTop w:val="0"/>
              <w:marBottom w:val="0"/>
              <w:divBdr>
                <w:top w:val="none" w:sz="0" w:space="0" w:color="auto"/>
                <w:left w:val="none" w:sz="0" w:space="0" w:color="auto"/>
                <w:bottom w:val="none" w:sz="0" w:space="0" w:color="auto"/>
                <w:right w:val="none" w:sz="0" w:space="0" w:color="auto"/>
              </w:divBdr>
              <w:divsChild>
                <w:div w:id="66198005">
                  <w:marLeft w:val="0"/>
                  <w:marRight w:val="0"/>
                  <w:marTop w:val="120"/>
                  <w:marBottom w:val="0"/>
                  <w:divBdr>
                    <w:top w:val="none" w:sz="0" w:space="0" w:color="auto"/>
                    <w:left w:val="none" w:sz="0" w:space="0" w:color="auto"/>
                    <w:bottom w:val="none" w:sz="0" w:space="0" w:color="auto"/>
                    <w:right w:val="none" w:sz="0" w:space="0" w:color="auto"/>
                  </w:divBdr>
                </w:div>
                <w:div w:id="1841001267">
                  <w:marLeft w:val="0"/>
                  <w:marRight w:val="0"/>
                  <w:marTop w:val="0"/>
                  <w:marBottom w:val="0"/>
                  <w:divBdr>
                    <w:top w:val="none" w:sz="0" w:space="0" w:color="auto"/>
                    <w:left w:val="none" w:sz="0" w:space="0" w:color="auto"/>
                    <w:bottom w:val="none" w:sz="0" w:space="0" w:color="auto"/>
                    <w:right w:val="none" w:sz="0" w:space="0" w:color="auto"/>
                  </w:divBdr>
                </w:div>
              </w:divsChild>
            </w:div>
            <w:div w:id="595745269">
              <w:marLeft w:val="0"/>
              <w:marRight w:val="0"/>
              <w:marTop w:val="0"/>
              <w:marBottom w:val="0"/>
              <w:divBdr>
                <w:top w:val="none" w:sz="0" w:space="0" w:color="auto"/>
                <w:left w:val="none" w:sz="0" w:space="0" w:color="auto"/>
                <w:bottom w:val="none" w:sz="0" w:space="0" w:color="auto"/>
                <w:right w:val="none" w:sz="0" w:space="0" w:color="auto"/>
              </w:divBdr>
              <w:divsChild>
                <w:div w:id="1071080502">
                  <w:marLeft w:val="0"/>
                  <w:marRight w:val="0"/>
                  <w:marTop w:val="0"/>
                  <w:marBottom w:val="0"/>
                  <w:divBdr>
                    <w:top w:val="none" w:sz="0" w:space="0" w:color="auto"/>
                    <w:left w:val="none" w:sz="0" w:space="0" w:color="auto"/>
                    <w:bottom w:val="none" w:sz="0" w:space="0" w:color="auto"/>
                    <w:right w:val="none" w:sz="0" w:space="0" w:color="auto"/>
                  </w:divBdr>
                </w:div>
                <w:div w:id="1821798950">
                  <w:marLeft w:val="0"/>
                  <w:marRight w:val="0"/>
                  <w:marTop w:val="120"/>
                  <w:marBottom w:val="0"/>
                  <w:divBdr>
                    <w:top w:val="none" w:sz="0" w:space="0" w:color="auto"/>
                    <w:left w:val="none" w:sz="0" w:space="0" w:color="auto"/>
                    <w:bottom w:val="none" w:sz="0" w:space="0" w:color="auto"/>
                    <w:right w:val="none" w:sz="0" w:space="0" w:color="auto"/>
                  </w:divBdr>
                </w:div>
              </w:divsChild>
            </w:div>
            <w:div w:id="1921674828">
              <w:marLeft w:val="0"/>
              <w:marRight w:val="0"/>
              <w:marTop w:val="0"/>
              <w:marBottom w:val="0"/>
              <w:divBdr>
                <w:top w:val="none" w:sz="0" w:space="0" w:color="auto"/>
                <w:left w:val="none" w:sz="0" w:space="0" w:color="auto"/>
                <w:bottom w:val="none" w:sz="0" w:space="0" w:color="auto"/>
                <w:right w:val="none" w:sz="0" w:space="0" w:color="auto"/>
              </w:divBdr>
              <w:divsChild>
                <w:div w:id="267928040">
                  <w:marLeft w:val="0"/>
                  <w:marRight w:val="0"/>
                  <w:marTop w:val="0"/>
                  <w:marBottom w:val="0"/>
                  <w:divBdr>
                    <w:top w:val="none" w:sz="0" w:space="0" w:color="auto"/>
                    <w:left w:val="none" w:sz="0" w:space="0" w:color="auto"/>
                    <w:bottom w:val="none" w:sz="0" w:space="0" w:color="auto"/>
                    <w:right w:val="none" w:sz="0" w:space="0" w:color="auto"/>
                  </w:divBdr>
                </w:div>
                <w:div w:id="747849243">
                  <w:marLeft w:val="0"/>
                  <w:marRight w:val="0"/>
                  <w:marTop w:val="120"/>
                  <w:marBottom w:val="0"/>
                  <w:divBdr>
                    <w:top w:val="none" w:sz="0" w:space="0" w:color="auto"/>
                    <w:left w:val="none" w:sz="0" w:space="0" w:color="auto"/>
                    <w:bottom w:val="none" w:sz="0" w:space="0" w:color="auto"/>
                    <w:right w:val="none" w:sz="0" w:space="0" w:color="auto"/>
                  </w:divBdr>
                </w:div>
              </w:divsChild>
            </w:div>
            <w:div w:id="2130316128">
              <w:marLeft w:val="0"/>
              <w:marRight w:val="0"/>
              <w:marTop w:val="0"/>
              <w:marBottom w:val="0"/>
              <w:divBdr>
                <w:top w:val="none" w:sz="0" w:space="0" w:color="auto"/>
                <w:left w:val="none" w:sz="0" w:space="0" w:color="auto"/>
                <w:bottom w:val="none" w:sz="0" w:space="0" w:color="auto"/>
                <w:right w:val="none" w:sz="0" w:space="0" w:color="auto"/>
              </w:divBdr>
              <w:divsChild>
                <w:div w:id="507796383">
                  <w:marLeft w:val="0"/>
                  <w:marRight w:val="0"/>
                  <w:marTop w:val="0"/>
                  <w:marBottom w:val="0"/>
                  <w:divBdr>
                    <w:top w:val="none" w:sz="0" w:space="0" w:color="auto"/>
                    <w:left w:val="none" w:sz="0" w:space="0" w:color="auto"/>
                    <w:bottom w:val="none" w:sz="0" w:space="0" w:color="auto"/>
                    <w:right w:val="none" w:sz="0" w:space="0" w:color="auto"/>
                  </w:divBdr>
                </w:div>
                <w:div w:id="10656453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10955935">
      <w:bodyDiv w:val="1"/>
      <w:marLeft w:val="0"/>
      <w:marRight w:val="0"/>
      <w:marTop w:val="0"/>
      <w:marBottom w:val="0"/>
      <w:divBdr>
        <w:top w:val="none" w:sz="0" w:space="0" w:color="auto"/>
        <w:left w:val="none" w:sz="0" w:space="0" w:color="auto"/>
        <w:bottom w:val="none" w:sz="0" w:space="0" w:color="auto"/>
        <w:right w:val="none" w:sz="0" w:space="0" w:color="auto"/>
      </w:divBdr>
      <w:divsChild>
        <w:div w:id="10769196">
          <w:marLeft w:val="600"/>
          <w:marRight w:val="0"/>
          <w:marTop w:val="0"/>
          <w:marBottom w:val="0"/>
          <w:divBdr>
            <w:top w:val="none" w:sz="0" w:space="0" w:color="auto"/>
            <w:left w:val="none" w:sz="0" w:space="0" w:color="auto"/>
            <w:bottom w:val="none" w:sz="0" w:space="0" w:color="auto"/>
            <w:right w:val="none" w:sz="0" w:space="0" w:color="auto"/>
          </w:divBdr>
        </w:div>
        <w:div w:id="1029797232">
          <w:marLeft w:val="600"/>
          <w:marRight w:val="0"/>
          <w:marTop w:val="0"/>
          <w:marBottom w:val="0"/>
          <w:divBdr>
            <w:top w:val="none" w:sz="0" w:space="0" w:color="auto"/>
            <w:left w:val="none" w:sz="0" w:space="0" w:color="auto"/>
            <w:bottom w:val="none" w:sz="0" w:space="0" w:color="auto"/>
            <w:right w:val="none" w:sz="0" w:space="0" w:color="auto"/>
          </w:divBdr>
        </w:div>
        <w:div w:id="1307473650">
          <w:marLeft w:val="720"/>
          <w:marRight w:val="0"/>
          <w:marTop w:val="0"/>
          <w:marBottom w:val="0"/>
          <w:divBdr>
            <w:top w:val="none" w:sz="0" w:space="0" w:color="auto"/>
            <w:left w:val="none" w:sz="0" w:space="0" w:color="auto"/>
            <w:bottom w:val="none" w:sz="0" w:space="0" w:color="auto"/>
            <w:right w:val="none" w:sz="0" w:space="0" w:color="auto"/>
          </w:divBdr>
        </w:div>
      </w:divsChild>
    </w:div>
    <w:div w:id="1414005679">
      <w:bodyDiv w:val="1"/>
      <w:marLeft w:val="0"/>
      <w:marRight w:val="0"/>
      <w:marTop w:val="0"/>
      <w:marBottom w:val="0"/>
      <w:divBdr>
        <w:top w:val="none" w:sz="0" w:space="0" w:color="auto"/>
        <w:left w:val="none" w:sz="0" w:space="0" w:color="auto"/>
        <w:bottom w:val="none" w:sz="0" w:space="0" w:color="auto"/>
        <w:right w:val="none" w:sz="0" w:space="0" w:color="auto"/>
      </w:divBdr>
    </w:div>
    <w:div w:id="1417364690">
      <w:bodyDiv w:val="1"/>
      <w:marLeft w:val="0"/>
      <w:marRight w:val="0"/>
      <w:marTop w:val="0"/>
      <w:marBottom w:val="0"/>
      <w:divBdr>
        <w:top w:val="none" w:sz="0" w:space="0" w:color="auto"/>
        <w:left w:val="none" w:sz="0" w:space="0" w:color="auto"/>
        <w:bottom w:val="none" w:sz="0" w:space="0" w:color="auto"/>
        <w:right w:val="none" w:sz="0" w:space="0" w:color="auto"/>
      </w:divBdr>
      <w:divsChild>
        <w:div w:id="234095408">
          <w:marLeft w:val="0"/>
          <w:marRight w:val="0"/>
          <w:marTop w:val="0"/>
          <w:marBottom w:val="0"/>
          <w:divBdr>
            <w:top w:val="none" w:sz="0" w:space="0" w:color="auto"/>
            <w:left w:val="none" w:sz="0" w:space="0" w:color="auto"/>
            <w:bottom w:val="none" w:sz="0" w:space="0" w:color="auto"/>
            <w:right w:val="none" w:sz="0" w:space="0" w:color="auto"/>
          </w:divBdr>
          <w:divsChild>
            <w:div w:id="5795628">
              <w:marLeft w:val="0"/>
              <w:marRight w:val="0"/>
              <w:marTop w:val="0"/>
              <w:marBottom w:val="0"/>
              <w:divBdr>
                <w:top w:val="none" w:sz="0" w:space="0" w:color="auto"/>
                <w:left w:val="none" w:sz="0" w:space="0" w:color="auto"/>
                <w:bottom w:val="none" w:sz="0" w:space="0" w:color="auto"/>
                <w:right w:val="none" w:sz="0" w:space="0" w:color="auto"/>
              </w:divBdr>
            </w:div>
          </w:divsChild>
        </w:div>
        <w:div w:id="708264180">
          <w:marLeft w:val="0"/>
          <w:marRight w:val="0"/>
          <w:marTop w:val="0"/>
          <w:marBottom w:val="0"/>
          <w:divBdr>
            <w:top w:val="none" w:sz="0" w:space="0" w:color="auto"/>
            <w:left w:val="none" w:sz="0" w:space="0" w:color="auto"/>
            <w:bottom w:val="none" w:sz="0" w:space="0" w:color="auto"/>
            <w:right w:val="none" w:sz="0" w:space="0" w:color="auto"/>
          </w:divBdr>
          <w:divsChild>
            <w:div w:id="825973204">
              <w:marLeft w:val="0"/>
              <w:marRight w:val="0"/>
              <w:marTop w:val="0"/>
              <w:marBottom w:val="0"/>
              <w:divBdr>
                <w:top w:val="none" w:sz="0" w:space="0" w:color="auto"/>
                <w:left w:val="none" w:sz="0" w:space="0" w:color="auto"/>
                <w:bottom w:val="none" w:sz="0" w:space="0" w:color="auto"/>
                <w:right w:val="none" w:sz="0" w:space="0" w:color="auto"/>
              </w:divBdr>
            </w:div>
          </w:divsChild>
        </w:div>
        <w:div w:id="1509448128">
          <w:marLeft w:val="0"/>
          <w:marRight w:val="0"/>
          <w:marTop w:val="0"/>
          <w:marBottom w:val="0"/>
          <w:divBdr>
            <w:top w:val="none" w:sz="0" w:space="0" w:color="auto"/>
            <w:left w:val="none" w:sz="0" w:space="0" w:color="auto"/>
            <w:bottom w:val="none" w:sz="0" w:space="0" w:color="auto"/>
            <w:right w:val="none" w:sz="0" w:space="0" w:color="auto"/>
          </w:divBdr>
          <w:divsChild>
            <w:div w:id="424157585">
              <w:marLeft w:val="0"/>
              <w:marRight w:val="0"/>
              <w:marTop w:val="0"/>
              <w:marBottom w:val="0"/>
              <w:divBdr>
                <w:top w:val="none" w:sz="0" w:space="0" w:color="auto"/>
                <w:left w:val="none" w:sz="0" w:space="0" w:color="auto"/>
                <w:bottom w:val="none" w:sz="0" w:space="0" w:color="auto"/>
                <w:right w:val="none" w:sz="0" w:space="0" w:color="auto"/>
              </w:divBdr>
              <w:divsChild>
                <w:div w:id="18630034">
                  <w:marLeft w:val="0"/>
                  <w:marRight w:val="0"/>
                  <w:marTop w:val="0"/>
                  <w:marBottom w:val="0"/>
                  <w:divBdr>
                    <w:top w:val="none" w:sz="0" w:space="0" w:color="auto"/>
                    <w:left w:val="none" w:sz="0" w:space="0" w:color="auto"/>
                    <w:bottom w:val="none" w:sz="0" w:space="0" w:color="auto"/>
                    <w:right w:val="none" w:sz="0" w:space="0" w:color="auto"/>
                  </w:divBdr>
                  <w:divsChild>
                    <w:div w:id="1145509619">
                      <w:marLeft w:val="0"/>
                      <w:marRight w:val="0"/>
                      <w:marTop w:val="0"/>
                      <w:marBottom w:val="0"/>
                      <w:divBdr>
                        <w:top w:val="none" w:sz="0" w:space="0" w:color="auto"/>
                        <w:left w:val="none" w:sz="0" w:space="0" w:color="auto"/>
                        <w:bottom w:val="none" w:sz="0" w:space="0" w:color="auto"/>
                        <w:right w:val="none" w:sz="0" w:space="0" w:color="auto"/>
                      </w:divBdr>
                    </w:div>
                    <w:div w:id="1486970304">
                      <w:marLeft w:val="0"/>
                      <w:marRight w:val="0"/>
                      <w:marTop w:val="120"/>
                      <w:marBottom w:val="0"/>
                      <w:divBdr>
                        <w:top w:val="none" w:sz="0" w:space="0" w:color="auto"/>
                        <w:left w:val="none" w:sz="0" w:space="0" w:color="auto"/>
                        <w:bottom w:val="none" w:sz="0" w:space="0" w:color="auto"/>
                        <w:right w:val="none" w:sz="0" w:space="0" w:color="auto"/>
                      </w:divBdr>
                    </w:div>
                  </w:divsChild>
                </w:div>
                <w:div w:id="379666602">
                  <w:marLeft w:val="0"/>
                  <w:marRight w:val="0"/>
                  <w:marTop w:val="0"/>
                  <w:marBottom w:val="0"/>
                  <w:divBdr>
                    <w:top w:val="none" w:sz="0" w:space="0" w:color="auto"/>
                    <w:left w:val="none" w:sz="0" w:space="0" w:color="auto"/>
                    <w:bottom w:val="none" w:sz="0" w:space="0" w:color="auto"/>
                    <w:right w:val="none" w:sz="0" w:space="0" w:color="auto"/>
                  </w:divBdr>
                  <w:divsChild>
                    <w:div w:id="520627927">
                      <w:marLeft w:val="0"/>
                      <w:marRight w:val="0"/>
                      <w:marTop w:val="0"/>
                      <w:marBottom w:val="0"/>
                      <w:divBdr>
                        <w:top w:val="none" w:sz="0" w:space="0" w:color="auto"/>
                        <w:left w:val="none" w:sz="0" w:space="0" w:color="auto"/>
                        <w:bottom w:val="none" w:sz="0" w:space="0" w:color="auto"/>
                        <w:right w:val="none" w:sz="0" w:space="0" w:color="auto"/>
                      </w:divBdr>
                    </w:div>
                    <w:div w:id="1874880133">
                      <w:marLeft w:val="0"/>
                      <w:marRight w:val="0"/>
                      <w:marTop w:val="120"/>
                      <w:marBottom w:val="0"/>
                      <w:divBdr>
                        <w:top w:val="none" w:sz="0" w:space="0" w:color="auto"/>
                        <w:left w:val="none" w:sz="0" w:space="0" w:color="auto"/>
                        <w:bottom w:val="none" w:sz="0" w:space="0" w:color="auto"/>
                        <w:right w:val="none" w:sz="0" w:space="0" w:color="auto"/>
                      </w:divBdr>
                    </w:div>
                  </w:divsChild>
                </w:div>
                <w:div w:id="630400000">
                  <w:marLeft w:val="0"/>
                  <w:marRight w:val="0"/>
                  <w:marTop w:val="0"/>
                  <w:marBottom w:val="0"/>
                  <w:divBdr>
                    <w:top w:val="none" w:sz="0" w:space="0" w:color="auto"/>
                    <w:left w:val="none" w:sz="0" w:space="0" w:color="auto"/>
                    <w:bottom w:val="none" w:sz="0" w:space="0" w:color="auto"/>
                    <w:right w:val="none" w:sz="0" w:space="0" w:color="auto"/>
                  </w:divBdr>
                  <w:divsChild>
                    <w:div w:id="1105734165">
                      <w:marLeft w:val="0"/>
                      <w:marRight w:val="0"/>
                      <w:marTop w:val="120"/>
                      <w:marBottom w:val="0"/>
                      <w:divBdr>
                        <w:top w:val="none" w:sz="0" w:space="0" w:color="auto"/>
                        <w:left w:val="none" w:sz="0" w:space="0" w:color="auto"/>
                        <w:bottom w:val="none" w:sz="0" w:space="0" w:color="auto"/>
                        <w:right w:val="none" w:sz="0" w:space="0" w:color="auto"/>
                      </w:divBdr>
                    </w:div>
                    <w:div w:id="1897623340">
                      <w:marLeft w:val="0"/>
                      <w:marRight w:val="0"/>
                      <w:marTop w:val="0"/>
                      <w:marBottom w:val="0"/>
                      <w:divBdr>
                        <w:top w:val="none" w:sz="0" w:space="0" w:color="auto"/>
                        <w:left w:val="none" w:sz="0" w:space="0" w:color="auto"/>
                        <w:bottom w:val="none" w:sz="0" w:space="0" w:color="auto"/>
                        <w:right w:val="none" w:sz="0" w:space="0" w:color="auto"/>
                      </w:divBdr>
                    </w:div>
                  </w:divsChild>
                </w:div>
                <w:div w:id="1985969082">
                  <w:marLeft w:val="0"/>
                  <w:marRight w:val="0"/>
                  <w:marTop w:val="0"/>
                  <w:marBottom w:val="0"/>
                  <w:divBdr>
                    <w:top w:val="none" w:sz="0" w:space="0" w:color="auto"/>
                    <w:left w:val="none" w:sz="0" w:space="0" w:color="auto"/>
                    <w:bottom w:val="none" w:sz="0" w:space="0" w:color="auto"/>
                    <w:right w:val="none" w:sz="0" w:space="0" w:color="auto"/>
                  </w:divBdr>
                  <w:divsChild>
                    <w:div w:id="379090928">
                      <w:marLeft w:val="0"/>
                      <w:marRight w:val="0"/>
                      <w:marTop w:val="120"/>
                      <w:marBottom w:val="0"/>
                      <w:divBdr>
                        <w:top w:val="none" w:sz="0" w:space="0" w:color="auto"/>
                        <w:left w:val="none" w:sz="0" w:space="0" w:color="auto"/>
                        <w:bottom w:val="none" w:sz="0" w:space="0" w:color="auto"/>
                        <w:right w:val="none" w:sz="0" w:space="0" w:color="auto"/>
                      </w:divBdr>
                    </w:div>
                    <w:div w:id="16150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75482">
          <w:marLeft w:val="0"/>
          <w:marRight w:val="0"/>
          <w:marTop w:val="0"/>
          <w:marBottom w:val="0"/>
          <w:divBdr>
            <w:top w:val="none" w:sz="0" w:space="0" w:color="auto"/>
            <w:left w:val="none" w:sz="0" w:space="0" w:color="auto"/>
            <w:bottom w:val="none" w:sz="0" w:space="0" w:color="auto"/>
            <w:right w:val="none" w:sz="0" w:space="0" w:color="auto"/>
          </w:divBdr>
          <w:divsChild>
            <w:div w:id="1318264119">
              <w:marLeft w:val="0"/>
              <w:marRight w:val="0"/>
              <w:marTop w:val="0"/>
              <w:marBottom w:val="0"/>
              <w:divBdr>
                <w:top w:val="none" w:sz="0" w:space="0" w:color="auto"/>
                <w:left w:val="none" w:sz="0" w:space="0" w:color="auto"/>
                <w:bottom w:val="none" w:sz="0" w:space="0" w:color="auto"/>
                <w:right w:val="none" w:sz="0" w:space="0" w:color="auto"/>
              </w:divBdr>
            </w:div>
          </w:divsChild>
        </w:div>
        <w:div w:id="1600528880">
          <w:marLeft w:val="0"/>
          <w:marRight w:val="0"/>
          <w:marTop w:val="0"/>
          <w:marBottom w:val="0"/>
          <w:divBdr>
            <w:top w:val="none" w:sz="0" w:space="0" w:color="auto"/>
            <w:left w:val="none" w:sz="0" w:space="0" w:color="auto"/>
            <w:bottom w:val="none" w:sz="0" w:space="0" w:color="auto"/>
            <w:right w:val="none" w:sz="0" w:space="0" w:color="auto"/>
          </w:divBdr>
          <w:divsChild>
            <w:div w:id="147330322">
              <w:marLeft w:val="0"/>
              <w:marRight w:val="0"/>
              <w:marTop w:val="0"/>
              <w:marBottom w:val="0"/>
              <w:divBdr>
                <w:top w:val="none" w:sz="0" w:space="0" w:color="auto"/>
                <w:left w:val="none" w:sz="0" w:space="0" w:color="auto"/>
                <w:bottom w:val="none" w:sz="0" w:space="0" w:color="auto"/>
                <w:right w:val="none" w:sz="0" w:space="0" w:color="auto"/>
              </w:divBdr>
              <w:divsChild>
                <w:div w:id="517233979">
                  <w:marLeft w:val="0"/>
                  <w:marRight w:val="0"/>
                  <w:marTop w:val="120"/>
                  <w:marBottom w:val="0"/>
                  <w:divBdr>
                    <w:top w:val="none" w:sz="0" w:space="0" w:color="auto"/>
                    <w:left w:val="none" w:sz="0" w:space="0" w:color="auto"/>
                    <w:bottom w:val="none" w:sz="0" w:space="0" w:color="auto"/>
                    <w:right w:val="none" w:sz="0" w:space="0" w:color="auto"/>
                  </w:divBdr>
                </w:div>
                <w:div w:id="987129026">
                  <w:marLeft w:val="0"/>
                  <w:marRight w:val="0"/>
                  <w:marTop w:val="120"/>
                  <w:marBottom w:val="0"/>
                  <w:divBdr>
                    <w:top w:val="none" w:sz="0" w:space="0" w:color="auto"/>
                    <w:left w:val="none" w:sz="0" w:space="0" w:color="auto"/>
                    <w:bottom w:val="none" w:sz="0" w:space="0" w:color="auto"/>
                    <w:right w:val="none" w:sz="0" w:space="0" w:color="auto"/>
                  </w:divBdr>
                </w:div>
                <w:div w:id="14961891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1943667">
          <w:marLeft w:val="0"/>
          <w:marRight w:val="0"/>
          <w:marTop w:val="0"/>
          <w:marBottom w:val="0"/>
          <w:divBdr>
            <w:top w:val="none" w:sz="0" w:space="0" w:color="auto"/>
            <w:left w:val="none" w:sz="0" w:space="0" w:color="auto"/>
            <w:bottom w:val="none" w:sz="0" w:space="0" w:color="auto"/>
            <w:right w:val="none" w:sz="0" w:space="0" w:color="auto"/>
          </w:divBdr>
          <w:divsChild>
            <w:div w:id="1908497007">
              <w:marLeft w:val="0"/>
              <w:marRight w:val="0"/>
              <w:marTop w:val="0"/>
              <w:marBottom w:val="0"/>
              <w:divBdr>
                <w:top w:val="none" w:sz="0" w:space="0" w:color="auto"/>
                <w:left w:val="none" w:sz="0" w:space="0" w:color="auto"/>
                <w:bottom w:val="none" w:sz="0" w:space="0" w:color="auto"/>
                <w:right w:val="none" w:sz="0" w:space="0" w:color="auto"/>
              </w:divBdr>
              <w:divsChild>
                <w:div w:id="673726865">
                  <w:marLeft w:val="0"/>
                  <w:marRight w:val="0"/>
                  <w:marTop w:val="0"/>
                  <w:marBottom w:val="0"/>
                  <w:divBdr>
                    <w:top w:val="none" w:sz="0" w:space="0" w:color="auto"/>
                    <w:left w:val="none" w:sz="0" w:space="0" w:color="auto"/>
                    <w:bottom w:val="none" w:sz="0" w:space="0" w:color="auto"/>
                    <w:right w:val="none" w:sz="0" w:space="0" w:color="auto"/>
                  </w:divBdr>
                  <w:divsChild>
                    <w:div w:id="65610885">
                      <w:marLeft w:val="0"/>
                      <w:marRight w:val="0"/>
                      <w:marTop w:val="0"/>
                      <w:marBottom w:val="0"/>
                      <w:divBdr>
                        <w:top w:val="none" w:sz="0" w:space="0" w:color="auto"/>
                        <w:left w:val="none" w:sz="0" w:space="0" w:color="auto"/>
                        <w:bottom w:val="none" w:sz="0" w:space="0" w:color="auto"/>
                        <w:right w:val="none" w:sz="0" w:space="0" w:color="auto"/>
                      </w:divBdr>
                    </w:div>
                    <w:div w:id="1987464641">
                      <w:marLeft w:val="0"/>
                      <w:marRight w:val="0"/>
                      <w:marTop w:val="120"/>
                      <w:marBottom w:val="0"/>
                      <w:divBdr>
                        <w:top w:val="none" w:sz="0" w:space="0" w:color="auto"/>
                        <w:left w:val="none" w:sz="0" w:space="0" w:color="auto"/>
                        <w:bottom w:val="none" w:sz="0" w:space="0" w:color="auto"/>
                        <w:right w:val="none" w:sz="0" w:space="0" w:color="auto"/>
                      </w:divBdr>
                    </w:div>
                  </w:divsChild>
                </w:div>
                <w:div w:id="1444691769">
                  <w:marLeft w:val="0"/>
                  <w:marRight w:val="0"/>
                  <w:marTop w:val="0"/>
                  <w:marBottom w:val="0"/>
                  <w:divBdr>
                    <w:top w:val="none" w:sz="0" w:space="0" w:color="auto"/>
                    <w:left w:val="none" w:sz="0" w:space="0" w:color="auto"/>
                    <w:bottom w:val="none" w:sz="0" w:space="0" w:color="auto"/>
                    <w:right w:val="none" w:sz="0" w:space="0" w:color="auto"/>
                  </w:divBdr>
                  <w:divsChild>
                    <w:div w:id="312753902">
                      <w:marLeft w:val="0"/>
                      <w:marRight w:val="0"/>
                      <w:marTop w:val="0"/>
                      <w:marBottom w:val="0"/>
                      <w:divBdr>
                        <w:top w:val="none" w:sz="0" w:space="0" w:color="auto"/>
                        <w:left w:val="none" w:sz="0" w:space="0" w:color="auto"/>
                        <w:bottom w:val="none" w:sz="0" w:space="0" w:color="auto"/>
                        <w:right w:val="none" w:sz="0" w:space="0" w:color="auto"/>
                      </w:divBdr>
                    </w:div>
                    <w:div w:id="1283920704">
                      <w:marLeft w:val="0"/>
                      <w:marRight w:val="0"/>
                      <w:marTop w:val="120"/>
                      <w:marBottom w:val="0"/>
                      <w:divBdr>
                        <w:top w:val="none" w:sz="0" w:space="0" w:color="auto"/>
                        <w:left w:val="none" w:sz="0" w:space="0" w:color="auto"/>
                        <w:bottom w:val="none" w:sz="0" w:space="0" w:color="auto"/>
                        <w:right w:val="none" w:sz="0" w:space="0" w:color="auto"/>
                      </w:divBdr>
                    </w:div>
                  </w:divsChild>
                </w:div>
                <w:div w:id="1528251268">
                  <w:marLeft w:val="0"/>
                  <w:marRight w:val="0"/>
                  <w:marTop w:val="0"/>
                  <w:marBottom w:val="0"/>
                  <w:divBdr>
                    <w:top w:val="none" w:sz="0" w:space="0" w:color="auto"/>
                    <w:left w:val="none" w:sz="0" w:space="0" w:color="auto"/>
                    <w:bottom w:val="none" w:sz="0" w:space="0" w:color="auto"/>
                    <w:right w:val="none" w:sz="0" w:space="0" w:color="auto"/>
                  </w:divBdr>
                  <w:divsChild>
                    <w:div w:id="338235913">
                      <w:marLeft w:val="0"/>
                      <w:marRight w:val="0"/>
                      <w:marTop w:val="120"/>
                      <w:marBottom w:val="0"/>
                      <w:divBdr>
                        <w:top w:val="none" w:sz="0" w:space="0" w:color="auto"/>
                        <w:left w:val="none" w:sz="0" w:space="0" w:color="auto"/>
                        <w:bottom w:val="none" w:sz="0" w:space="0" w:color="auto"/>
                        <w:right w:val="none" w:sz="0" w:space="0" w:color="auto"/>
                      </w:divBdr>
                    </w:div>
                    <w:div w:id="17745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3492">
          <w:marLeft w:val="0"/>
          <w:marRight w:val="0"/>
          <w:marTop w:val="0"/>
          <w:marBottom w:val="0"/>
          <w:divBdr>
            <w:top w:val="none" w:sz="0" w:space="0" w:color="auto"/>
            <w:left w:val="none" w:sz="0" w:space="0" w:color="auto"/>
            <w:bottom w:val="none" w:sz="0" w:space="0" w:color="auto"/>
            <w:right w:val="none" w:sz="0" w:space="0" w:color="auto"/>
          </w:divBdr>
          <w:divsChild>
            <w:div w:id="20297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6313">
      <w:bodyDiv w:val="1"/>
      <w:marLeft w:val="0"/>
      <w:marRight w:val="0"/>
      <w:marTop w:val="0"/>
      <w:marBottom w:val="0"/>
      <w:divBdr>
        <w:top w:val="none" w:sz="0" w:space="0" w:color="auto"/>
        <w:left w:val="none" w:sz="0" w:space="0" w:color="auto"/>
        <w:bottom w:val="none" w:sz="0" w:space="0" w:color="auto"/>
        <w:right w:val="none" w:sz="0" w:space="0" w:color="auto"/>
      </w:divBdr>
    </w:div>
    <w:div w:id="1425228692">
      <w:bodyDiv w:val="1"/>
      <w:marLeft w:val="0"/>
      <w:marRight w:val="0"/>
      <w:marTop w:val="0"/>
      <w:marBottom w:val="0"/>
      <w:divBdr>
        <w:top w:val="none" w:sz="0" w:space="0" w:color="auto"/>
        <w:left w:val="none" w:sz="0" w:space="0" w:color="auto"/>
        <w:bottom w:val="none" w:sz="0" w:space="0" w:color="auto"/>
        <w:right w:val="none" w:sz="0" w:space="0" w:color="auto"/>
      </w:divBdr>
      <w:divsChild>
        <w:div w:id="128209581">
          <w:marLeft w:val="0"/>
          <w:marRight w:val="0"/>
          <w:marTop w:val="0"/>
          <w:marBottom w:val="0"/>
          <w:divBdr>
            <w:top w:val="none" w:sz="0" w:space="0" w:color="auto"/>
            <w:left w:val="none" w:sz="0" w:space="0" w:color="auto"/>
            <w:bottom w:val="none" w:sz="0" w:space="0" w:color="auto"/>
            <w:right w:val="none" w:sz="0" w:space="0" w:color="auto"/>
          </w:divBdr>
          <w:divsChild>
            <w:div w:id="859782128">
              <w:marLeft w:val="0"/>
              <w:marRight w:val="0"/>
              <w:marTop w:val="0"/>
              <w:marBottom w:val="0"/>
              <w:divBdr>
                <w:top w:val="none" w:sz="0" w:space="0" w:color="auto"/>
                <w:left w:val="none" w:sz="0" w:space="0" w:color="auto"/>
                <w:bottom w:val="none" w:sz="0" w:space="0" w:color="auto"/>
                <w:right w:val="none" w:sz="0" w:space="0" w:color="auto"/>
              </w:divBdr>
            </w:div>
          </w:divsChild>
        </w:div>
        <w:div w:id="1179931151">
          <w:marLeft w:val="0"/>
          <w:marRight w:val="0"/>
          <w:marTop w:val="0"/>
          <w:marBottom w:val="0"/>
          <w:divBdr>
            <w:top w:val="none" w:sz="0" w:space="0" w:color="auto"/>
            <w:left w:val="none" w:sz="0" w:space="0" w:color="auto"/>
            <w:bottom w:val="none" w:sz="0" w:space="0" w:color="auto"/>
            <w:right w:val="none" w:sz="0" w:space="0" w:color="auto"/>
          </w:divBdr>
          <w:divsChild>
            <w:div w:id="1282344268">
              <w:marLeft w:val="0"/>
              <w:marRight w:val="0"/>
              <w:marTop w:val="0"/>
              <w:marBottom w:val="0"/>
              <w:divBdr>
                <w:top w:val="none" w:sz="0" w:space="0" w:color="auto"/>
                <w:left w:val="none" w:sz="0" w:space="0" w:color="auto"/>
                <w:bottom w:val="none" w:sz="0" w:space="0" w:color="auto"/>
                <w:right w:val="none" w:sz="0" w:space="0" w:color="auto"/>
              </w:divBdr>
              <w:divsChild>
                <w:div w:id="8603480">
                  <w:marLeft w:val="0"/>
                  <w:marRight w:val="0"/>
                  <w:marTop w:val="0"/>
                  <w:marBottom w:val="0"/>
                  <w:divBdr>
                    <w:top w:val="none" w:sz="0" w:space="0" w:color="auto"/>
                    <w:left w:val="none" w:sz="0" w:space="0" w:color="auto"/>
                    <w:bottom w:val="none" w:sz="0" w:space="0" w:color="auto"/>
                    <w:right w:val="none" w:sz="0" w:space="0" w:color="auto"/>
                  </w:divBdr>
                  <w:divsChild>
                    <w:div w:id="88627285">
                      <w:marLeft w:val="0"/>
                      <w:marRight w:val="0"/>
                      <w:marTop w:val="120"/>
                      <w:marBottom w:val="0"/>
                      <w:divBdr>
                        <w:top w:val="none" w:sz="0" w:space="0" w:color="auto"/>
                        <w:left w:val="none" w:sz="0" w:space="0" w:color="auto"/>
                        <w:bottom w:val="none" w:sz="0" w:space="0" w:color="auto"/>
                        <w:right w:val="none" w:sz="0" w:space="0" w:color="auto"/>
                      </w:divBdr>
                    </w:div>
                    <w:div w:id="1095053455">
                      <w:marLeft w:val="0"/>
                      <w:marRight w:val="0"/>
                      <w:marTop w:val="0"/>
                      <w:marBottom w:val="0"/>
                      <w:divBdr>
                        <w:top w:val="none" w:sz="0" w:space="0" w:color="auto"/>
                        <w:left w:val="none" w:sz="0" w:space="0" w:color="auto"/>
                        <w:bottom w:val="none" w:sz="0" w:space="0" w:color="auto"/>
                        <w:right w:val="none" w:sz="0" w:space="0" w:color="auto"/>
                      </w:divBdr>
                      <w:divsChild>
                        <w:div w:id="262999411">
                          <w:marLeft w:val="0"/>
                          <w:marRight w:val="0"/>
                          <w:marTop w:val="0"/>
                          <w:marBottom w:val="0"/>
                          <w:divBdr>
                            <w:top w:val="none" w:sz="0" w:space="0" w:color="auto"/>
                            <w:left w:val="none" w:sz="0" w:space="0" w:color="auto"/>
                            <w:bottom w:val="none" w:sz="0" w:space="0" w:color="auto"/>
                            <w:right w:val="none" w:sz="0" w:space="0" w:color="auto"/>
                          </w:divBdr>
                          <w:divsChild>
                            <w:div w:id="287593764">
                              <w:marLeft w:val="0"/>
                              <w:marRight w:val="0"/>
                              <w:marTop w:val="120"/>
                              <w:marBottom w:val="0"/>
                              <w:divBdr>
                                <w:top w:val="none" w:sz="0" w:space="0" w:color="auto"/>
                                <w:left w:val="none" w:sz="0" w:space="0" w:color="auto"/>
                                <w:bottom w:val="none" w:sz="0" w:space="0" w:color="auto"/>
                                <w:right w:val="none" w:sz="0" w:space="0" w:color="auto"/>
                              </w:divBdr>
                            </w:div>
                            <w:div w:id="1988044993">
                              <w:marLeft w:val="0"/>
                              <w:marRight w:val="0"/>
                              <w:marTop w:val="0"/>
                              <w:marBottom w:val="0"/>
                              <w:divBdr>
                                <w:top w:val="none" w:sz="0" w:space="0" w:color="auto"/>
                                <w:left w:val="none" w:sz="0" w:space="0" w:color="auto"/>
                                <w:bottom w:val="none" w:sz="0" w:space="0" w:color="auto"/>
                                <w:right w:val="none" w:sz="0" w:space="0" w:color="auto"/>
                              </w:divBdr>
                            </w:div>
                          </w:divsChild>
                        </w:div>
                        <w:div w:id="710034925">
                          <w:marLeft w:val="0"/>
                          <w:marRight w:val="0"/>
                          <w:marTop w:val="0"/>
                          <w:marBottom w:val="0"/>
                          <w:divBdr>
                            <w:top w:val="none" w:sz="0" w:space="0" w:color="auto"/>
                            <w:left w:val="none" w:sz="0" w:space="0" w:color="auto"/>
                            <w:bottom w:val="none" w:sz="0" w:space="0" w:color="auto"/>
                            <w:right w:val="none" w:sz="0" w:space="0" w:color="auto"/>
                          </w:divBdr>
                          <w:divsChild>
                            <w:div w:id="55082534">
                              <w:marLeft w:val="0"/>
                              <w:marRight w:val="0"/>
                              <w:marTop w:val="120"/>
                              <w:marBottom w:val="0"/>
                              <w:divBdr>
                                <w:top w:val="none" w:sz="0" w:space="0" w:color="auto"/>
                                <w:left w:val="none" w:sz="0" w:space="0" w:color="auto"/>
                                <w:bottom w:val="none" w:sz="0" w:space="0" w:color="auto"/>
                                <w:right w:val="none" w:sz="0" w:space="0" w:color="auto"/>
                              </w:divBdr>
                            </w:div>
                            <w:div w:id="427314442">
                              <w:marLeft w:val="0"/>
                              <w:marRight w:val="0"/>
                              <w:marTop w:val="0"/>
                              <w:marBottom w:val="0"/>
                              <w:divBdr>
                                <w:top w:val="none" w:sz="0" w:space="0" w:color="auto"/>
                                <w:left w:val="none" w:sz="0" w:space="0" w:color="auto"/>
                                <w:bottom w:val="none" w:sz="0" w:space="0" w:color="auto"/>
                                <w:right w:val="none" w:sz="0" w:space="0" w:color="auto"/>
                              </w:divBdr>
                            </w:div>
                          </w:divsChild>
                        </w:div>
                        <w:div w:id="1346444274">
                          <w:marLeft w:val="0"/>
                          <w:marRight w:val="0"/>
                          <w:marTop w:val="0"/>
                          <w:marBottom w:val="0"/>
                          <w:divBdr>
                            <w:top w:val="none" w:sz="0" w:space="0" w:color="auto"/>
                            <w:left w:val="none" w:sz="0" w:space="0" w:color="auto"/>
                            <w:bottom w:val="none" w:sz="0" w:space="0" w:color="auto"/>
                            <w:right w:val="none" w:sz="0" w:space="0" w:color="auto"/>
                          </w:divBdr>
                          <w:divsChild>
                            <w:div w:id="800423547">
                              <w:marLeft w:val="0"/>
                              <w:marRight w:val="0"/>
                              <w:marTop w:val="0"/>
                              <w:marBottom w:val="0"/>
                              <w:divBdr>
                                <w:top w:val="none" w:sz="0" w:space="0" w:color="auto"/>
                                <w:left w:val="none" w:sz="0" w:space="0" w:color="auto"/>
                                <w:bottom w:val="none" w:sz="0" w:space="0" w:color="auto"/>
                                <w:right w:val="none" w:sz="0" w:space="0" w:color="auto"/>
                              </w:divBdr>
                            </w:div>
                            <w:div w:id="12834634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79865772">
                  <w:marLeft w:val="0"/>
                  <w:marRight w:val="0"/>
                  <w:marTop w:val="0"/>
                  <w:marBottom w:val="0"/>
                  <w:divBdr>
                    <w:top w:val="none" w:sz="0" w:space="0" w:color="auto"/>
                    <w:left w:val="none" w:sz="0" w:space="0" w:color="auto"/>
                    <w:bottom w:val="none" w:sz="0" w:space="0" w:color="auto"/>
                    <w:right w:val="none" w:sz="0" w:space="0" w:color="auto"/>
                  </w:divBdr>
                  <w:divsChild>
                    <w:div w:id="23136517">
                      <w:marLeft w:val="0"/>
                      <w:marRight w:val="0"/>
                      <w:marTop w:val="0"/>
                      <w:marBottom w:val="0"/>
                      <w:divBdr>
                        <w:top w:val="none" w:sz="0" w:space="0" w:color="auto"/>
                        <w:left w:val="none" w:sz="0" w:space="0" w:color="auto"/>
                        <w:bottom w:val="none" w:sz="0" w:space="0" w:color="auto"/>
                        <w:right w:val="none" w:sz="0" w:space="0" w:color="auto"/>
                      </w:divBdr>
                    </w:div>
                    <w:div w:id="1255238794">
                      <w:marLeft w:val="0"/>
                      <w:marRight w:val="0"/>
                      <w:marTop w:val="120"/>
                      <w:marBottom w:val="0"/>
                      <w:divBdr>
                        <w:top w:val="none" w:sz="0" w:space="0" w:color="auto"/>
                        <w:left w:val="none" w:sz="0" w:space="0" w:color="auto"/>
                        <w:bottom w:val="none" w:sz="0" w:space="0" w:color="auto"/>
                        <w:right w:val="none" w:sz="0" w:space="0" w:color="auto"/>
                      </w:divBdr>
                    </w:div>
                  </w:divsChild>
                </w:div>
                <w:div w:id="1398632538">
                  <w:marLeft w:val="0"/>
                  <w:marRight w:val="0"/>
                  <w:marTop w:val="0"/>
                  <w:marBottom w:val="0"/>
                  <w:divBdr>
                    <w:top w:val="none" w:sz="0" w:space="0" w:color="auto"/>
                    <w:left w:val="none" w:sz="0" w:space="0" w:color="auto"/>
                    <w:bottom w:val="none" w:sz="0" w:space="0" w:color="auto"/>
                    <w:right w:val="none" w:sz="0" w:space="0" w:color="auto"/>
                  </w:divBdr>
                  <w:divsChild>
                    <w:div w:id="316227111">
                      <w:marLeft w:val="0"/>
                      <w:marRight w:val="0"/>
                      <w:marTop w:val="120"/>
                      <w:marBottom w:val="0"/>
                      <w:divBdr>
                        <w:top w:val="none" w:sz="0" w:space="0" w:color="auto"/>
                        <w:left w:val="none" w:sz="0" w:space="0" w:color="auto"/>
                        <w:bottom w:val="none" w:sz="0" w:space="0" w:color="auto"/>
                        <w:right w:val="none" w:sz="0" w:space="0" w:color="auto"/>
                      </w:divBdr>
                    </w:div>
                    <w:div w:id="19557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16172">
          <w:marLeft w:val="0"/>
          <w:marRight w:val="0"/>
          <w:marTop w:val="0"/>
          <w:marBottom w:val="0"/>
          <w:divBdr>
            <w:top w:val="none" w:sz="0" w:space="0" w:color="auto"/>
            <w:left w:val="none" w:sz="0" w:space="0" w:color="auto"/>
            <w:bottom w:val="none" w:sz="0" w:space="0" w:color="auto"/>
            <w:right w:val="none" w:sz="0" w:space="0" w:color="auto"/>
          </w:divBdr>
          <w:divsChild>
            <w:div w:id="1948191727">
              <w:marLeft w:val="0"/>
              <w:marRight w:val="0"/>
              <w:marTop w:val="0"/>
              <w:marBottom w:val="0"/>
              <w:divBdr>
                <w:top w:val="none" w:sz="0" w:space="0" w:color="auto"/>
                <w:left w:val="none" w:sz="0" w:space="0" w:color="auto"/>
                <w:bottom w:val="none" w:sz="0" w:space="0" w:color="auto"/>
                <w:right w:val="none" w:sz="0" w:space="0" w:color="auto"/>
              </w:divBdr>
              <w:divsChild>
                <w:div w:id="639309745">
                  <w:marLeft w:val="0"/>
                  <w:marRight w:val="0"/>
                  <w:marTop w:val="0"/>
                  <w:marBottom w:val="0"/>
                  <w:divBdr>
                    <w:top w:val="none" w:sz="0" w:space="0" w:color="auto"/>
                    <w:left w:val="none" w:sz="0" w:space="0" w:color="auto"/>
                    <w:bottom w:val="none" w:sz="0" w:space="0" w:color="auto"/>
                    <w:right w:val="none" w:sz="0" w:space="0" w:color="auto"/>
                  </w:divBdr>
                  <w:divsChild>
                    <w:div w:id="1033386566">
                      <w:marLeft w:val="0"/>
                      <w:marRight w:val="0"/>
                      <w:marTop w:val="0"/>
                      <w:marBottom w:val="0"/>
                      <w:divBdr>
                        <w:top w:val="none" w:sz="0" w:space="0" w:color="auto"/>
                        <w:left w:val="none" w:sz="0" w:space="0" w:color="auto"/>
                        <w:bottom w:val="none" w:sz="0" w:space="0" w:color="auto"/>
                        <w:right w:val="none" w:sz="0" w:space="0" w:color="auto"/>
                      </w:divBdr>
                    </w:div>
                    <w:div w:id="1920826275">
                      <w:marLeft w:val="0"/>
                      <w:marRight w:val="0"/>
                      <w:marTop w:val="120"/>
                      <w:marBottom w:val="0"/>
                      <w:divBdr>
                        <w:top w:val="none" w:sz="0" w:space="0" w:color="auto"/>
                        <w:left w:val="none" w:sz="0" w:space="0" w:color="auto"/>
                        <w:bottom w:val="none" w:sz="0" w:space="0" w:color="auto"/>
                        <w:right w:val="none" w:sz="0" w:space="0" w:color="auto"/>
                      </w:divBdr>
                    </w:div>
                  </w:divsChild>
                </w:div>
                <w:div w:id="937372496">
                  <w:marLeft w:val="0"/>
                  <w:marRight w:val="0"/>
                  <w:marTop w:val="0"/>
                  <w:marBottom w:val="0"/>
                  <w:divBdr>
                    <w:top w:val="none" w:sz="0" w:space="0" w:color="auto"/>
                    <w:left w:val="none" w:sz="0" w:space="0" w:color="auto"/>
                    <w:bottom w:val="none" w:sz="0" w:space="0" w:color="auto"/>
                    <w:right w:val="none" w:sz="0" w:space="0" w:color="auto"/>
                  </w:divBdr>
                  <w:divsChild>
                    <w:div w:id="476411303">
                      <w:marLeft w:val="0"/>
                      <w:marRight w:val="0"/>
                      <w:marTop w:val="0"/>
                      <w:marBottom w:val="0"/>
                      <w:divBdr>
                        <w:top w:val="none" w:sz="0" w:space="0" w:color="auto"/>
                        <w:left w:val="none" w:sz="0" w:space="0" w:color="auto"/>
                        <w:bottom w:val="none" w:sz="0" w:space="0" w:color="auto"/>
                        <w:right w:val="none" w:sz="0" w:space="0" w:color="auto"/>
                      </w:divBdr>
                      <w:divsChild>
                        <w:div w:id="1443459424">
                          <w:marLeft w:val="0"/>
                          <w:marRight w:val="0"/>
                          <w:marTop w:val="0"/>
                          <w:marBottom w:val="0"/>
                          <w:divBdr>
                            <w:top w:val="none" w:sz="0" w:space="0" w:color="auto"/>
                            <w:left w:val="none" w:sz="0" w:space="0" w:color="auto"/>
                            <w:bottom w:val="none" w:sz="0" w:space="0" w:color="auto"/>
                            <w:right w:val="none" w:sz="0" w:space="0" w:color="auto"/>
                          </w:divBdr>
                          <w:divsChild>
                            <w:div w:id="255555608">
                              <w:marLeft w:val="0"/>
                              <w:marRight w:val="0"/>
                              <w:marTop w:val="120"/>
                              <w:marBottom w:val="0"/>
                              <w:divBdr>
                                <w:top w:val="none" w:sz="0" w:space="0" w:color="auto"/>
                                <w:left w:val="none" w:sz="0" w:space="0" w:color="auto"/>
                                <w:bottom w:val="none" w:sz="0" w:space="0" w:color="auto"/>
                                <w:right w:val="none" w:sz="0" w:space="0" w:color="auto"/>
                              </w:divBdr>
                            </w:div>
                            <w:div w:id="1787582863">
                              <w:marLeft w:val="0"/>
                              <w:marRight w:val="0"/>
                              <w:marTop w:val="0"/>
                              <w:marBottom w:val="0"/>
                              <w:divBdr>
                                <w:top w:val="none" w:sz="0" w:space="0" w:color="auto"/>
                                <w:left w:val="none" w:sz="0" w:space="0" w:color="auto"/>
                                <w:bottom w:val="none" w:sz="0" w:space="0" w:color="auto"/>
                                <w:right w:val="none" w:sz="0" w:space="0" w:color="auto"/>
                              </w:divBdr>
                            </w:div>
                          </w:divsChild>
                        </w:div>
                        <w:div w:id="1644651043">
                          <w:marLeft w:val="0"/>
                          <w:marRight w:val="0"/>
                          <w:marTop w:val="0"/>
                          <w:marBottom w:val="0"/>
                          <w:divBdr>
                            <w:top w:val="none" w:sz="0" w:space="0" w:color="auto"/>
                            <w:left w:val="none" w:sz="0" w:space="0" w:color="auto"/>
                            <w:bottom w:val="none" w:sz="0" w:space="0" w:color="auto"/>
                            <w:right w:val="none" w:sz="0" w:space="0" w:color="auto"/>
                          </w:divBdr>
                          <w:divsChild>
                            <w:div w:id="642202397">
                              <w:marLeft w:val="0"/>
                              <w:marRight w:val="0"/>
                              <w:marTop w:val="0"/>
                              <w:marBottom w:val="0"/>
                              <w:divBdr>
                                <w:top w:val="none" w:sz="0" w:space="0" w:color="auto"/>
                                <w:left w:val="none" w:sz="0" w:space="0" w:color="auto"/>
                                <w:bottom w:val="none" w:sz="0" w:space="0" w:color="auto"/>
                                <w:right w:val="none" w:sz="0" w:space="0" w:color="auto"/>
                              </w:divBdr>
                            </w:div>
                            <w:div w:id="18415085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9355740">
                      <w:marLeft w:val="0"/>
                      <w:marRight w:val="0"/>
                      <w:marTop w:val="120"/>
                      <w:marBottom w:val="0"/>
                      <w:divBdr>
                        <w:top w:val="none" w:sz="0" w:space="0" w:color="auto"/>
                        <w:left w:val="none" w:sz="0" w:space="0" w:color="auto"/>
                        <w:bottom w:val="none" w:sz="0" w:space="0" w:color="auto"/>
                        <w:right w:val="none" w:sz="0" w:space="0" w:color="auto"/>
                      </w:divBdr>
                    </w:div>
                  </w:divsChild>
                </w:div>
                <w:div w:id="1360425848">
                  <w:marLeft w:val="0"/>
                  <w:marRight w:val="0"/>
                  <w:marTop w:val="0"/>
                  <w:marBottom w:val="0"/>
                  <w:divBdr>
                    <w:top w:val="none" w:sz="0" w:space="0" w:color="auto"/>
                    <w:left w:val="none" w:sz="0" w:space="0" w:color="auto"/>
                    <w:bottom w:val="none" w:sz="0" w:space="0" w:color="auto"/>
                    <w:right w:val="none" w:sz="0" w:space="0" w:color="auto"/>
                  </w:divBdr>
                  <w:divsChild>
                    <w:div w:id="870415601">
                      <w:marLeft w:val="0"/>
                      <w:marRight w:val="0"/>
                      <w:marTop w:val="0"/>
                      <w:marBottom w:val="0"/>
                      <w:divBdr>
                        <w:top w:val="none" w:sz="0" w:space="0" w:color="auto"/>
                        <w:left w:val="none" w:sz="0" w:space="0" w:color="auto"/>
                        <w:bottom w:val="none" w:sz="0" w:space="0" w:color="auto"/>
                        <w:right w:val="none" w:sz="0" w:space="0" w:color="auto"/>
                      </w:divBdr>
                    </w:div>
                    <w:div w:id="9715923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26802763">
      <w:bodyDiv w:val="1"/>
      <w:marLeft w:val="0"/>
      <w:marRight w:val="0"/>
      <w:marTop w:val="0"/>
      <w:marBottom w:val="0"/>
      <w:divBdr>
        <w:top w:val="none" w:sz="0" w:space="0" w:color="auto"/>
        <w:left w:val="none" w:sz="0" w:space="0" w:color="auto"/>
        <w:bottom w:val="none" w:sz="0" w:space="0" w:color="auto"/>
        <w:right w:val="none" w:sz="0" w:space="0" w:color="auto"/>
      </w:divBdr>
    </w:div>
    <w:div w:id="1434279852">
      <w:bodyDiv w:val="1"/>
      <w:marLeft w:val="0"/>
      <w:marRight w:val="0"/>
      <w:marTop w:val="0"/>
      <w:marBottom w:val="0"/>
      <w:divBdr>
        <w:top w:val="none" w:sz="0" w:space="0" w:color="auto"/>
        <w:left w:val="none" w:sz="0" w:space="0" w:color="auto"/>
        <w:bottom w:val="none" w:sz="0" w:space="0" w:color="auto"/>
        <w:right w:val="none" w:sz="0" w:space="0" w:color="auto"/>
      </w:divBdr>
      <w:divsChild>
        <w:div w:id="872309185">
          <w:marLeft w:val="0"/>
          <w:marRight w:val="0"/>
          <w:marTop w:val="0"/>
          <w:marBottom w:val="0"/>
          <w:divBdr>
            <w:top w:val="none" w:sz="0" w:space="0" w:color="auto"/>
            <w:left w:val="none" w:sz="0" w:space="0" w:color="auto"/>
            <w:bottom w:val="none" w:sz="0" w:space="0" w:color="auto"/>
            <w:right w:val="none" w:sz="0" w:space="0" w:color="auto"/>
          </w:divBdr>
          <w:divsChild>
            <w:div w:id="1224178861">
              <w:marLeft w:val="0"/>
              <w:marRight w:val="0"/>
              <w:marTop w:val="0"/>
              <w:marBottom w:val="0"/>
              <w:divBdr>
                <w:top w:val="none" w:sz="0" w:space="0" w:color="auto"/>
                <w:left w:val="none" w:sz="0" w:space="0" w:color="auto"/>
                <w:bottom w:val="none" w:sz="0" w:space="0" w:color="auto"/>
                <w:right w:val="none" w:sz="0" w:space="0" w:color="auto"/>
              </w:divBdr>
              <w:divsChild>
                <w:div w:id="208417239">
                  <w:marLeft w:val="0"/>
                  <w:marRight w:val="0"/>
                  <w:marTop w:val="0"/>
                  <w:marBottom w:val="0"/>
                  <w:divBdr>
                    <w:top w:val="none" w:sz="0" w:space="0" w:color="auto"/>
                    <w:left w:val="none" w:sz="0" w:space="0" w:color="auto"/>
                    <w:bottom w:val="none" w:sz="0" w:space="0" w:color="auto"/>
                    <w:right w:val="none" w:sz="0" w:space="0" w:color="auto"/>
                  </w:divBdr>
                  <w:divsChild>
                    <w:div w:id="1456948709">
                      <w:marLeft w:val="0"/>
                      <w:marRight w:val="0"/>
                      <w:marTop w:val="120"/>
                      <w:marBottom w:val="0"/>
                      <w:divBdr>
                        <w:top w:val="none" w:sz="0" w:space="0" w:color="auto"/>
                        <w:left w:val="none" w:sz="0" w:space="0" w:color="auto"/>
                        <w:bottom w:val="none" w:sz="0" w:space="0" w:color="auto"/>
                        <w:right w:val="none" w:sz="0" w:space="0" w:color="auto"/>
                      </w:divBdr>
                    </w:div>
                    <w:div w:id="2109083486">
                      <w:marLeft w:val="0"/>
                      <w:marRight w:val="0"/>
                      <w:marTop w:val="0"/>
                      <w:marBottom w:val="0"/>
                      <w:divBdr>
                        <w:top w:val="none" w:sz="0" w:space="0" w:color="auto"/>
                        <w:left w:val="none" w:sz="0" w:space="0" w:color="auto"/>
                        <w:bottom w:val="none" w:sz="0" w:space="0" w:color="auto"/>
                        <w:right w:val="none" w:sz="0" w:space="0" w:color="auto"/>
                      </w:divBdr>
                    </w:div>
                  </w:divsChild>
                </w:div>
                <w:div w:id="264385634">
                  <w:marLeft w:val="0"/>
                  <w:marRight w:val="0"/>
                  <w:marTop w:val="0"/>
                  <w:marBottom w:val="0"/>
                  <w:divBdr>
                    <w:top w:val="none" w:sz="0" w:space="0" w:color="auto"/>
                    <w:left w:val="none" w:sz="0" w:space="0" w:color="auto"/>
                    <w:bottom w:val="none" w:sz="0" w:space="0" w:color="auto"/>
                    <w:right w:val="none" w:sz="0" w:space="0" w:color="auto"/>
                  </w:divBdr>
                  <w:divsChild>
                    <w:div w:id="464398326">
                      <w:marLeft w:val="0"/>
                      <w:marRight w:val="0"/>
                      <w:marTop w:val="0"/>
                      <w:marBottom w:val="0"/>
                      <w:divBdr>
                        <w:top w:val="none" w:sz="0" w:space="0" w:color="auto"/>
                        <w:left w:val="none" w:sz="0" w:space="0" w:color="auto"/>
                        <w:bottom w:val="none" w:sz="0" w:space="0" w:color="auto"/>
                        <w:right w:val="none" w:sz="0" w:space="0" w:color="auto"/>
                      </w:divBdr>
                    </w:div>
                    <w:div w:id="1436825274">
                      <w:marLeft w:val="0"/>
                      <w:marRight w:val="0"/>
                      <w:marTop w:val="120"/>
                      <w:marBottom w:val="0"/>
                      <w:divBdr>
                        <w:top w:val="none" w:sz="0" w:space="0" w:color="auto"/>
                        <w:left w:val="none" w:sz="0" w:space="0" w:color="auto"/>
                        <w:bottom w:val="none" w:sz="0" w:space="0" w:color="auto"/>
                        <w:right w:val="none" w:sz="0" w:space="0" w:color="auto"/>
                      </w:divBdr>
                    </w:div>
                  </w:divsChild>
                </w:div>
                <w:div w:id="961808560">
                  <w:marLeft w:val="0"/>
                  <w:marRight w:val="0"/>
                  <w:marTop w:val="0"/>
                  <w:marBottom w:val="0"/>
                  <w:divBdr>
                    <w:top w:val="none" w:sz="0" w:space="0" w:color="auto"/>
                    <w:left w:val="none" w:sz="0" w:space="0" w:color="auto"/>
                    <w:bottom w:val="none" w:sz="0" w:space="0" w:color="auto"/>
                    <w:right w:val="none" w:sz="0" w:space="0" w:color="auto"/>
                  </w:divBdr>
                  <w:divsChild>
                    <w:div w:id="363483460">
                      <w:marLeft w:val="0"/>
                      <w:marRight w:val="0"/>
                      <w:marTop w:val="120"/>
                      <w:marBottom w:val="0"/>
                      <w:divBdr>
                        <w:top w:val="none" w:sz="0" w:space="0" w:color="auto"/>
                        <w:left w:val="none" w:sz="0" w:space="0" w:color="auto"/>
                        <w:bottom w:val="none" w:sz="0" w:space="0" w:color="auto"/>
                        <w:right w:val="none" w:sz="0" w:space="0" w:color="auto"/>
                      </w:divBdr>
                    </w:div>
                    <w:div w:id="572860560">
                      <w:marLeft w:val="0"/>
                      <w:marRight w:val="0"/>
                      <w:marTop w:val="0"/>
                      <w:marBottom w:val="0"/>
                      <w:divBdr>
                        <w:top w:val="none" w:sz="0" w:space="0" w:color="auto"/>
                        <w:left w:val="none" w:sz="0" w:space="0" w:color="auto"/>
                        <w:bottom w:val="none" w:sz="0" w:space="0" w:color="auto"/>
                        <w:right w:val="none" w:sz="0" w:space="0" w:color="auto"/>
                      </w:divBdr>
                      <w:divsChild>
                        <w:div w:id="203564241">
                          <w:marLeft w:val="0"/>
                          <w:marRight w:val="0"/>
                          <w:marTop w:val="0"/>
                          <w:marBottom w:val="0"/>
                          <w:divBdr>
                            <w:top w:val="none" w:sz="0" w:space="0" w:color="auto"/>
                            <w:left w:val="none" w:sz="0" w:space="0" w:color="auto"/>
                            <w:bottom w:val="none" w:sz="0" w:space="0" w:color="auto"/>
                            <w:right w:val="none" w:sz="0" w:space="0" w:color="auto"/>
                          </w:divBdr>
                          <w:divsChild>
                            <w:div w:id="29577742">
                              <w:marLeft w:val="0"/>
                              <w:marRight w:val="0"/>
                              <w:marTop w:val="120"/>
                              <w:marBottom w:val="0"/>
                              <w:divBdr>
                                <w:top w:val="none" w:sz="0" w:space="0" w:color="auto"/>
                                <w:left w:val="none" w:sz="0" w:space="0" w:color="auto"/>
                                <w:bottom w:val="none" w:sz="0" w:space="0" w:color="auto"/>
                                <w:right w:val="none" w:sz="0" w:space="0" w:color="auto"/>
                              </w:divBdr>
                            </w:div>
                            <w:div w:id="245385652">
                              <w:marLeft w:val="0"/>
                              <w:marRight w:val="0"/>
                              <w:marTop w:val="0"/>
                              <w:marBottom w:val="0"/>
                              <w:divBdr>
                                <w:top w:val="none" w:sz="0" w:space="0" w:color="auto"/>
                                <w:left w:val="none" w:sz="0" w:space="0" w:color="auto"/>
                                <w:bottom w:val="none" w:sz="0" w:space="0" w:color="auto"/>
                                <w:right w:val="none" w:sz="0" w:space="0" w:color="auto"/>
                              </w:divBdr>
                            </w:div>
                          </w:divsChild>
                        </w:div>
                        <w:div w:id="391275277">
                          <w:marLeft w:val="0"/>
                          <w:marRight w:val="0"/>
                          <w:marTop w:val="0"/>
                          <w:marBottom w:val="0"/>
                          <w:divBdr>
                            <w:top w:val="none" w:sz="0" w:space="0" w:color="auto"/>
                            <w:left w:val="none" w:sz="0" w:space="0" w:color="auto"/>
                            <w:bottom w:val="none" w:sz="0" w:space="0" w:color="auto"/>
                            <w:right w:val="none" w:sz="0" w:space="0" w:color="auto"/>
                          </w:divBdr>
                          <w:divsChild>
                            <w:div w:id="544224176">
                              <w:marLeft w:val="0"/>
                              <w:marRight w:val="0"/>
                              <w:marTop w:val="120"/>
                              <w:marBottom w:val="0"/>
                              <w:divBdr>
                                <w:top w:val="none" w:sz="0" w:space="0" w:color="auto"/>
                                <w:left w:val="none" w:sz="0" w:space="0" w:color="auto"/>
                                <w:bottom w:val="none" w:sz="0" w:space="0" w:color="auto"/>
                                <w:right w:val="none" w:sz="0" w:space="0" w:color="auto"/>
                              </w:divBdr>
                            </w:div>
                            <w:div w:id="2107187289">
                              <w:marLeft w:val="0"/>
                              <w:marRight w:val="0"/>
                              <w:marTop w:val="0"/>
                              <w:marBottom w:val="0"/>
                              <w:divBdr>
                                <w:top w:val="none" w:sz="0" w:space="0" w:color="auto"/>
                                <w:left w:val="none" w:sz="0" w:space="0" w:color="auto"/>
                                <w:bottom w:val="none" w:sz="0" w:space="0" w:color="auto"/>
                                <w:right w:val="none" w:sz="0" w:space="0" w:color="auto"/>
                              </w:divBdr>
                            </w:div>
                          </w:divsChild>
                        </w:div>
                        <w:div w:id="884758824">
                          <w:marLeft w:val="0"/>
                          <w:marRight w:val="0"/>
                          <w:marTop w:val="0"/>
                          <w:marBottom w:val="0"/>
                          <w:divBdr>
                            <w:top w:val="none" w:sz="0" w:space="0" w:color="auto"/>
                            <w:left w:val="none" w:sz="0" w:space="0" w:color="auto"/>
                            <w:bottom w:val="none" w:sz="0" w:space="0" w:color="auto"/>
                            <w:right w:val="none" w:sz="0" w:space="0" w:color="auto"/>
                          </w:divBdr>
                          <w:divsChild>
                            <w:div w:id="486943966">
                              <w:marLeft w:val="0"/>
                              <w:marRight w:val="0"/>
                              <w:marTop w:val="120"/>
                              <w:marBottom w:val="0"/>
                              <w:divBdr>
                                <w:top w:val="none" w:sz="0" w:space="0" w:color="auto"/>
                                <w:left w:val="none" w:sz="0" w:space="0" w:color="auto"/>
                                <w:bottom w:val="none" w:sz="0" w:space="0" w:color="auto"/>
                                <w:right w:val="none" w:sz="0" w:space="0" w:color="auto"/>
                              </w:divBdr>
                            </w:div>
                            <w:div w:id="1268923184">
                              <w:marLeft w:val="0"/>
                              <w:marRight w:val="0"/>
                              <w:marTop w:val="0"/>
                              <w:marBottom w:val="0"/>
                              <w:divBdr>
                                <w:top w:val="none" w:sz="0" w:space="0" w:color="auto"/>
                                <w:left w:val="none" w:sz="0" w:space="0" w:color="auto"/>
                                <w:bottom w:val="none" w:sz="0" w:space="0" w:color="auto"/>
                                <w:right w:val="none" w:sz="0" w:space="0" w:color="auto"/>
                              </w:divBdr>
                            </w:div>
                          </w:divsChild>
                        </w:div>
                        <w:div w:id="1065570363">
                          <w:marLeft w:val="0"/>
                          <w:marRight w:val="0"/>
                          <w:marTop w:val="0"/>
                          <w:marBottom w:val="0"/>
                          <w:divBdr>
                            <w:top w:val="none" w:sz="0" w:space="0" w:color="auto"/>
                            <w:left w:val="none" w:sz="0" w:space="0" w:color="auto"/>
                            <w:bottom w:val="none" w:sz="0" w:space="0" w:color="auto"/>
                            <w:right w:val="none" w:sz="0" w:space="0" w:color="auto"/>
                          </w:divBdr>
                          <w:divsChild>
                            <w:div w:id="868105909">
                              <w:marLeft w:val="0"/>
                              <w:marRight w:val="0"/>
                              <w:marTop w:val="0"/>
                              <w:marBottom w:val="0"/>
                              <w:divBdr>
                                <w:top w:val="none" w:sz="0" w:space="0" w:color="auto"/>
                                <w:left w:val="none" w:sz="0" w:space="0" w:color="auto"/>
                                <w:bottom w:val="none" w:sz="0" w:space="0" w:color="auto"/>
                                <w:right w:val="none" w:sz="0" w:space="0" w:color="auto"/>
                              </w:divBdr>
                            </w:div>
                            <w:div w:id="1805539165">
                              <w:marLeft w:val="0"/>
                              <w:marRight w:val="0"/>
                              <w:marTop w:val="120"/>
                              <w:marBottom w:val="0"/>
                              <w:divBdr>
                                <w:top w:val="none" w:sz="0" w:space="0" w:color="auto"/>
                                <w:left w:val="none" w:sz="0" w:space="0" w:color="auto"/>
                                <w:bottom w:val="none" w:sz="0" w:space="0" w:color="auto"/>
                                <w:right w:val="none" w:sz="0" w:space="0" w:color="auto"/>
                              </w:divBdr>
                            </w:div>
                          </w:divsChild>
                        </w:div>
                        <w:div w:id="1196624460">
                          <w:marLeft w:val="0"/>
                          <w:marRight w:val="0"/>
                          <w:marTop w:val="0"/>
                          <w:marBottom w:val="0"/>
                          <w:divBdr>
                            <w:top w:val="none" w:sz="0" w:space="0" w:color="auto"/>
                            <w:left w:val="none" w:sz="0" w:space="0" w:color="auto"/>
                            <w:bottom w:val="none" w:sz="0" w:space="0" w:color="auto"/>
                            <w:right w:val="none" w:sz="0" w:space="0" w:color="auto"/>
                          </w:divBdr>
                          <w:divsChild>
                            <w:div w:id="727536345">
                              <w:marLeft w:val="0"/>
                              <w:marRight w:val="0"/>
                              <w:marTop w:val="120"/>
                              <w:marBottom w:val="0"/>
                              <w:divBdr>
                                <w:top w:val="none" w:sz="0" w:space="0" w:color="auto"/>
                                <w:left w:val="none" w:sz="0" w:space="0" w:color="auto"/>
                                <w:bottom w:val="none" w:sz="0" w:space="0" w:color="auto"/>
                                <w:right w:val="none" w:sz="0" w:space="0" w:color="auto"/>
                              </w:divBdr>
                            </w:div>
                            <w:div w:id="2085058640">
                              <w:marLeft w:val="0"/>
                              <w:marRight w:val="0"/>
                              <w:marTop w:val="0"/>
                              <w:marBottom w:val="0"/>
                              <w:divBdr>
                                <w:top w:val="none" w:sz="0" w:space="0" w:color="auto"/>
                                <w:left w:val="none" w:sz="0" w:space="0" w:color="auto"/>
                                <w:bottom w:val="none" w:sz="0" w:space="0" w:color="auto"/>
                                <w:right w:val="none" w:sz="0" w:space="0" w:color="auto"/>
                              </w:divBdr>
                            </w:div>
                          </w:divsChild>
                        </w:div>
                        <w:div w:id="1740009414">
                          <w:marLeft w:val="0"/>
                          <w:marRight w:val="0"/>
                          <w:marTop w:val="0"/>
                          <w:marBottom w:val="0"/>
                          <w:divBdr>
                            <w:top w:val="none" w:sz="0" w:space="0" w:color="auto"/>
                            <w:left w:val="none" w:sz="0" w:space="0" w:color="auto"/>
                            <w:bottom w:val="none" w:sz="0" w:space="0" w:color="auto"/>
                            <w:right w:val="none" w:sz="0" w:space="0" w:color="auto"/>
                          </w:divBdr>
                          <w:divsChild>
                            <w:div w:id="116416648">
                              <w:marLeft w:val="0"/>
                              <w:marRight w:val="0"/>
                              <w:marTop w:val="0"/>
                              <w:marBottom w:val="0"/>
                              <w:divBdr>
                                <w:top w:val="none" w:sz="0" w:space="0" w:color="auto"/>
                                <w:left w:val="none" w:sz="0" w:space="0" w:color="auto"/>
                                <w:bottom w:val="none" w:sz="0" w:space="0" w:color="auto"/>
                                <w:right w:val="none" w:sz="0" w:space="0" w:color="auto"/>
                              </w:divBdr>
                            </w:div>
                            <w:div w:id="19967653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29467592">
                  <w:marLeft w:val="0"/>
                  <w:marRight w:val="0"/>
                  <w:marTop w:val="0"/>
                  <w:marBottom w:val="0"/>
                  <w:divBdr>
                    <w:top w:val="none" w:sz="0" w:space="0" w:color="auto"/>
                    <w:left w:val="none" w:sz="0" w:space="0" w:color="auto"/>
                    <w:bottom w:val="none" w:sz="0" w:space="0" w:color="auto"/>
                    <w:right w:val="none" w:sz="0" w:space="0" w:color="auto"/>
                  </w:divBdr>
                  <w:divsChild>
                    <w:div w:id="560019542">
                      <w:marLeft w:val="0"/>
                      <w:marRight w:val="0"/>
                      <w:marTop w:val="120"/>
                      <w:marBottom w:val="0"/>
                      <w:divBdr>
                        <w:top w:val="none" w:sz="0" w:space="0" w:color="auto"/>
                        <w:left w:val="none" w:sz="0" w:space="0" w:color="auto"/>
                        <w:bottom w:val="none" w:sz="0" w:space="0" w:color="auto"/>
                        <w:right w:val="none" w:sz="0" w:space="0" w:color="auto"/>
                      </w:divBdr>
                    </w:div>
                    <w:div w:id="16137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0021">
          <w:marLeft w:val="0"/>
          <w:marRight w:val="0"/>
          <w:marTop w:val="0"/>
          <w:marBottom w:val="0"/>
          <w:divBdr>
            <w:top w:val="none" w:sz="0" w:space="0" w:color="auto"/>
            <w:left w:val="none" w:sz="0" w:space="0" w:color="auto"/>
            <w:bottom w:val="none" w:sz="0" w:space="0" w:color="auto"/>
            <w:right w:val="none" w:sz="0" w:space="0" w:color="auto"/>
          </w:divBdr>
          <w:divsChild>
            <w:div w:id="332028586">
              <w:marLeft w:val="0"/>
              <w:marRight w:val="0"/>
              <w:marTop w:val="0"/>
              <w:marBottom w:val="0"/>
              <w:divBdr>
                <w:top w:val="none" w:sz="0" w:space="0" w:color="auto"/>
                <w:left w:val="none" w:sz="0" w:space="0" w:color="auto"/>
                <w:bottom w:val="none" w:sz="0" w:space="0" w:color="auto"/>
                <w:right w:val="none" w:sz="0" w:space="0" w:color="auto"/>
              </w:divBdr>
            </w:div>
          </w:divsChild>
        </w:div>
        <w:div w:id="1504585369">
          <w:marLeft w:val="0"/>
          <w:marRight w:val="0"/>
          <w:marTop w:val="0"/>
          <w:marBottom w:val="0"/>
          <w:divBdr>
            <w:top w:val="none" w:sz="0" w:space="0" w:color="auto"/>
            <w:left w:val="none" w:sz="0" w:space="0" w:color="auto"/>
            <w:bottom w:val="none" w:sz="0" w:space="0" w:color="auto"/>
            <w:right w:val="none" w:sz="0" w:space="0" w:color="auto"/>
          </w:divBdr>
          <w:divsChild>
            <w:div w:id="1085105895">
              <w:marLeft w:val="0"/>
              <w:marRight w:val="0"/>
              <w:marTop w:val="0"/>
              <w:marBottom w:val="0"/>
              <w:divBdr>
                <w:top w:val="none" w:sz="0" w:space="0" w:color="auto"/>
                <w:left w:val="none" w:sz="0" w:space="0" w:color="auto"/>
                <w:bottom w:val="none" w:sz="0" w:space="0" w:color="auto"/>
                <w:right w:val="none" w:sz="0" w:space="0" w:color="auto"/>
              </w:divBdr>
              <w:divsChild>
                <w:div w:id="1927423022">
                  <w:marLeft w:val="0"/>
                  <w:marRight w:val="0"/>
                  <w:marTop w:val="0"/>
                  <w:marBottom w:val="0"/>
                  <w:divBdr>
                    <w:top w:val="none" w:sz="0" w:space="0" w:color="auto"/>
                    <w:left w:val="none" w:sz="0" w:space="0" w:color="auto"/>
                    <w:bottom w:val="none" w:sz="0" w:space="0" w:color="auto"/>
                    <w:right w:val="none" w:sz="0" w:space="0" w:color="auto"/>
                  </w:divBdr>
                  <w:divsChild>
                    <w:div w:id="70279094">
                      <w:marLeft w:val="0"/>
                      <w:marRight w:val="0"/>
                      <w:marTop w:val="0"/>
                      <w:marBottom w:val="0"/>
                      <w:divBdr>
                        <w:top w:val="none" w:sz="0" w:space="0" w:color="auto"/>
                        <w:left w:val="none" w:sz="0" w:space="0" w:color="auto"/>
                        <w:bottom w:val="none" w:sz="0" w:space="0" w:color="auto"/>
                        <w:right w:val="none" w:sz="0" w:space="0" w:color="auto"/>
                      </w:divBdr>
                    </w:div>
                    <w:div w:id="998340001">
                      <w:marLeft w:val="0"/>
                      <w:marRight w:val="0"/>
                      <w:marTop w:val="120"/>
                      <w:marBottom w:val="0"/>
                      <w:divBdr>
                        <w:top w:val="none" w:sz="0" w:space="0" w:color="auto"/>
                        <w:left w:val="none" w:sz="0" w:space="0" w:color="auto"/>
                        <w:bottom w:val="none" w:sz="0" w:space="0" w:color="auto"/>
                        <w:right w:val="none" w:sz="0" w:space="0" w:color="auto"/>
                      </w:divBdr>
                    </w:div>
                  </w:divsChild>
                </w:div>
                <w:div w:id="2096785554">
                  <w:marLeft w:val="0"/>
                  <w:marRight w:val="0"/>
                  <w:marTop w:val="0"/>
                  <w:marBottom w:val="0"/>
                  <w:divBdr>
                    <w:top w:val="none" w:sz="0" w:space="0" w:color="auto"/>
                    <w:left w:val="none" w:sz="0" w:space="0" w:color="auto"/>
                    <w:bottom w:val="none" w:sz="0" w:space="0" w:color="auto"/>
                    <w:right w:val="none" w:sz="0" w:space="0" w:color="auto"/>
                  </w:divBdr>
                  <w:divsChild>
                    <w:div w:id="82387076">
                      <w:marLeft w:val="0"/>
                      <w:marRight w:val="0"/>
                      <w:marTop w:val="120"/>
                      <w:marBottom w:val="0"/>
                      <w:divBdr>
                        <w:top w:val="none" w:sz="0" w:space="0" w:color="auto"/>
                        <w:left w:val="none" w:sz="0" w:space="0" w:color="auto"/>
                        <w:bottom w:val="none" w:sz="0" w:space="0" w:color="auto"/>
                        <w:right w:val="none" w:sz="0" w:space="0" w:color="auto"/>
                      </w:divBdr>
                    </w:div>
                    <w:div w:id="5636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40228">
          <w:marLeft w:val="0"/>
          <w:marRight w:val="0"/>
          <w:marTop w:val="0"/>
          <w:marBottom w:val="0"/>
          <w:divBdr>
            <w:top w:val="none" w:sz="0" w:space="0" w:color="auto"/>
            <w:left w:val="none" w:sz="0" w:space="0" w:color="auto"/>
            <w:bottom w:val="none" w:sz="0" w:space="0" w:color="auto"/>
            <w:right w:val="none" w:sz="0" w:space="0" w:color="auto"/>
          </w:divBdr>
          <w:divsChild>
            <w:div w:id="9793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9925">
      <w:bodyDiv w:val="1"/>
      <w:marLeft w:val="0"/>
      <w:marRight w:val="0"/>
      <w:marTop w:val="0"/>
      <w:marBottom w:val="0"/>
      <w:divBdr>
        <w:top w:val="none" w:sz="0" w:space="0" w:color="auto"/>
        <w:left w:val="none" w:sz="0" w:space="0" w:color="auto"/>
        <w:bottom w:val="none" w:sz="0" w:space="0" w:color="auto"/>
        <w:right w:val="none" w:sz="0" w:space="0" w:color="auto"/>
      </w:divBdr>
    </w:div>
    <w:div w:id="1443496616">
      <w:bodyDiv w:val="1"/>
      <w:marLeft w:val="0"/>
      <w:marRight w:val="0"/>
      <w:marTop w:val="0"/>
      <w:marBottom w:val="0"/>
      <w:divBdr>
        <w:top w:val="none" w:sz="0" w:space="0" w:color="auto"/>
        <w:left w:val="none" w:sz="0" w:space="0" w:color="auto"/>
        <w:bottom w:val="none" w:sz="0" w:space="0" w:color="auto"/>
        <w:right w:val="none" w:sz="0" w:space="0" w:color="auto"/>
      </w:divBdr>
      <w:divsChild>
        <w:div w:id="238759267">
          <w:marLeft w:val="0"/>
          <w:marRight w:val="0"/>
          <w:marTop w:val="0"/>
          <w:marBottom w:val="0"/>
          <w:divBdr>
            <w:top w:val="none" w:sz="0" w:space="0" w:color="auto"/>
            <w:left w:val="none" w:sz="0" w:space="0" w:color="auto"/>
            <w:bottom w:val="none" w:sz="0" w:space="0" w:color="auto"/>
            <w:right w:val="none" w:sz="0" w:space="0" w:color="auto"/>
          </w:divBdr>
          <w:divsChild>
            <w:div w:id="5988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7841">
      <w:bodyDiv w:val="1"/>
      <w:marLeft w:val="0"/>
      <w:marRight w:val="0"/>
      <w:marTop w:val="0"/>
      <w:marBottom w:val="0"/>
      <w:divBdr>
        <w:top w:val="none" w:sz="0" w:space="0" w:color="auto"/>
        <w:left w:val="none" w:sz="0" w:space="0" w:color="auto"/>
        <w:bottom w:val="none" w:sz="0" w:space="0" w:color="auto"/>
        <w:right w:val="none" w:sz="0" w:space="0" w:color="auto"/>
      </w:divBdr>
    </w:div>
    <w:div w:id="1453205351">
      <w:bodyDiv w:val="1"/>
      <w:marLeft w:val="0"/>
      <w:marRight w:val="0"/>
      <w:marTop w:val="0"/>
      <w:marBottom w:val="0"/>
      <w:divBdr>
        <w:top w:val="none" w:sz="0" w:space="0" w:color="auto"/>
        <w:left w:val="none" w:sz="0" w:space="0" w:color="auto"/>
        <w:bottom w:val="none" w:sz="0" w:space="0" w:color="auto"/>
        <w:right w:val="none" w:sz="0" w:space="0" w:color="auto"/>
      </w:divBdr>
    </w:div>
    <w:div w:id="1455320554">
      <w:bodyDiv w:val="1"/>
      <w:marLeft w:val="0"/>
      <w:marRight w:val="0"/>
      <w:marTop w:val="0"/>
      <w:marBottom w:val="0"/>
      <w:divBdr>
        <w:top w:val="none" w:sz="0" w:space="0" w:color="auto"/>
        <w:left w:val="none" w:sz="0" w:space="0" w:color="auto"/>
        <w:bottom w:val="none" w:sz="0" w:space="0" w:color="auto"/>
        <w:right w:val="none" w:sz="0" w:space="0" w:color="auto"/>
      </w:divBdr>
      <w:divsChild>
        <w:div w:id="776750244">
          <w:marLeft w:val="0"/>
          <w:marRight w:val="0"/>
          <w:marTop w:val="0"/>
          <w:marBottom w:val="0"/>
          <w:divBdr>
            <w:top w:val="none" w:sz="0" w:space="0" w:color="auto"/>
            <w:left w:val="none" w:sz="0" w:space="0" w:color="auto"/>
            <w:bottom w:val="none" w:sz="0" w:space="0" w:color="auto"/>
            <w:right w:val="none" w:sz="0" w:space="0" w:color="auto"/>
          </w:divBdr>
        </w:div>
        <w:div w:id="1936983999">
          <w:marLeft w:val="0"/>
          <w:marRight w:val="0"/>
          <w:marTop w:val="120"/>
          <w:marBottom w:val="0"/>
          <w:divBdr>
            <w:top w:val="none" w:sz="0" w:space="0" w:color="auto"/>
            <w:left w:val="none" w:sz="0" w:space="0" w:color="auto"/>
            <w:bottom w:val="none" w:sz="0" w:space="0" w:color="auto"/>
            <w:right w:val="none" w:sz="0" w:space="0" w:color="auto"/>
          </w:divBdr>
        </w:div>
      </w:divsChild>
    </w:div>
    <w:div w:id="1457526003">
      <w:bodyDiv w:val="1"/>
      <w:marLeft w:val="0"/>
      <w:marRight w:val="0"/>
      <w:marTop w:val="0"/>
      <w:marBottom w:val="0"/>
      <w:divBdr>
        <w:top w:val="none" w:sz="0" w:space="0" w:color="auto"/>
        <w:left w:val="none" w:sz="0" w:space="0" w:color="auto"/>
        <w:bottom w:val="none" w:sz="0" w:space="0" w:color="auto"/>
        <w:right w:val="none" w:sz="0" w:space="0" w:color="auto"/>
      </w:divBdr>
      <w:divsChild>
        <w:div w:id="1835338033">
          <w:marLeft w:val="0"/>
          <w:marRight w:val="0"/>
          <w:marTop w:val="0"/>
          <w:marBottom w:val="0"/>
          <w:divBdr>
            <w:top w:val="none" w:sz="0" w:space="0" w:color="auto"/>
            <w:left w:val="none" w:sz="0" w:space="0" w:color="auto"/>
            <w:bottom w:val="none" w:sz="0" w:space="0" w:color="auto"/>
            <w:right w:val="none" w:sz="0" w:space="0" w:color="auto"/>
          </w:divBdr>
        </w:div>
        <w:div w:id="2026132992">
          <w:marLeft w:val="0"/>
          <w:marRight w:val="0"/>
          <w:marTop w:val="0"/>
          <w:marBottom w:val="0"/>
          <w:divBdr>
            <w:top w:val="none" w:sz="0" w:space="0" w:color="auto"/>
            <w:left w:val="none" w:sz="0" w:space="0" w:color="auto"/>
            <w:bottom w:val="none" w:sz="0" w:space="0" w:color="auto"/>
            <w:right w:val="none" w:sz="0" w:space="0" w:color="auto"/>
          </w:divBdr>
          <w:divsChild>
            <w:div w:id="472453751">
              <w:marLeft w:val="0"/>
              <w:marRight w:val="0"/>
              <w:marTop w:val="0"/>
              <w:marBottom w:val="0"/>
              <w:divBdr>
                <w:top w:val="none" w:sz="0" w:space="0" w:color="auto"/>
                <w:left w:val="none" w:sz="0" w:space="0" w:color="auto"/>
                <w:bottom w:val="none" w:sz="0" w:space="0" w:color="auto"/>
                <w:right w:val="none" w:sz="0" w:space="0" w:color="auto"/>
              </w:divBdr>
            </w:div>
          </w:divsChild>
        </w:div>
        <w:div w:id="536702075">
          <w:marLeft w:val="0"/>
          <w:marRight w:val="0"/>
          <w:marTop w:val="0"/>
          <w:marBottom w:val="0"/>
          <w:divBdr>
            <w:top w:val="none" w:sz="0" w:space="0" w:color="auto"/>
            <w:left w:val="none" w:sz="0" w:space="0" w:color="auto"/>
            <w:bottom w:val="none" w:sz="0" w:space="0" w:color="auto"/>
            <w:right w:val="none" w:sz="0" w:space="0" w:color="auto"/>
          </w:divBdr>
          <w:divsChild>
            <w:div w:id="405420607">
              <w:marLeft w:val="0"/>
              <w:marRight w:val="0"/>
              <w:marTop w:val="0"/>
              <w:marBottom w:val="0"/>
              <w:divBdr>
                <w:top w:val="none" w:sz="0" w:space="0" w:color="auto"/>
                <w:left w:val="none" w:sz="0" w:space="0" w:color="auto"/>
                <w:bottom w:val="none" w:sz="0" w:space="0" w:color="auto"/>
                <w:right w:val="none" w:sz="0" w:space="0" w:color="auto"/>
              </w:divBdr>
              <w:divsChild>
                <w:div w:id="1390767541">
                  <w:marLeft w:val="0"/>
                  <w:marRight w:val="0"/>
                  <w:marTop w:val="0"/>
                  <w:marBottom w:val="0"/>
                  <w:divBdr>
                    <w:top w:val="none" w:sz="0" w:space="0" w:color="auto"/>
                    <w:left w:val="none" w:sz="0" w:space="0" w:color="auto"/>
                    <w:bottom w:val="none" w:sz="0" w:space="0" w:color="auto"/>
                    <w:right w:val="none" w:sz="0" w:space="0" w:color="auto"/>
                  </w:divBdr>
                  <w:divsChild>
                    <w:div w:id="1816414322">
                      <w:marLeft w:val="0"/>
                      <w:marRight w:val="0"/>
                      <w:marTop w:val="120"/>
                      <w:marBottom w:val="0"/>
                      <w:divBdr>
                        <w:top w:val="none" w:sz="0" w:space="0" w:color="auto"/>
                        <w:left w:val="none" w:sz="0" w:space="0" w:color="auto"/>
                        <w:bottom w:val="none" w:sz="0" w:space="0" w:color="auto"/>
                        <w:right w:val="none" w:sz="0" w:space="0" w:color="auto"/>
                      </w:divBdr>
                    </w:div>
                    <w:div w:id="1826119735">
                      <w:marLeft w:val="0"/>
                      <w:marRight w:val="0"/>
                      <w:marTop w:val="0"/>
                      <w:marBottom w:val="0"/>
                      <w:divBdr>
                        <w:top w:val="none" w:sz="0" w:space="0" w:color="auto"/>
                        <w:left w:val="none" w:sz="0" w:space="0" w:color="auto"/>
                        <w:bottom w:val="none" w:sz="0" w:space="0" w:color="auto"/>
                        <w:right w:val="none" w:sz="0" w:space="0" w:color="auto"/>
                      </w:divBdr>
                    </w:div>
                  </w:divsChild>
                </w:div>
                <w:div w:id="81755790">
                  <w:marLeft w:val="0"/>
                  <w:marRight w:val="0"/>
                  <w:marTop w:val="0"/>
                  <w:marBottom w:val="0"/>
                  <w:divBdr>
                    <w:top w:val="none" w:sz="0" w:space="0" w:color="auto"/>
                    <w:left w:val="none" w:sz="0" w:space="0" w:color="auto"/>
                    <w:bottom w:val="none" w:sz="0" w:space="0" w:color="auto"/>
                    <w:right w:val="none" w:sz="0" w:space="0" w:color="auto"/>
                  </w:divBdr>
                  <w:divsChild>
                    <w:div w:id="1600602026">
                      <w:marLeft w:val="0"/>
                      <w:marRight w:val="0"/>
                      <w:marTop w:val="120"/>
                      <w:marBottom w:val="0"/>
                      <w:divBdr>
                        <w:top w:val="none" w:sz="0" w:space="0" w:color="auto"/>
                        <w:left w:val="none" w:sz="0" w:space="0" w:color="auto"/>
                        <w:bottom w:val="none" w:sz="0" w:space="0" w:color="auto"/>
                        <w:right w:val="none" w:sz="0" w:space="0" w:color="auto"/>
                      </w:divBdr>
                    </w:div>
                    <w:div w:id="1768502429">
                      <w:marLeft w:val="0"/>
                      <w:marRight w:val="0"/>
                      <w:marTop w:val="0"/>
                      <w:marBottom w:val="0"/>
                      <w:divBdr>
                        <w:top w:val="none" w:sz="0" w:space="0" w:color="auto"/>
                        <w:left w:val="none" w:sz="0" w:space="0" w:color="auto"/>
                        <w:bottom w:val="none" w:sz="0" w:space="0" w:color="auto"/>
                        <w:right w:val="none" w:sz="0" w:space="0" w:color="auto"/>
                      </w:divBdr>
                    </w:div>
                  </w:divsChild>
                </w:div>
                <w:div w:id="1211259891">
                  <w:marLeft w:val="0"/>
                  <w:marRight w:val="0"/>
                  <w:marTop w:val="0"/>
                  <w:marBottom w:val="0"/>
                  <w:divBdr>
                    <w:top w:val="none" w:sz="0" w:space="0" w:color="auto"/>
                    <w:left w:val="none" w:sz="0" w:space="0" w:color="auto"/>
                    <w:bottom w:val="none" w:sz="0" w:space="0" w:color="auto"/>
                    <w:right w:val="none" w:sz="0" w:space="0" w:color="auto"/>
                  </w:divBdr>
                  <w:divsChild>
                    <w:div w:id="1209608836">
                      <w:marLeft w:val="0"/>
                      <w:marRight w:val="0"/>
                      <w:marTop w:val="120"/>
                      <w:marBottom w:val="0"/>
                      <w:divBdr>
                        <w:top w:val="none" w:sz="0" w:space="0" w:color="auto"/>
                        <w:left w:val="none" w:sz="0" w:space="0" w:color="auto"/>
                        <w:bottom w:val="none" w:sz="0" w:space="0" w:color="auto"/>
                        <w:right w:val="none" w:sz="0" w:space="0" w:color="auto"/>
                      </w:divBdr>
                    </w:div>
                    <w:div w:id="6238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32316">
          <w:marLeft w:val="0"/>
          <w:marRight w:val="0"/>
          <w:marTop w:val="0"/>
          <w:marBottom w:val="0"/>
          <w:divBdr>
            <w:top w:val="none" w:sz="0" w:space="0" w:color="auto"/>
            <w:left w:val="none" w:sz="0" w:space="0" w:color="auto"/>
            <w:bottom w:val="none" w:sz="0" w:space="0" w:color="auto"/>
            <w:right w:val="none" w:sz="0" w:space="0" w:color="auto"/>
          </w:divBdr>
          <w:divsChild>
            <w:div w:id="691078614">
              <w:marLeft w:val="0"/>
              <w:marRight w:val="0"/>
              <w:marTop w:val="0"/>
              <w:marBottom w:val="0"/>
              <w:divBdr>
                <w:top w:val="none" w:sz="0" w:space="0" w:color="auto"/>
                <w:left w:val="none" w:sz="0" w:space="0" w:color="auto"/>
                <w:bottom w:val="none" w:sz="0" w:space="0" w:color="auto"/>
                <w:right w:val="none" w:sz="0" w:space="0" w:color="auto"/>
              </w:divBdr>
              <w:divsChild>
                <w:div w:id="699744596">
                  <w:marLeft w:val="0"/>
                  <w:marRight w:val="0"/>
                  <w:marTop w:val="0"/>
                  <w:marBottom w:val="0"/>
                  <w:divBdr>
                    <w:top w:val="none" w:sz="0" w:space="0" w:color="auto"/>
                    <w:left w:val="none" w:sz="0" w:space="0" w:color="auto"/>
                    <w:bottom w:val="none" w:sz="0" w:space="0" w:color="auto"/>
                    <w:right w:val="none" w:sz="0" w:space="0" w:color="auto"/>
                  </w:divBdr>
                  <w:divsChild>
                    <w:div w:id="1296838397">
                      <w:marLeft w:val="0"/>
                      <w:marRight w:val="0"/>
                      <w:marTop w:val="120"/>
                      <w:marBottom w:val="0"/>
                      <w:divBdr>
                        <w:top w:val="none" w:sz="0" w:space="0" w:color="auto"/>
                        <w:left w:val="none" w:sz="0" w:space="0" w:color="auto"/>
                        <w:bottom w:val="none" w:sz="0" w:space="0" w:color="auto"/>
                        <w:right w:val="none" w:sz="0" w:space="0" w:color="auto"/>
                      </w:divBdr>
                    </w:div>
                    <w:div w:id="810444128">
                      <w:marLeft w:val="0"/>
                      <w:marRight w:val="0"/>
                      <w:marTop w:val="0"/>
                      <w:marBottom w:val="0"/>
                      <w:divBdr>
                        <w:top w:val="none" w:sz="0" w:space="0" w:color="auto"/>
                        <w:left w:val="none" w:sz="0" w:space="0" w:color="auto"/>
                        <w:bottom w:val="none" w:sz="0" w:space="0" w:color="auto"/>
                        <w:right w:val="none" w:sz="0" w:space="0" w:color="auto"/>
                      </w:divBdr>
                    </w:div>
                  </w:divsChild>
                </w:div>
                <w:div w:id="767387206">
                  <w:marLeft w:val="0"/>
                  <w:marRight w:val="0"/>
                  <w:marTop w:val="0"/>
                  <w:marBottom w:val="0"/>
                  <w:divBdr>
                    <w:top w:val="none" w:sz="0" w:space="0" w:color="auto"/>
                    <w:left w:val="none" w:sz="0" w:space="0" w:color="auto"/>
                    <w:bottom w:val="none" w:sz="0" w:space="0" w:color="auto"/>
                    <w:right w:val="none" w:sz="0" w:space="0" w:color="auto"/>
                  </w:divBdr>
                  <w:divsChild>
                    <w:div w:id="1581520088">
                      <w:marLeft w:val="0"/>
                      <w:marRight w:val="0"/>
                      <w:marTop w:val="120"/>
                      <w:marBottom w:val="0"/>
                      <w:divBdr>
                        <w:top w:val="none" w:sz="0" w:space="0" w:color="auto"/>
                        <w:left w:val="none" w:sz="0" w:space="0" w:color="auto"/>
                        <w:bottom w:val="none" w:sz="0" w:space="0" w:color="auto"/>
                        <w:right w:val="none" w:sz="0" w:space="0" w:color="auto"/>
                      </w:divBdr>
                    </w:div>
                    <w:div w:id="6357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3383">
          <w:marLeft w:val="0"/>
          <w:marRight w:val="0"/>
          <w:marTop w:val="0"/>
          <w:marBottom w:val="0"/>
          <w:divBdr>
            <w:top w:val="none" w:sz="0" w:space="0" w:color="auto"/>
            <w:left w:val="none" w:sz="0" w:space="0" w:color="auto"/>
            <w:bottom w:val="none" w:sz="0" w:space="0" w:color="auto"/>
            <w:right w:val="none" w:sz="0" w:space="0" w:color="auto"/>
          </w:divBdr>
          <w:divsChild>
            <w:div w:id="1584029428">
              <w:marLeft w:val="0"/>
              <w:marRight w:val="0"/>
              <w:marTop w:val="0"/>
              <w:marBottom w:val="0"/>
              <w:divBdr>
                <w:top w:val="none" w:sz="0" w:space="0" w:color="auto"/>
                <w:left w:val="none" w:sz="0" w:space="0" w:color="auto"/>
                <w:bottom w:val="none" w:sz="0" w:space="0" w:color="auto"/>
                <w:right w:val="none" w:sz="0" w:space="0" w:color="auto"/>
              </w:divBdr>
              <w:divsChild>
                <w:div w:id="1319111451">
                  <w:marLeft w:val="0"/>
                  <w:marRight w:val="0"/>
                  <w:marTop w:val="0"/>
                  <w:marBottom w:val="0"/>
                  <w:divBdr>
                    <w:top w:val="none" w:sz="0" w:space="0" w:color="auto"/>
                    <w:left w:val="none" w:sz="0" w:space="0" w:color="auto"/>
                    <w:bottom w:val="none" w:sz="0" w:space="0" w:color="auto"/>
                    <w:right w:val="none" w:sz="0" w:space="0" w:color="auto"/>
                  </w:divBdr>
                  <w:divsChild>
                    <w:div w:id="1879707529">
                      <w:marLeft w:val="0"/>
                      <w:marRight w:val="0"/>
                      <w:marTop w:val="120"/>
                      <w:marBottom w:val="0"/>
                      <w:divBdr>
                        <w:top w:val="none" w:sz="0" w:space="0" w:color="auto"/>
                        <w:left w:val="none" w:sz="0" w:space="0" w:color="auto"/>
                        <w:bottom w:val="none" w:sz="0" w:space="0" w:color="auto"/>
                        <w:right w:val="none" w:sz="0" w:space="0" w:color="auto"/>
                      </w:divBdr>
                    </w:div>
                    <w:div w:id="398603256">
                      <w:marLeft w:val="0"/>
                      <w:marRight w:val="0"/>
                      <w:marTop w:val="0"/>
                      <w:marBottom w:val="0"/>
                      <w:divBdr>
                        <w:top w:val="none" w:sz="0" w:space="0" w:color="auto"/>
                        <w:left w:val="none" w:sz="0" w:space="0" w:color="auto"/>
                        <w:bottom w:val="none" w:sz="0" w:space="0" w:color="auto"/>
                        <w:right w:val="none" w:sz="0" w:space="0" w:color="auto"/>
                      </w:divBdr>
                    </w:div>
                  </w:divsChild>
                </w:div>
                <w:div w:id="2047944842">
                  <w:marLeft w:val="0"/>
                  <w:marRight w:val="0"/>
                  <w:marTop w:val="0"/>
                  <w:marBottom w:val="0"/>
                  <w:divBdr>
                    <w:top w:val="none" w:sz="0" w:space="0" w:color="auto"/>
                    <w:left w:val="none" w:sz="0" w:space="0" w:color="auto"/>
                    <w:bottom w:val="none" w:sz="0" w:space="0" w:color="auto"/>
                    <w:right w:val="none" w:sz="0" w:space="0" w:color="auto"/>
                  </w:divBdr>
                  <w:divsChild>
                    <w:div w:id="261492833">
                      <w:marLeft w:val="0"/>
                      <w:marRight w:val="0"/>
                      <w:marTop w:val="120"/>
                      <w:marBottom w:val="0"/>
                      <w:divBdr>
                        <w:top w:val="none" w:sz="0" w:space="0" w:color="auto"/>
                        <w:left w:val="none" w:sz="0" w:space="0" w:color="auto"/>
                        <w:bottom w:val="none" w:sz="0" w:space="0" w:color="auto"/>
                        <w:right w:val="none" w:sz="0" w:space="0" w:color="auto"/>
                      </w:divBdr>
                    </w:div>
                    <w:div w:id="681247424">
                      <w:marLeft w:val="0"/>
                      <w:marRight w:val="0"/>
                      <w:marTop w:val="0"/>
                      <w:marBottom w:val="0"/>
                      <w:divBdr>
                        <w:top w:val="none" w:sz="0" w:space="0" w:color="auto"/>
                        <w:left w:val="none" w:sz="0" w:space="0" w:color="auto"/>
                        <w:bottom w:val="none" w:sz="0" w:space="0" w:color="auto"/>
                        <w:right w:val="none" w:sz="0" w:space="0" w:color="auto"/>
                      </w:divBdr>
                      <w:divsChild>
                        <w:div w:id="346638947">
                          <w:marLeft w:val="0"/>
                          <w:marRight w:val="0"/>
                          <w:marTop w:val="0"/>
                          <w:marBottom w:val="0"/>
                          <w:divBdr>
                            <w:top w:val="none" w:sz="0" w:space="0" w:color="auto"/>
                            <w:left w:val="none" w:sz="0" w:space="0" w:color="auto"/>
                            <w:bottom w:val="none" w:sz="0" w:space="0" w:color="auto"/>
                            <w:right w:val="none" w:sz="0" w:space="0" w:color="auto"/>
                          </w:divBdr>
                          <w:divsChild>
                            <w:div w:id="1877348191">
                              <w:marLeft w:val="0"/>
                              <w:marRight w:val="0"/>
                              <w:marTop w:val="120"/>
                              <w:marBottom w:val="0"/>
                              <w:divBdr>
                                <w:top w:val="none" w:sz="0" w:space="0" w:color="auto"/>
                                <w:left w:val="none" w:sz="0" w:space="0" w:color="auto"/>
                                <w:bottom w:val="none" w:sz="0" w:space="0" w:color="auto"/>
                                <w:right w:val="none" w:sz="0" w:space="0" w:color="auto"/>
                              </w:divBdr>
                            </w:div>
                            <w:div w:id="930813974">
                              <w:marLeft w:val="0"/>
                              <w:marRight w:val="0"/>
                              <w:marTop w:val="0"/>
                              <w:marBottom w:val="0"/>
                              <w:divBdr>
                                <w:top w:val="none" w:sz="0" w:space="0" w:color="auto"/>
                                <w:left w:val="none" w:sz="0" w:space="0" w:color="auto"/>
                                <w:bottom w:val="none" w:sz="0" w:space="0" w:color="auto"/>
                                <w:right w:val="none" w:sz="0" w:space="0" w:color="auto"/>
                              </w:divBdr>
                            </w:div>
                          </w:divsChild>
                        </w:div>
                        <w:div w:id="1953592971">
                          <w:marLeft w:val="0"/>
                          <w:marRight w:val="0"/>
                          <w:marTop w:val="0"/>
                          <w:marBottom w:val="0"/>
                          <w:divBdr>
                            <w:top w:val="none" w:sz="0" w:space="0" w:color="auto"/>
                            <w:left w:val="none" w:sz="0" w:space="0" w:color="auto"/>
                            <w:bottom w:val="none" w:sz="0" w:space="0" w:color="auto"/>
                            <w:right w:val="none" w:sz="0" w:space="0" w:color="auto"/>
                          </w:divBdr>
                          <w:divsChild>
                            <w:div w:id="1702434202">
                              <w:marLeft w:val="0"/>
                              <w:marRight w:val="0"/>
                              <w:marTop w:val="120"/>
                              <w:marBottom w:val="0"/>
                              <w:divBdr>
                                <w:top w:val="none" w:sz="0" w:space="0" w:color="auto"/>
                                <w:left w:val="none" w:sz="0" w:space="0" w:color="auto"/>
                                <w:bottom w:val="none" w:sz="0" w:space="0" w:color="auto"/>
                                <w:right w:val="none" w:sz="0" w:space="0" w:color="auto"/>
                              </w:divBdr>
                            </w:div>
                            <w:div w:id="1022635424">
                              <w:marLeft w:val="0"/>
                              <w:marRight w:val="0"/>
                              <w:marTop w:val="0"/>
                              <w:marBottom w:val="0"/>
                              <w:divBdr>
                                <w:top w:val="none" w:sz="0" w:space="0" w:color="auto"/>
                                <w:left w:val="none" w:sz="0" w:space="0" w:color="auto"/>
                                <w:bottom w:val="none" w:sz="0" w:space="0" w:color="auto"/>
                                <w:right w:val="none" w:sz="0" w:space="0" w:color="auto"/>
                              </w:divBdr>
                            </w:div>
                          </w:divsChild>
                        </w:div>
                        <w:div w:id="867254827">
                          <w:marLeft w:val="0"/>
                          <w:marRight w:val="0"/>
                          <w:marTop w:val="0"/>
                          <w:marBottom w:val="0"/>
                          <w:divBdr>
                            <w:top w:val="none" w:sz="0" w:space="0" w:color="auto"/>
                            <w:left w:val="none" w:sz="0" w:space="0" w:color="auto"/>
                            <w:bottom w:val="none" w:sz="0" w:space="0" w:color="auto"/>
                            <w:right w:val="none" w:sz="0" w:space="0" w:color="auto"/>
                          </w:divBdr>
                          <w:divsChild>
                            <w:div w:id="1530802077">
                              <w:marLeft w:val="0"/>
                              <w:marRight w:val="0"/>
                              <w:marTop w:val="120"/>
                              <w:marBottom w:val="0"/>
                              <w:divBdr>
                                <w:top w:val="none" w:sz="0" w:space="0" w:color="auto"/>
                                <w:left w:val="none" w:sz="0" w:space="0" w:color="auto"/>
                                <w:bottom w:val="none" w:sz="0" w:space="0" w:color="auto"/>
                                <w:right w:val="none" w:sz="0" w:space="0" w:color="auto"/>
                              </w:divBdr>
                            </w:div>
                            <w:div w:id="644360259">
                              <w:marLeft w:val="0"/>
                              <w:marRight w:val="0"/>
                              <w:marTop w:val="0"/>
                              <w:marBottom w:val="0"/>
                              <w:divBdr>
                                <w:top w:val="none" w:sz="0" w:space="0" w:color="auto"/>
                                <w:left w:val="none" w:sz="0" w:space="0" w:color="auto"/>
                                <w:bottom w:val="none" w:sz="0" w:space="0" w:color="auto"/>
                                <w:right w:val="none" w:sz="0" w:space="0" w:color="auto"/>
                              </w:divBdr>
                            </w:div>
                          </w:divsChild>
                        </w:div>
                        <w:div w:id="1918977754">
                          <w:marLeft w:val="0"/>
                          <w:marRight w:val="0"/>
                          <w:marTop w:val="0"/>
                          <w:marBottom w:val="0"/>
                          <w:divBdr>
                            <w:top w:val="none" w:sz="0" w:space="0" w:color="auto"/>
                            <w:left w:val="none" w:sz="0" w:space="0" w:color="auto"/>
                            <w:bottom w:val="none" w:sz="0" w:space="0" w:color="auto"/>
                            <w:right w:val="none" w:sz="0" w:space="0" w:color="auto"/>
                          </w:divBdr>
                          <w:divsChild>
                            <w:div w:id="302320435">
                              <w:marLeft w:val="0"/>
                              <w:marRight w:val="0"/>
                              <w:marTop w:val="120"/>
                              <w:marBottom w:val="0"/>
                              <w:divBdr>
                                <w:top w:val="none" w:sz="0" w:space="0" w:color="auto"/>
                                <w:left w:val="none" w:sz="0" w:space="0" w:color="auto"/>
                                <w:bottom w:val="none" w:sz="0" w:space="0" w:color="auto"/>
                                <w:right w:val="none" w:sz="0" w:space="0" w:color="auto"/>
                              </w:divBdr>
                            </w:div>
                            <w:div w:id="7260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27475">
                  <w:marLeft w:val="0"/>
                  <w:marRight w:val="0"/>
                  <w:marTop w:val="0"/>
                  <w:marBottom w:val="0"/>
                  <w:divBdr>
                    <w:top w:val="none" w:sz="0" w:space="0" w:color="auto"/>
                    <w:left w:val="none" w:sz="0" w:space="0" w:color="auto"/>
                    <w:bottom w:val="none" w:sz="0" w:space="0" w:color="auto"/>
                    <w:right w:val="none" w:sz="0" w:space="0" w:color="auto"/>
                  </w:divBdr>
                  <w:divsChild>
                    <w:div w:id="1249385012">
                      <w:marLeft w:val="0"/>
                      <w:marRight w:val="0"/>
                      <w:marTop w:val="120"/>
                      <w:marBottom w:val="0"/>
                      <w:divBdr>
                        <w:top w:val="none" w:sz="0" w:space="0" w:color="auto"/>
                        <w:left w:val="none" w:sz="0" w:space="0" w:color="auto"/>
                        <w:bottom w:val="none" w:sz="0" w:space="0" w:color="auto"/>
                        <w:right w:val="none" w:sz="0" w:space="0" w:color="auto"/>
                      </w:divBdr>
                    </w:div>
                    <w:div w:id="1371762805">
                      <w:marLeft w:val="0"/>
                      <w:marRight w:val="0"/>
                      <w:marTop w:val="0"/>
                      <w:marBottom w:val="0"/>
                      <w:divBdr>
                        <w:top w:val="none" w:sz="0" w:space="0" w:color="auto"/>
                        <w:left w:val="none" w:sz="0" w:space="0" w:color="auto"/>
                        <w:bottom w:val="none" w:sz="0" w:space="0" w:color="auto"/>
                        <w:right w:val="none" w:sz="0" w:space="0" w:color="auto"/>
                      </w:divBdr>
                    </w:div>
                  </w:divsChild>
                </w:div>
                <w:div w:id="104815599">
                  <w:marLeft w:val="0"/>
                  <w:marRight w:val="0"/>
                  <w:marTop w:val="0"/>
                  <w:marBottom w:val="0"/>
                  <w:divBdr>
                    <w:top w:val="none" w:sz="0" w:space="0" w:color="auto"/>
                    <w:left w:val="none" w:sz="0" w:space="0" w:color="auto"/>
                    <w:bottom w:val="none" w:sz="0" w:space="0" w:color="auto"/>
                    <w:right w:val="none" w:sz="0" w:space="0" w:color="auto"/>
                  </w:divBdr>
                  <w:divsChild>
                    <w:div w:id="160975634">
                      <w:marLeft w:val="0"/>
                      <w:marRight w:val="0"/>
                      <w:marTop w:val="120"/>
                      <w:marBottom w:val="0"/>
                      <w:divBdr>
                        <w:top w:val="none" w:sz="0" w:space="0" w:color="auto"/>
                        <w:left w:val="none" w:sz="0" w:space="0" w:color="auto"/>
                        <w:bottom w:val="none" w:sz="0" w:space="0" w:color="auto"/>
                        <w:right w:val="none" w:sz="0" w:space="0" w:color="auto"/>
                      </w:divBdr>
                    </w:div>
                    <w:div w:id="2108571839">
                      <w:marLeft w:val="0"/>
                      <w:marRight w:val="0"/>
                      <w:marTop w:val="0"/>
                      <w:marBottom w:val="0"/>
                      <w:divBdr>
                        <w:top w:val="none" w:sz="0" w:space="0" w:color="auto"/>
                        <w:left w:val="none" w:sz="0" w:space="0" w:color="auto"/>
                        <w:bottom w:val="none" w:sz="0" w:space="0" w:color="auto"/>
                        <w:right w:val="none" w:sz="0" w:space="0" w:color="auto"/>
                      </w:divBdr>
                    </w:div>
                  </w:divsChild>
                </w:div>
                <w:div w:id="357972877">
                  <w:marLeft w:val="0"/>
                  <w:marRight w:val="0"/>
                  <w:marTop w:val="0"/>
                  <w:marBottom w:val="0"/>
                  <w:divBdr>
                    <w:top w:val="none" w:sz="0" w:space="0" w:color="auto"/>
                    <w:left w:val="none" w:sz="0" w:space="0" w:color="auto"/>
                    <w:bottom w:val="none" w:sz="0" w:space="0" w:color="auto"/>
                    <w:right w:val="none" w:sz="0" w:space="0" w:color="auto"/>
                  </w:divBdr>
                  <w:divsChild>
                    <w:div w:id="171141550">
                      <w:marLeft w:val="0"/>
                      <w:marRight w:val="0"/>
                      <w:marTop w:val="120"/>
                      <w:marBottom w:val="0"/>
                      <w:divBdr>
                        <w:top w:val="none" w:sz="0" w:space="0" w:color="auto"/>
                        <w:left w:val="none" w:sz="0" w:space="0" w:color="auto"/>
                        <w:bottom w:val="none" w:sz="0" w:space="0" w:color="auto"/>
                        <w:right w:val="none" w:sz="0" w:space="0" w:color="auto"/>
                      </w:divBdr>
                    </w:div>
                    <w:div w:id="1344554590">
                      <w:marLeft w:val="0"/>
                      <w:marRight w:val="0"/>
                      <w:marTop w:val="0"/>
                      <w:marBottom w:val="0"/>
                      <w:divBdr>
                        <w:top w:val="none" w:sz="0" w:space="0" w:color="auto"/>
                        <w:left w:val="none" w:sz="0" w:space="0" w:color="auto"/>
                        <w:bottom w:val="none" w:sz="0" w:space="0" w:color="auto"/>
                        <w:right w:val="none" w:sz="0" w:space="0" w:color="auto"/>
                      </w:divBdr>
                    </w:div>
                  </w:divsChild>
                </w:div>
                <w:div w:id="1349678401">
                  <w:marLeft w:val="0"/>
                  <w:marRight w:val="0"/>
                  <w:marTop w:val="0"/>
                  <w:marBottom w:val="0"/>
                  <w:divBdr>
                    <w:top w:val="none" w:sz="0" w:space="0" w:color="auto"/>
                    <w:left w:val="none" w:sz="0" w:space="0" w:color="auto"/>
                    <w:bottom w:val="none" w:sz="0" w:space="0" w:color="auto"/>
                    <w:right w:val="none" w:sz="0" w:space="0" w:color="auto"/>
                  </w:divBdr>
                  <w:divsChild>
                    <w:div w:id="552010581">
                      <w:marLeft w:val="0"/>
                      <w:marRight w:val="0"/>
                      <w:marTop w:val="120"/>
                      <w:marBottom w:val="0"/>
                      <w:divBdr>
                        <w:top w:val="none" w:sz="0" w:space="0" w:color="auto"/>
                        <w:left w:val="none" w:sz="0" w:space="0" w:color="auto"/>
                        <w:bottom w:val="none" w:sz="0" w:space="0" w:color="auto"/>
                        <w:right w:val="none" w:sz="0" w:space="0" w:color="auto"/>
                      </w:divBdr>
                    </w:div>
                    <w:div w:id="13619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092">
          <w:marLeft w:val="0"/>
          <w:marRight w:val="0"/>
          <w:marTop w:val="0"/>
          <w:marBottom w:val="0"/>
          <w:divBdr>
            <w:top w:val="none" w:sz="0" w:space="0" w:color="auto"/>
            <w:left w:val="none" w:sz="0" w:space="0" w:color="auto"/>
            <w:bottom w:val="none" w:sz="0" w:space="0" w:color="auto"/>
            <w:right w:val="none" w:sz="0" w:space="0" w:color="auto"/>
          </w:divBdr>
          <w:divsChild>
            <w:div w:id="399136639">
              <w:marLeft w:val="0"/>
              <w:marRight w:val="0"/>
              <w:marTop w:val="0"/>
              <w:marBottom w:val="0"/>
              <w:divBdr>
                <w:top w:val="none" w:sz="0" w:space="0" w:color="auto"/>
                <w:left w:val="none" w:sz="0" w:space="0" w:color="auto"/>
                <w:bottom w:val="none" w:sz="0" w:space="0" w:color="auto"/>
                <w:right w:val="none" w:sz="0" w:space="0" w:color="auto"/>
              </w:divBdr>
            </w:div>
          </w:divsChild>
        </w:div>
        <w:div w:id="969021320">
          <w:marLeft w:val="0"/>
          <w:marRight w:val="0"/>
          <w:marTop w:val="0"/>
          <w:marBottom w:val="0"/>
          <w:divBdr>
            <w:top w:val="none" w:sz="0" w:space="0" w:color="auto"/>
            <w:left w:val="none" w:sz="0" w:space="0" w:color="auto"/>
            <w:bottom w:val="none" w:sz="0" w:space="0" w:color="auto"/>
            <w:right w:val="none" w:sz="0" w:space="0" w:color="auto"/>
          </w:divBdr>
          <w:divsChild>
            <w:div w:id="15584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073">
      <w:bodyDiv w:val="1"/>
      <w:marLeft w:val="0"/>
      <w:marRight w:val="0"/>
      <w:marTop w:val="0"/>
      <w:marBottom w:val="0"/>
      <w:divBdr>
        <w:top w:val="none" w:sz="0" w:space="0" w:color="auto"/>
        <w:left w:val="none" w:sz="0" w:space="0" w:color="auto"/>
        <w:bottom w:val="none" w:sz="0" w:space="0" w:color="auto"/>
        <w:right w:val="none" w:sz="0" w:space="0" w:color="auto"/>
      </w:divBdr>
    </w:div>
    <w:div w:id="1485127761">
      <w:bodyDiv w:val="1"/>
      <w:marLeft w:val="0"/>
      <w:marRight w:val="0"/>
      <w:marTop w:val="0"/>
      <w:marBottom w:val="0"/>
      <w:divBdr>
        <w:top w:val="none" w:sz="0" w:space="0" w:color="auto"/>
        <w:left w:val="none" w:sz="0" w:space="0" w:color="auto"/>
        <w:bottom w:val="none" w:sz="0" w:space="0" w:color="auto"/>
        <w:right w:val="none" w:sz="0" w:space="0" w:color="auto"/>
      </w:divBdr>
      <w:divsChild>
        <w:div w:id="955908502">
          <w:marLeft w:val="600"/>
          <w:marRight w:val="0"/>
          <w:marTop w:val="0"/>
          <w:marBottom w:val="0"/>
          <w:divBdr>
            <w:top w:val="none" w:sz="0" w:space="0" w:color="auto"/>
            <w:left w:val="none" w:sz="0" w:space="0" w:color="auto"/>
            <w:bottom w:val="none" w:sz="0" w:space="0" w:color="auto"/>
            <w:right w:val="none" w:sz="0" w:space="0" w:color="auto"/>
          </w:divBdr>
        </w:div>
        <w:div w:id="1683245082">
          <w:marLeft w:val="600"/>
          <w:marRight w:val="0"/>
          <w:marTop w:val="0"/>
          <w:marBottom w:val="0"/>
          <w:divBdr>
            <w:top w:val="none" w:sz="0" w:space="0" w:color="auto"/>
            <w:left w:val="none" w:sz="0" w:space="0" w:color="auto"/>
            <w:bottom w:val="none" w:sz="0" w:space="0" w:color="auto"/>
            <w:right w:val="none" w:sz="0" w:space="0" w:color="auto"/>
          </w:divBdr>
        </w:div>
        <w:div w:id="2069454504">
          <w:marLeft w:val="600"/>
          <w:marRight w:val="0"/>
          <w:marTop w:val="0"/>
          <w:marBottom w:val="0"/>
          <w:divBdr>
            <w:top w:val="none" w:sz="0" w:space="0" w:color="auto"/>
            <w:left w:val="none" w:sz="0" w:space="0" w:color="auto"/>
            <w:bottom w:val="none" w:sz="0" w:space="0" w:color="auto"/>
            <w:right w:val="none" w:sz="0" w:space="0" w:color="auto"/>
          </w:divBdr>
        </w:div>
      </w:divsChild>
    </w:div>
    <w:div w:id="1486164602">
      <w:bodyDiv w:val="1"/>
      <w:marLeft w:val="0"/>
      <w:marRight w:val="0"/>
      <w:marTop w:val="0"/>
      <w:marBottom w:val="0"/>
      <w:divBdr>
        <w:top w:val="none" w:sz="0" w:space="0" w:color="auto"/>
        <w:left w:val="none" w:sz="0" w:space="0" w:color="auto"/>
        <w:bottom w:val="none" w:sz="0" w:space="0" w:color="auto"/>
        <w:right w:val="none" w:sz="0" w:space="0" w:color="auto"/>
      </w:divBdr>
      <w:divsChild>
        <w:div w:id="208493486">
          <w:marLeft w:val="0"/>
          <w:marRight w:val="0"/>
          <w:marTop w:val="0"/>
          <w:marBottom w:val="0"/>
          <w:divBdr>
            <w:top w:val="none" w:sz="0" w:space="0" w:color="auto"/>
            <w:left w:val="none" w:sz="0" w:space="0" w:color="auto"/>
            <w:bottom w:val="none" w:sz="0" w:space="0" w:color="auto"/>
            <w:right w:val="none" w:sz="0" w:space="0" w:color="auto"/>
          </w:divBdr>
        </w:div>
        <w:div w:id="909271304">
          <w:marLeft w:val="0"/>
          <w:marRight w:val="0"/>
          <w:marTop w:val="120"/>
          <w:marBottom w:val="0"/>
          <w:divBdr>
            <w:top w:val="none" w:sz="0" w:space="0" w:color="auto"/>
            <w:left w:val="none" w:sz="0" w:space="0" w:color="auto"/>
            <w:bottom w:val="none" w:sz="0" w:space="0" w:color="auto"/>
            <w:right w:val="none" w:sz="0" w:space="0" w:color="auto"/>
          </w:divBdr>
        </w:div>
      </w:divsChild>
    </w:div>
    <w:div w:id="1489638968">
      <w:bodyDiv w:val="1"/>
      <w:marLeft w:val="0"/>
      <w:marRight w:val="0"/>
      <w:marTop w:val="0"/>
      <w:marBottom w:val="0"/>
      <w:divBdr>
        <w:top w:val="none" w:sz="0" w:space="0" w:color="auto"/>
        <w:left w:val="none" w:sz="0" w:space="0" w:color="auto"/>
        <w:bottom w:val="none" w:sz="0" w:space="0" w:color="auto"/>
        <w:right w:val="none" w:sz="0" w:space="0" w:color="auto"/>
      </w:divBdr>
      <w:divsChild>
        <w:div w:id="573929159">
          <w:marLeft w:val="0"/>
          <w:marRight w:val="0"/>
          <w:marTop w:val="0"/>
          <w:marBottom w:val="0"/>
          <w:divBdr>
            <w:top w:val="none" w:sz="0" w:space="0" w:color="auto"/>
            <w:left w:val="none" w:sz="0" w:space="0" w:color="auto"/>
            <w:bottom w:val="none" w:sz="0" w:space="0" w:color="auto"/>
            <w:right w:val="none" w:sz="0" w:space="0" w:color="auto"/>
          </w:divBdr>
        </w:div>
      </w:divsChild>
    </w:div>
    <w:div w:id="1494487105">
      <w:bodyDiv w:val="1"/>
      <w:marLeft w:val="0"/>
      <w:marRight w:val="0"/>
      <w:marTop w:val="0"/>
      <w:marBottom w:val="0"/>
      <w:divBdr>
        <w:top w:val="none" w:sz="0" w:space="0" w:color="auto"/>
        <w:left w:val="none" w:sz="0" w:space="0" w:color="auto"/>
        <w:bottom w:val="none" w:sz="0" w:space="0" w:color="auto"/>
        <w:right w:val="none" w:sz="0" w:space="0" w:color="auto"/>
      </w:divBdr>
      <w:divsChild>
        <w:div w:id="418675365">
          <w:marLeft w:val="0"/>
          <w:marRight w:val="0"/>
          <w:marTop w:val="0"/>
          <w:marBottom w:val="0"/>
          <w:divBdr>
            <w:top w:val="none" w:sz="0" w:space="0" w:color="auto"/>
            <w:left w:val="none" w:sz="0" w:space="0" w:color="auto"/>
            <w:bottom w:val="none" w:sz="0" w:space="0" w:color="auto"/>
            <w:right w:val="none" w:sz="0" w:space="0" w:color="auto"/>
          </w:divBdr>
          <w:divsChild>
            <w:div w:id="1832214312">
              <w:marLeft w:val="0"/>
              <w:marRight w:val="0"/>
              <w:marTop w:val="0"/>
              <w:marBottom w:val="0"/>
              <w:divBdr>
                <w:top w:val="none" w:sz="0" w:space="0" w:color="auto"/>
                <w:left w:val="none" w:sz="0" w:space="0" w:color="auto"/>
                <w:bottom w:val="none" w:sz="0" w:space="0" w:color="auto"/>
                <w:right w:val="none" w:sz="0" w:space="0" w:color="auto"/>
              </w:divBdr>
              <w:divsChild>
                <w:div w:id="629671846">
                  <w:marLeft w:val="0"/>
                  <w:marRight w:val="0"/>
                  <w:marTop w:val="120"/>
                  <w:marBottom w:val="0"/>
                  <w:divBdr>
                    <w:top w:val="none" w:sz="0" w:space="0" w:color="auto"/>
                    <w:left w:val="none" w:sz="0" w:space="0" w:color="auto"/>
                    <w:bottom w:val="none" w:sz="0" w:space="0" w:color="auto"/>
                    <w:right w:val="none" w:sz="0" w:space="0" w:color="auto"/>
                  </w:divBdr>
                  <w:divsChild>
                    <w:div w:id="25297137">
                      <w:marLeft w:val="0"/>
                      <w:marRight w:val="0"/>
                      <w:marTop w:val="120"/>
                      <w:marBottom w:val="0"/>
                      <w:divBdr>
                        <w:top w:val="none" w:sz="0" w:space="0" w:color="auto"/>
                        <w:left w:val="none" w:sz="0" w:space="0" w:color="auto"/>
                        <w:bottom w:val="none" w:sz="0" w:space="0" w:color="auto"/>
                        <w:right w:val="none" w:sz="0" w:space="0" w:color="auto"/>
                      </w:divBdr>
                    </w:div>
                    <w:div w:id="363991065">
                      <w:marLeft w:val="0"/>
                      <w:marRight w:val="0"/>
                      <w:marTop w:val="120"/>
                      <w:marBottom w:val="0"/>
                      <w:divBdr>
                        <w:top w:val="none" w:sz="0" w:space="0" w:color="auto"/>
                        <w:left w:val="none" w:sz="0" w:space="0" w:color="auto"/>
                        <w:bottom w:val="none" w:sz="0" w:space="0" w:color="auto"/>
                        <w:right w:val="none" w:sz="0" w:space="0" w:color="auto"/>
                      </w:divBdr>
                    </w:div>
                    <w:div w:id="1050567297">
                      <w:marLeft w:val="0"/>
                      <w:marRight w:val="0"/>
                      <w:marTop w:val="120"/>
                      <w:marBottom w:val="0"/>
                      <w:divBdr>
                        <w:top w:val="none" w:sz="0" w:space="0" w:color="auto"/>
                        <w:left w:val="none" w:sz="0" w:space="0" w:color="auto"/>
                        <w:bottom w:val="none" w:sz="0" w:space="0" w:color="auto"/>
                        <w:right w:val="none" w:sz="0" w:space="0" w:color="auto"/>
                      </w:divBdr>
                    </w:div>
                  </w:divsChild>
                </w:div>
                <w:div w:id="717242057">
                  <w:marLeft w:val="0"/>
                  <w:marRight w:val="0"/>
                  <w:marTop w:val="120"/>
                  <w:marBottom w:val="0"/>
                  <w:divBdr>
                    <w:top w:val="none" w:sz="0" w:space="0" w:color="auto"/>
                    <w:left w:val="none" w:sz="0" w:space="0" w:color="auto"/>
                    <w:bottom w:val="none" w:sz="0" w:space="0" w:color="auto"/>
                    <w:right w:val="none" w:sz="0" w:space="0" w:color="auto"/>
                  </w:divBdr>
                </w:div>
                <w:div w:id="1814911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1582867">
          <w:marLeft w:val="0"/>
          <w:marRight w:val="0"/>
          <w:marTop w:val="0"/>
          <w:marBottom w:val="0"/>
          <w:divBdr>
            <w:top w:val="none" w:sz="0" w:space="0" w:color="auto"/>
            <w:left w:val="none" w:sz="0" w:space="0" w:color="auto"/>
            <w:bottom w:val="none" w:sz="0" w:space="0" w:color="auto"/>
            <w:right w:val="none" w:sz="0" w:space="0" w:color="auto"/>
          </w:divBdr>
          <w:divsChild>
            <w:div w:id="16781919">
              <w:marLeft w:val="0"/>
              <w:marRight w:val="0"/>
              <w:marTop w:val="0"/>
              <w:marBottom w:val="0"/>
              <w:divBdr>
                <w:top w:val="none" w:sz="0" w:space="0" w:color="auto"/>
                <w:left w:val="none" w:sz="0" w:space="0" w:color="auto"/>
                <w:bottom w:val="none" w:sz="0" w:space="0" w:color="auto"/>
                <w:right w:val="none" w:sz="0" w:space="0" w:color="auto"/>
              </w:divBdr>
              <w:divsChild>
                <w:div w:id="929462851">
                  <w:marLeft w:val="0"/>
                  <w:marRight w:val="0"/>
                  <w:marTop w:val="0"/>
                  <w:marBottom w:val="0"/>
                  <w:divBdr>
                    <w:top w:val="none" w:sz="0" w:space="0" w:color="auto"/>
                    <w:left w:val="none" w:sz="0" w:space="0" w:color="auto"/>
                    <w:bottom w:val="none" w:sz="0" w:space="0" w:color="auto"/>
                    <w:right w:val="none" w:sz="0" w:space="0" w:color="auto"/>
                  </w:divBdr>
                  <w:divsChild>
                    <w:div w:id="1505512660">
                      <w:marLeft w:val="0"/>
                      <w:marRight w:val="0"/>
                      <w:marTop w:val="120"/>
                      <w:marBottom w:val="0"/>
                      <w:divBdr>
                        <w:top w:val="none" w:sz="0" w:space="0" w:color="auto"/>
                        <w:left w:val="none" w:sz="0" w:space="0" w:color="auto"/>
                        <w:bottom w:val="none" w:sz="0" w:space="0" w:color="auto"/>
                        <w:right w:val="none" w:sz="0" w:space="0" w:color="auto"/>
                      </w:divBdr>
                    </w:div>
                    <w:div w:id="1934624650">
                      <w:marLeft w:val="0"/>
                      <w:marRight w:val="0"/>
                      <w:marTop w:val="0"/>
                      <w:marBottom w:val="0"/>
                      <w:divBdr>
                        <w:top w:val="none" w:sz="0" w:space="0" w:color="auto"/>
                        <w:left w:val="none" w:sz="0" w:space="0" w:color="auto"/>
                        <w:bottom w:val="none" w:sz="0" w:space="0" w:color="auto"/>
                        <w:right w:val="none" w:sz="0" w:space="0" w:color="auto"/>
                      </w:divBdr>
                    </w:div>
                  </w:divsChild>
                </w:div>
                <w:div w:id="2038852114">
                  <w:marLeft w:val="0"/>
                  <w:marRight w:val="0"/>
                  <w:marTop w:val="0"/>
                  <w:marBottom w:val="0"/>
                  <w:divBdr>
                    <w:top w:val="none" w:sz="0" w:space="0" w:color="auto"/>
                    <w:left w:val="none" w:sz="0" w:space="0" w:color="auto"/>
                    <w:bottom w:val="none" w:sz="0" w:space="0" w:color="auto"/>
                    <w:right w:val="none" w:sz="0" w:space="0" w:color="auto"/>
                  </w:divBdr>
                  <w:divsChild>
                    <w:div w:id="995109039">
                      <w:marLeft w:val="0"/>
                      <w:marRight w:val="0"/>
                      <w:marTop w:val="120"/>
                      <w:marBottom w:val="0"/>
                      <w:divBdr>
                        <w:top w:val="none" w:sz="0" w:space="0" w:color="auto"/>
                        <w:left w:val="none" w:sz="0" w:space="0" w:color="auto"/>
                        <w:bottom w:val="none" w:sz="0" w:space="0" w:color="auto"/>
                        <w:right w:val="none" w:sz="0" w:space="0" w:color="auto"/>
                      </w:divBdr>
                    </w:div>
                    <w:div w:id="13770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28721">
          <w:marLeft w:val="0"/>
          <w:marRight w:val="0"/>
          <w:marTop w:val="0"/>
          <w:marBottom w:val="0"/>
          <w:divBdr>
            <w:top w:val="none" w:sz="0" w:space="0" w:color="auto"/>
            <w:left w:val="none" w:sz="0" w:space="0" w:color="auto"/>
            <w:bottom w:val="none" w:sz="0" w:space="0" w:color="auto"/>
            <w:right w:val="none" w:sz="0" w:space="0" w:color="auto"/>
          </w:divBdr>
          <w:divsChild>
            <w:div w:id="890768747">
              <w:marLeft w:val="0"/>
              <w:marRight w:val="0"/>
              <w:marTop w:val="0"/>
              <w:marBottom w:val="0"/>
              <w:divBdr>
                <w:top w:val="none" w:sz="0" w:space="0" w:color="auto"/>
                <w:left w:val="none" w:sz="0" w:space="0" w:color="auto"/>
                <w:bottom w:val="none" w:sz="0" w:space="0" w:color="auto"/>
                <w:right w:val="none" w:sz="0" w:space="0" w:color="auto"/>
              </w:divBdr>
              <w:divsChild>
                <w:div w:id="387071527">
                  <w:marLeft w:val="0"/>
                  <w:marRight w:val="0"/>
                  <w:marTop w:val="0"/>
                  <w:marBottom w:val="0"/>
                  <w:divBdr>
                    <w:top w:val="none" w:sz="0" w:space="0" w:color="auto"/>
                    <w:left w:val="none" w:sz="0" w:space="0" w:color="auto"/>
                    <w:bottom w:val="none" w:sz="0" w:space="0" w:color="auto"/>
                    <w:right w:val="none" w:sz="0" w:space="0" w:color="auto"/>
                  </w:divBdr>
                  <w:divsChild>
                    <w:div w:id="200283942">
                      <w:marLeft w:val="0"/>
                      <w:marRight w:val="0"/>
                      <w:marTop w:val="0"/>
                      <w:marBottom w:val="0"/>
                      <w:divBdr>
                        <w:top w:val="none" w:sz="0" w:space="0" w:color="auto"/>
                        <w:left w:val="none" w:sz="0" w:space="0" w:color="auto"/>
                        <w:bottom w:val="none" w:sz="0" w:space="0" w:color="auto"/>
                        <w:right w:val="none" w:sz="0" w:space="0" w:color="auto"/>
                      </w:divBdr>
                    </w:div>
                    <w:div w:id="891962713">
                      <w:marLeft w:val="0"/>
                      <w:marRight w:val="0"/>
                      <w:marTop w:val="120"/>
                      <w:marBottom w:val="0"/>
                      <w:divBdr>
                        <w:top w:val="none" w:sz="0" w:space="0" w:color="auto"/>
                        <w:left w:val="none" w:sz="0" w:space="0" w:color="auto"/>
                        <w:bottom w:val="none" w:sz="0" w:space="0" w:color="auto"/>
                        <w:right w:val="none" w:sz="0" w:space="0" w:color="auto"/>
                      </w:divBdr>
                    </w:div>
                  </w:divsChild>
                </w:div>
                <w:div w:id="874543399">
                  <w:marLeft w:val="0"/>
                  <w:marRight w:val="0"/>
                  <w:marTop w:val="0"/>
                  <w:marBottom w:val="0"/>
                  <w:divBdr>
                    <w:top w:val="none" w:sz="0" w:space="0" w:color="auto"/>
                    <w:left w:val="none" w:sz="0" w:space="0" w:color="auto"/>
                    <w:bottom w:val="none" w:sz="0" w:space="0" w:color="auto"/>
                    <w:right w:val="none" w:sz="0" w:space="0" w:color="auto"/>
                  </w:divBdr>
                  <w:divsChild>
                    <w:div w:id="67313540">
                      <w:marLeft w:val="0"/>
                      <w:marRight w:val="0"/>
                      <w:marTop w:val="120"/>
                      <w:marBottom w:val="0"/>
                      <w:divBdr>
                        <w:top w:val="none" w:sz="0" w:space="0" w:color="auto"/>
                        <w:left w:val="none" w:sz="0" w:space="0" w:color="auto"/>
                        <w:bottom w:val="none" w:sz="0" w:space="0" w:color="auto"/>
                        <w:right w:val="none" w:sz="0" w:space="0" w:color="auto"/>
                      </w:divBdr>
                    </w:div>
                    <w:div w:id="516847108">
                      <w:marLeft w:val="0"/>
                      <w:marRight w:val="0"/>
                      <w:marTop w:val="0"/>
                      <w:marBottom w:val="0"/>
                      <w:divBdr>
                        <w:top w:val="none" w:sz="0" w:space="0" w:color="auto"/>
                        <w:left w:val="none" w:sz="0" w:space="0" w:color="auto"/>
                        <w:bottom w:val="none" w:sz="0" w:space="0" w:color="auto"/>
                        <w:right w:val="none" w:sz="0" w:space="0" w:color="auto"/>
                      </w:divBdr>
                    </w:div>
                  </w:divsChild>
                </w:div>
                <w:div w:id="1734154018">
                  <w:marLeft w:val="0"/>
                  <w:marRight w:val="0"/>
                  <w:marTop w:val="0"/>
                  <w:marBottom w:val="0"/>
                  <w:divBdr>
                    <w:top w:val="none" w:sz="0" w:space="0" w:color="auto"/>
                    <w:left w:val="none" w:sz="0" w:space="0" w:color="auto"/>
                    <w:bottom w:val="none" w:sz="0" w:space="0" w:color="auto"/>
                    <w:right w:val="none" w:sz="0" w:space="0" w:color="auto"/>
                  </w:divBdr>
                  <w:divsChild>
                    <w:div w:id="280458091">
                      <w:marLeft w:val="0"/>
                      <w:marRight w:val="0"/>
                      <w:marTop w:val="120"/>
                      <w:marBottom w:val="0"/>
                      <w:divBdr>
                        <w:top w:val="none" w:sz="0" w:space="0" w:color="auto"/>
                        <w:left w:val="none" w:sz="0" w:space="0" w:color="auto"/>
                        <w:bottom w:val="none" w:sz="0" w:space="0" w:color="auto"/>
                        <w:right w:val="none" w:sz="0" w:space="0" w:color="auto"/>
                      </w:divBdr>
                    </w:div>
                    <w:div w:id="1808816163">
                      <w:marLeft w:val="0"/>
                      <w:marRight w:val="0"/>
                      <w:marTop w:val="0"/>
                      <w:marBottom w:val="0"/>
                      <w:divBdr>
                        <w:top w:val="none" w:sz="0" w:space="0" w:color="auto"/>
                        <w:left w:val="none" w:sz="0" w:space="0" w:color="auto"/>
                        <w:bottom w:val="none" w:sz="0" w:space="0" w:color="auto"/>
                        <w:right w:val="none" w:sz="0" w:space="0" w:color="auto"/>
                      </w:divBdr>
                    </w:div>
                  </w:divsChild>
                </w:div>
                <w:div w:id="1883050966">
                  <w:marLeft w:val="0"/>
                  <w:marRight w:val="0"/>
                  <w:marTop w:val="0"/>
                  <w:marBottom w:val="0"/>
                  <w:divBdr>
                    <w:top w:val="none" w:sz="0" w:space="0" w:color="auto"/>
                    <w:left w:val="none" w:sz="0" w:space="0" w:color="auto"/>
                    <w:bottom w:val="none" w:sz="0" w:space="0" w:color="auto"/>
                    <w:right w:val="none" w:sz="0" w:space="0" w:color="auto"/>
                  </w:divBdr>
                  <w:divsChild>
                    <w:div w:id="1461143326">
                      <w:marLeft w:val="0"/>
                      <w:marRight w:val="0"/>
                      <w:marTop w:val="0"/>
                      <w:marBottom w:val="0"/>
                      <w:divBdr>
                        <w:top w:val="none" w:sz="0" w:space="0" w:color="auto"/>
                        <w:left w:val="none" w:sz="0" w:space="0" w:color="auto"/>
                        <w:bottom w:val="none" w:sz="0" w:space="0" w:color="auto"/>
                        <w:right w:val="none" w:sz="0" w:space="0" w:color="auto"/>
                      </w:divBdr>
                    </w:div>
                    <w:div w:id="2030179952">
                      <w:marLeft w:val="0"/>
                      <w:marRight w:val="0"/>
                      <w:marTop w:val="120"/>
                      <w:marBottom w:val="0"/>
                      <w:divBdr>
                        <w:top w:val="none" w:sz="0" w:space="0" w:color="auto"/>
                        <w:left w:val="none" w:sz="0" w:space="0" w:color="auto"/>
                        <w:bottom w:val="none" w:sz="0" w:space="0" w:color="auto"/>
                        <w:right w:val="none" w:sz="0" w:space="0" w:color="auto"/>
                      </w:divBdr>
                    </w:div>
                  </w:divsChild>
                </w:div>
                <w:div w:id="1986617658">
                  <w:marLeft w:val="0"/>
                  <w:marRight w:val="0"/>
                  <w:marTop w:val="0"/>
                  <w:marBottom w:val="0"/>
                  <w:divBdr>
                    <w:top w:val="none" w:sz="0" w:space="0" w:color="auto"/>
                    <w:left w:val="none" w:sz="0" w:space="0" w:color="auto"/>
                    <w:bottom w:val="none" w:sz="0" w:space="0" w:color="auto"/>
                    <w:right w:val="none" w:sz="0" w:space="0" w:color="auto"/>
                  </w:divBdr>
                  <w:divsChild>
                    <w:div w:id="167601372">
                      <w:marLeft w:val="0"/>
                      <w:marRight w:val="0"/>
                      <w:marTop w:val="120"/>
                      <w:marBottom w:val="0"/>
                      <w:divBdr>
                        <w:top w:val="none" w:sz="0" w:space="0" w:color="auto"/>
                        <w:left w:val="none" w:sz="0" w:space="0" w:color="auto"/>
                        <w:bottom w:val="none" w:sz="0" w:space="0" w:color="auto"/>
                        <w:right w:val="none" w:sz="0" w:space="0" w:color="auto"/>
                      </w:divBdr>
                    </w:div>
                    <w:div w:id="1919755083">
                      <w:marLeft w:val="0"/>
                      <w:marRight w:val="0"/>
                      <w:marTop w:val="0"/>
                      <w:marBottom w:val="0"/>
                      <w:divBdr>
                        <w:top w:val="none" w:sz="0" w:space="0" w:color="auto"/>
                        <w:left w:val="none" w:sz="0" w:space="0" w:color="auto"/>
                        <w:bottom w:val="none" w:sz="0" w:space="0" w:color="auto"/>
                        <w:right w:val="none" w:sz="0" w:space="0" w:color="auto"/>
                      </w:divBdr>
                    </w:div>
                  </w:divsChild>
                </w:div>
                <w:div w:id="2012021505">
                  <w:marLeft w:val="0"/>
                  <w:marRight w:val="0"/>
                  <w:marTop w:val="0"/>
                  <w:marBottom w:val="0"/>
                  <w:divBdr>
                    <w:top w:val="none" w:sz="0" w:space="0" w:color="auto"/>
                    <w:left w:val="none" w:sz="0" w:space="0" w:color="auto"/>
                    <w:bottom w:val="none" w:sz="0" w:space="0" w:color="auto"/>
                    <w:right w:val="none" w:sz="0" w:space="0" w:color="auto"/>
                  </w:divBdr>
                  <w:divsChild>
                    <w:div w:id="136537021">
                      <w:marLeft w:val="0"/>
                      <w:marRight w:val="0"/>
                      <w:marTop w:val="120"/>
                      <w:marBottom w:val="0"/>
                      <w:divBdr>
                        <w:top w:val="none" w:sz="0" w:space="0" w:color="auto"/>
                        <w:left w:val="none" w:sz="0" w:space="0" w:color="auto"/>
                        <w:bottom w:val="none" w:sz="0" w:space="0" w:color="auto"/>
                        <w:right w:val="none" w:sz="0" w:space="0" w:color="auto"/>
                      </w:divBdr>
                    </w:div>
                    <w:div w:id="1741637960">
                      <w:marLeft w:val="0"/>
                      <w:marRight w:val="0"/>
                      <w:marTop w:val="0"/>
                      <w:marBottom w:val="0"/>
                      <w:divBdr>
                        <w:top w:val="none" w:sz="0" w:space="0" w:color="auto"/>
                        <w:left w:val="none" w:sz="0" w:space="0" w:color="auto"/>
                        <w:bottom w:val="none" w:sz="0" w:space="0" w:color="auto"/>
                        <w:right w:val="none" w:sz="0" w:space="0" w:color="auto"/>
                      </w:divBdr>
                    </w:div>
                  </w:divsChild>
                </w:div>
                <w:div w:id="2100441390">
                  <w:marLeft w:val="0"/>
                  <w:marRight w:val="0"/>
                  <w:marTop w:val="0"/>
                  <w:marBottom w:val="0"/>
                  <w:divBdr>
                    <w:top w:val="none" w:sz="0" w:space="0" w:color="auto"/>
                    <w:left w:val="none" w:sz="0" w:space="0" w:color="auto"/>
                    <w:bottom w:val="none" w:sz="0" w:space="0" w:color="auto"/>
                    <w:right w:val="none" w:sz="0" w:space="0" w:color="auto"/>
                  </w:divBdr>
                  <w:divsChild>
                    <w:div w:id="632440627">
                      <w:marLeft w:val="0"/>
                      <w:marRight w:val="0"/>
                      <w:marTop w:val="0"/>
                      <w:marBottom w:val="0"/>
                      <w:divBdr>
                        <w:top w:val="none" w:sz="0" w:space="0" w:color="auto"/>
                        <w:left w:val="none" w:sz="0" w:space="0" w:color="auto"/>
                        <w:bottom w:val="none" w:sz="0" w:space="0" w:color="auto"/>
                        <w:right w:val="none" w:sz="0" w:space="0" w:color="auto"/>
                      </w:divBdr>
                    </w:div>
                    <w:div w:id="10739683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98225997">
      <w:bodyDiv w:val="1"/>
      <w:marLeft w:val="0"/>
      <w:marRight w:val="0"/>
      <w:marTop w:val="0"/>
      <w:marBottom w:val="0"/>
      <w:divBdr>
        <w:top w:val="none" w:sz="0" w:space="0" w:color="auto"/>
        <w:left w:val="none" w:sz="0" w:space="0" w:color="auto"/>
        <w:bottom w:val="none" w:sz="0" w:space="0" w:color="auto"/>
        <w:right w:val="none" w:sz="0" w:space="0" w:color="auto"/>
      </w:divBdr>
    </w:div>
    <w:div w:id="1510556675">
      <w:bodyDiv w:val="1"/>
      <w:marLeft w:val="0"/>
      <w:marRight w:val="0"/>
      <w:marTop w:val="0"/>
      <w:marBottom w:val="0"/>
      <w:divBdr>
        <w:top w:val="none" w:sz="0" w:space="0" w:color="auto"/>
        <w:left w:val="none" w:sz="0" w:space="0" w:color="auto"/>
        <w:bottom w:val="none" w:sz="0" w:space="0" w:color="auto"/>
        <w:right w:val="none" w:sz="0" w:space="0" w:color="auto"/>
      </w:divBdr>
      <w:divsChild>
        <w:div w:id="1026907618">
          <w:marLeft w:val="0"/>
          <w:marRight w:val="0"/>
          <w:marTop w:val="0"/>
          <w:marBottom w:val="0"/>
          <w:divBdr>
            <w:top w:val="none" w:sz="0" w:space="0" w:color="auto"/>
            <w:left w:val="none" w:sz="0" w:space="0" w:color="auto"/>
            <w:bottom w:val="none" w:sz="0" w:space="0" w:color="auto"/>
            <w:right w:val="none" w:sz="0" w:space="0" w:color="auto"/>
          </w:divBdr>
        </w:div>
      </w:divsChild>
    </w:div>
    <w:div w:id="1522360475">
      <w:bodyDiv w:val="1"/>
      <w:marLeft w:val="0"/>
      <w:marRight w:val="0"/>
      <w:marTop w:val="0"/>
      <w:marBottom w:val="0"/>
      <w:divBdr>
        <w:top w:val="none" w:sz="0" w:space="0" w:color="auto"/>
        <w:left w:val="none" w:sz="0" w:space="0" w:color="auto"/>
        <w:bottom w:val="none" w:sz="0" w:space="0" w:color="auto"/>
        <w:right w:val="none" w:sz="0" w:space="0" w:color="auto"/>
      </w:divBdr>
      <w:divsChild>
        <w:div w:id="675038412">
          <w:marLeft w:val="0"/>
          <w:marRight w:val="0"/>
          <w:marTop w:val="0"/>
          <w:marBottom w:val="0"/>
          <w:divBdr>
            <w:top w:val="none" w:sz="0" w:space="0" w:color="auto"/>
            <w:left w:val="none" w:sz="0" w:space="0" w:color="auto"/>
            <w:bottom w:val="none" w:sz="0" w:space="0" w:color="auto"/>
            <w:right w:val="none" w:sz="0" w:space="0" w:color="auto"/>
          </w:divBdr>
          <w:divsChild>
            <w:div w:id="1411807005">
              <w:marLeft w:val="0"/>
              <w:marRight w:val="0"/>
              <w:marTop w:val="0"/>
              <w:marBottom w:val="0"/>
              <w:divBdr>
                <w:top w:val="none" w:sz="0" w:space="0" w:color="auto"/>
                <w:left w:val="none" w:sz="0" w:space="0" w:color="auto"/>
                <w:bottom w:val="none" w:sz="0" w:space="0" w:color="auto"/>
                <w:right w:val="none" w:sz="0" w:space="0" w:color="auto"/>
              </w:divBdr>
              <w:divsChild>
                <w:div w:id="794176844">
                  <w:marLeft w:val="0"/>
                  <w:marRight w:val="0"/>
                  <w:marTop w:val="120"/>
                  <w:marBottom w:val="0"/>
                  <w:divBdr>
                    <w:top w:val="none" w:sz="0" w:space="0" w:color="auto"/>
                    <w:left w:val="none" w:sz="0" w:space="0" w:color="auto"/>
                    <w:bottom w:val="none" w:sz="0" w:space="0" w:color="auto"/>
                    <w:right w:val="none" w:sz="0" w:space="0" w:color="auto"/>
                  </w:divBdr>
                </w:div>
                <w:div w:id="1043169097">
                  <w:marLeft w:val="0"/>
                  <w:marRight w:val="0"/>
                  <w:marTop w:val="0"/>
                  <w:marBottom w:val="0"/>
                  <w:divBdr>
                    <w:top w:val="none" w:sz="0" w:space="0" w:color="auto"/>
                    <w:left w:val="none" w:sz="0" w:space="0" w:color="auto"/>
                    <w:bottom w:val="none" w:sz="0" w:space="0" w:color="auto"/>
                    <w:right w:val="none" w:sz="0" w:space="0" w:color="auto"/>
                  </w:divBdr>
                  <w:divsChild>
                    <w:div w:id="81949663">
                      <w:marLeft w:val="0"/>
                      <w:marRight w:val="0"/>
                      <w:marTop w:val="0"/>
                      <w:marBottom w:val="0"/>
                      <w:divBdr>
                        <w:top w:val="none" w:sz="0" w:space="0" w:color="auto"/>
                        <w:left w:val="none" w:sz="0" w:space="0" w:color="auto"/>
                        <w:bottom w:val="none" w:sz="0" w:space="0" w:color="auto"/>
                        <w:right w:val="none" w:sz="0" w:space="0" w:color="auto"/>
                      </w:divBdr>
                      <w:divsChild>
                        <w:div w:id="1010720027">
                          <w:marLeft w:val="0"/>
                          <w:marRight w:val="0"/>
                          <w:marTop w:val="0"/>
                          <w:marBottom w:val="0"/>
                          <w:divBdr>
                            <w:top w:val="none" w:sz="0" w:space="0" w:color="auto"/>
                            <w:left w:val="none" w:sz="0" w:space="0" w:color="auto"/>
                            <w:bottom w:val="none" w:sz="0" w:space="0" w:color="auto"/>
                            <w:right w:val="none" w:sz="0" w:space="0" w:color="auto"/>
                          </w:divBdr>
                        </w:div>
                        <w:div w:id="1520122365">
                          <w:marLeft w:val="0"/>
                          <w:marRight w:val="0"/>
                          <w:marTop w:val="120"/>
                          <w:marBottom w:val="0"/>
                          <w:divBdr>
                            <w:top w:val="none" w:sz="0" w:space="0" w:color="auto"/>
                            <w:left w:val="none" w:sz="0" w:space="0" w:color="auto"/>
                            <w:bottom w:val="none" w:sz="0" w:space="0" w:color="auto"/>
                            <w:right w:val="none" w:sz="0" w:space="0" w:color="auto"/>
                          </w:divBdr>
                        </w:div>
                      </w:divsChild>
                    </w:div>
                    <w:div w:id="794105596">
                      <w:marLeft w:val="0"/>
                      <w:marRight w:val="0"/>
                      <w:marTop w:val="0"/>
                      <w:marBottom w:val="0"/>
                      <w:divBdr>
                        <w:top w:val="none" w:sz="0" w:space="0" w:color="auto"/>
                        <w:left w:val="none" w:sz="0" w:space="0" w:color="auto"/>
                        <w:bottom w:val="none" w:sz="0" w:space="0" w:color="auto"/>
                        <w:right w:val="none" w:sz="0" w:space="0" w:color="auto"/>
                      </w:divBdr>
                      <w:divsChild>
                        <w:div w:id="536044414">
                          <w:marLeft w:val="0"/>
                          <w:marRight w:val="0"/>
                          <w:marTop w:val="120"/>
                          <w:marBottom w:val="0"/>
                          <w:divBdr>
                            <w:top w:val="none" w:sz="0" w:space="0" w:color="auto"/>
                            <w:left w:val="none" w:sz="0" w:space="0" w:color="auto"/>
                            <w:bottom w:val="none" w:sz="0" w:space="0" w:color="auto"/>
                            <w:right w:val="none" w:sz="0" w:space="0" w:color="auto"/>
                          </w:divBdr>
                        </w:div>
                        <w:div w:id="2086804219">
                          <w:marLeft w:val="0"/>
                          <w:marRight w:val="0"/>
                          <w:marTop w:val="0"/>
                          <w:marBottom w:val="0"/>
                          <w:divBdr>
                            <w:top w:val="none" w:sz="0" w:space="0" w:color="auto"/>
                            <w:left w:val="none" w:sz="0" w:space="0" w:color="auto"/>
                            <w:bottom w:val="none" w:sz="0" w:space="0" w:color="auto"/>
                            <w:right w:val="none" w:sz="0" w:space="0" w:color="auto"/>
                          </w:divBdr>
                        </w:div>
                      </w:divsChild>
                    </w:div>
                    <w:div w:id="1028725686">
                      <w:marLeft w:val="0"/>
                      <w:marRight w:val="0"/>
                      <w:marTop w:val="0"/>
                      <w:marBottom w:val="0"/>
                      <w:divBdr>
                        <w:top w:val="none" w:sz="0" w:space="0" w:color="auto"/>
                        <w:left w:val="none" w:sz="0" w:space="0" w:color="auto"/>
                        <w:bottom w:val="none" w:sz="0" w:space="0" w:color="auto"/>
                        <w:right w:val="none" w:sz="0" w:space="0" w:color="auto"/>
                      </w:divBdr>
                      <w:divsChild>
                        <w:div w:id="1697465976">
                          <w:marLeft w:val="0"/>
                          <w:marRight w:val="0"/>
                          <w:marTop w:val="120"/>
                          <w:marBottom w:val="0"/>
                          <w:divBdr>
                            <w:top w:val="none" w:sz="0" w:space="0" w:color="auto"/>
                            <w:left w:val="none" w:sz="0" w:space="0" w:color="auto"/>
                            <w:bottom w:val="none" w:sz="0" w:space="0" w:color="auto"/>
                            <w:right w:val="none" w:sz="0" w:space="0" w:color="auto"/>
                          </w:divBdr>
                        </w:div>
                        <w:div w:id="20427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1015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120"/>
                  <w:marBottom w:val="0"/>
                  <w:divBdr>
                    <w:top w:val="none" w:sz="0" w:space="0" w:color="auto"/>
                    <w:left w:val="none" w:sz="0" w:space="0" w:color="auto"/>
                    <w:bottom w:val="none" w:sz="0" w:space="0" w:color="auto"/>
                    <w:right w:val="none" w:sz="0" w:space="0" w:color="auto"/>
                  </w:divBdr>
                </w:div>
                <w:div w:id="20843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1508">
      <w:bodyDiv w:val="1"/>
      <w:marLeft w:val="0"/>
      <w:marRight w:val="0"/>
      <w:marTop w:val="0"/>
      <w:marBottom w:val="0"/>
      <w:divBdr>
        <w:top w:val="none" w:sz="0" w:space="0" w:color="auto"/>
        <w:left w:val="none" w:sz="0" w:space="0" w:color="auto"/>
        <w:bottom w:val="none" w:sz="0" w:space="0" w:color="auto"/>
        <w:right w:val="none" w:sz="0" w:space="0" w:color="auto"/>
      </w:divBdr>
      <w:divsChild>
        <w:div w:id="630596895">
          <w:marLeft w:val="0"/>
          <w:marRight w:val="0"/>
          <w:marTop w:val="0"/>
          <w:marBottom w:val="0"/>
          <w:divBdr>
            <w:top w:val="none" w:sz="0" w:space="0" w:color="auto"/>
            <w:left w:val="none" w:sz="0" w:space="0" w:color="auto"/>
            <w:bottom w:val="none" w:sz="0" w:space="0" w:color="auto"/>
            <w:right w:val="none" w:sz="0" w:space="0" w:color="auto"/>
          </w:divBdr>
        </w:div>
        <w:div w:id="142627465">
          <w:marLeft w:val="0"/>
          <w:marRight w:val="0"/>
          <w:marTop w:val="0"/>
          <w:marBottom w:val="0"/>
          <w:divBdr>
            <w:top w:val="none" w:sz="0" w:space="0" w:color="auto"/>
            <w:left w:val="none" w:sz="0" w:space="0" w:color="auto"/>
            <w:bottom w:val="none" w:sz="0" w:space="0" w:color="auto"/>
            <w:right w:val="none" w:sz="0" w:space="0" w:color="auto"/>
          </w:divBdr>
          <w:divsChild>
            <w:div w:id="1632324894">
              <w:marLeft w:val="0"/>
              <w:marRight w:val="0"/>
              <w:marTop w:val="0"/>
              <w:marBottom w:val="0"/>
              <w:divBdr>
                <w:top w:val="none" w:sz="0" w:space="0" w:color="auto"/>
                <w:left w:val="none" w:sz="0" w:space="0" w:color="auto"/>
                <w:bottom w:val="none" w:sz="0" w:space="0" w:color="auto"/>
                <w:right w:val="none" w:sz="0" w:space="0" w:color="auto"/>
              </w:divBdr>
              <w:divsChild>
                <w:div w:id="364866559">
                  <w:marLeft w:val="0"/>
                  <w:marRight w:val="0"/>
                  <w:marTop w:val="0"/>
                  <w:marBottom w:val="0"/>
                  <w:divBdr>
                    <w:top w:val="none" w:sz="0" w:space="0" w:color="auto"/>
                    <w:left w:val="none" w:sz="0" w:space="0" w:color="auto"/>
                    <w:bottom w:val="none" w:sz="0" w:space="0" w:color="auto"/>
                    <w:right w:val="none" w:sz="0" w:space="0" w:color="auto"/>
                  </w:divBdr>
                  <w:divsChild>
                    <w:div w:id="729764313">
                      <w:marLeft w:val="0"/>
                      <w:marRight w:val="0"/>
                      <w:marTop w:val="120"/>
                      <w:marBottom w:val="0"/>
                      <w:divBdr>
                        <w:top w:val="none" w:sz="0" w:space="0" w:color="auto"/>
                        <w:left w:val="none" w:sz="0" w:space="0" w:color="auto"/>
                        <w:bottom w:val="none" w:sz="0" w:space="0" w:color="auto"/>
                        <w:right w:val="none" w:sz="0" w:space="0" w:color="auto"/>
                      </w:divBdr>
                    </w:div>
                    <w:div w:id="813397">
                      <w:marLeft w:val="0"/>
                      <w:marRight w:val="0"/>
                      <w:marTop w:val="0"/>
                      <w:marBottom w:val="0"/>
                      <w:divBdr>
                        <w:top w:val="none" w:sz="0" w:space="0" w:color="auto"/>
                        <w:left w:val="none" w:sz="0" w:space="0" w:color="auto"/>
                        <w:bottom w:val="none" w:sz="0" w:space="0" w:color="auto"/>
                        <w:right w:val="none" w:sz="0" w:space="0" w:color="auto"/>
                      </w:divBdr>
                    </w:div>
                  </w:divsChild>
                </w:div>
                <w:div w:id="1818035628">
                  <w:marLeft w:val="0"/>
                  <w:marRight w:val="0"/>
                  <w:marTop w:val="0"/>
                  <w:marBottom w:val="0"/>
                  <w:divBdr>
                    <w:top w:val="none" w:sz="0" w:space="0" w:color="auto"/>
                    <w:left w:val="none" w:sz="0" w:space="0" w:color="auto"/>
                    <w:bottom w:val="none" w:sz="0" w:space="0" w:color="auto"/>
                    <w:right w:val="none" w:sz="0" w:space="0" w:color="auto"/>
                  </w:divBdr>
                  <w:divsChild>
                    <w:div w:id="767232112">
                      <w:marLeft w:val="0"/>
                      <w:marRight w:val="0"/>
                      <w:marTop w:val="120"/>
                      <w:marBottom w:val="0"/>
                      <w:divBdr>
                        <w:top w:val="none" w:sz="0" w:space="0" w:color="auto"/>
                        <w:left w:val="none" w:sz="0" w:space="0" w:color="auto"/>
                        <w:bottom w:val="none" w:sz="0" w:space="0" w:color="auto"/>
                        <w:right w:val="none" w:sz="0" w:space="0" w:color="auto"/>
                      </w:divBdr>
                    </w:div>
                    <w:div w:id="1136407315">
                      <w:marLeft w:val="0"/>
                      <w:marRight w:val="0"/>
                      <w:marTop w:val="0"/>
                      <w:marBottom w:val="0"/>
                      <w:divBdr>
                        <w:top w:val="none" w:sz="0" w:space="0" w:color="auto"/>
                        <w:left w:val="none" w:sz="0" w:space="0" w:color="auto"/>
                        <w:bottom w:val="none" w:sz="0" w:space="0" w:color="auto"/>
                        <w:right w:val="none" w:sz="0" w:space="0" w:color="auto"/>
                      </w:divBdr>
                    </w:div>
                  </w:divsChild>
                </w:div>
                <w:div w:id="1488209280">
                  <w:marLeft w:val="0"/>
                  <w:marRight w:val="0"/>
                  <w:marTop w:val="0"/>
                  <w:marBottom w:val="0"/>
                  <w:divBdr>
                    <w:top w:val="none" w:sz="0" w:space="0" w:color="auto"/>
                    <w:left w:val="none" w:sz="0" w:space="0" w:color="auto"/>
                    <w:bottom w:val="none" w:sz="0" w:space="0" w:color="auto"/>
                    <w:right w:val="none" w:sz="0" w:space="0" w:color="auto"/>
                  </w:divBdr>
                  <w:divsChild>
                    <w:div w:id="528220389">
                      <w:marLeft w:val="0"/>
                      <w:marRight w:val="0"/>
                      <w:marTop w:val="120"/>
                      <w:marBottom w:val="0"/>
                      <w:divBdr>
                        <w:top w:val="none" w:sz="0" w:space="0" w:color="auto"/>
                        <w:left w:val="none" w:sz="0" w:space="0" w:color="auto"/>
                        <w:bottom w:val="none" w:sz="0" w:space="0" w:color="auto"/>
                        <w:right w:val="none" w:sz="0" w:space="0" w:color="auto"/>
                      </w:divBdr>
                    </w:div>
                    <w:div w:id="1443568801">
                      <w:marLeft w:val="0"/>
                      <w:marRight w:val="0"/>
                      <w:marTop w:val="0"/>
                      <w:marBottom w:val="0"/>
                      <w:divBdr>
                        <w:top w:val="none" w:sz="0" w:space="0" w:color="auto"/>
                        <w:left w:val="none" w:sz="0" w:space="0" w:color="auto"/>
                        <w:bottom w:val="none" w:sz="0" w:space="0" w:color="auto"/>
                        <w:right w:val="none" w:sz="0" w:space="0" w:color="auto"/>
                      </w:divBdr>
                    </w:div>
                  </w:divsChild>
                </w:div>
                <w:div w:id="2048992639">
                  <w:marLeft w:val="0"/>
                  <w:marRight w:val="0"/>
                  <w:marTop w:val="0"/>
                  <w:marBottom w:val="0"/>
                  <w:divBdr>
                    <w:top w:val="none" w:sz="0" w:space="0" w:color="auto"/>
                    <w:left w:val="none" w:sz="0" w:space="0" w:color="auto"/>
                    <w:bottom w:val="none" w:sz="0" w:space="0" w:color="auto"/>
                    <w:right w:val="none" w:sz="0" w:space="0" w:color="auto"/>
                  </w:divBdr>
                  <w:divsChild>
                    <w:div w:id="1841504772">
                      <w:marLeft w:val="0"/>
                      <w:marRight w:val="0"/>
                      <w:marTop w:val="120"/>
                      <w:marBottom w:val="0"/>
                      <w:divBdr>
                        <w:top w:val="none" w:sz="0" w:space="0" w:color="auto"/>
                        <w:left w:val="none" w:sz="0" w:space="0" w:color="auto"/>
                        <w:bottom w:val="none" w:sz="0" w:space="0" w:color="auto"/>
                        <w:right w:val="none" w:sz="0" w:space="0" w:color="auto"/>
                      </w:divBdr>
                    </w:div>
                    <w:div w:id="19864848">
                      <w:marLeft w:val="0"/>
                      <w:marRight w:val="0"/>
                      <w:marTop w:val="0"/>
                      <w:marBottom w:val="0"/>
                      <w:divBdr>
                        <w:top w:val="none" w:sz="0" w:space="0" w:color="auto"/>
                        <w:left w:val="none" w:sz="0" w:space="0" w:color="auto"/>
                        <w:bottom w:val="none" w:sz="0" w:space="0" w:color="auto"/>
                        <w:right w:val="none" w:sz="0" w:space="0" w:color="auto"/>
                      </w:divBdr>
                    </w:div>
                  </w:divsChild>
                </w:div>
                <w:div w:id="137771448">
                  <w:marLeft w:val="0"/>
                  <w:marRight w:val="0"/>
                  <w:marTop w:val="0"/>
                  <w:marBottom w:val="0"/>
                  <w:divBdr>
                    <w:top w:val="none" w:sz="0" w:space="0" w:color="auto"/>
                    <w:left w:val="none" w:sz="0" w:space="0" w:color="auto"/>
                    <w:bottom w:val="none" w:sz="0" w:space="0" w:color="auto"/>
                    <w:right w:val="none" w:sz="0" w:space="0" w:color="auto"/>
                  </w:divBdr>
                  <w:divsChild>
                    <w:div w:id="368921112">
                      <w:marLeft w:val="0"/>
                      <w:marRight w:val="0"/>
                      <w:marTop w:val="120"/>
                      <w:marBottom w:val="0"/>
                      <w:divBdr>
                        <w:top w:val="none" w:sz="0" w:space="0" w:color="auto"/>
                        <w:left w:val="none" w:sz="0" w:space="0" w:color="auto"/>
                        <w:bottom w:val="none" w:sz="0" w:space="0" w:color="auto"/>
                        <w:right w:val="none" w:sz="0" w:space="0" w:color="auto"/>
                      </w:divBdr>
                    </w:div>
                    <w:div w:id="238713324">
                      <w:marLeft w:val="0"/>
                      <w:marRight w:val="0"/>
                      <w:marTop w:val="0"/>
                      <w:marBottom w:val="0"/>
                      <w:divBdr>
                        <w:top w:val="none" w:sz="0" w:space="0" w:color="auto"/>
                        <w:left w:val="none" w:sz="0" w:space="0" w:color="auto"/>
                        <w:bottom w:val="none" w:sz="0" w:space="0" w:color="auto"/>
                        <w:right w:val="none" w:sz="0" w:space="0" w:color="auto"/>
                      </w:divBdr>
                    </w:div>
                  </w:divsChild>
                </w:div>
                <w:div w:id="534464109">
                  <w:marLeft w:val="0"/>
                  <w:marRight w:val="0"/>
                  <w:marTop w:val="0"/>
                  <w:marBottom w:val="0"/>
                  <w:divBdr>
                    <w:top w:val="none" w:sz="0" w:space="0" w:color="auto"/>
                    <w:left w:val="none" w:sz="0" w:space="0" w:color="auto"/>
                    <w:bottom w:val="none" w:sz="0" w:space="0" w:color="auto"/>
                    <w:right w:val="none" w:sz="0" w:space="0" w:color="auto"/>
                  </w:divBdr>
                  <w:divsChild>
                    <w:div w:id="1567646532">
                      <w:marLeft w:val="0"/>
                      <w:marRight w:val="0"/>
                      <w:marTop w:val="120"/>
                      <w:marBottom w:val="0"/>
                      <w:divBdr>
                        <w:top w:val="none" w:sz="0" w:space="0" w:color="auto"/>
                        <w:left w:val="none" w:sz="0" w:space="0" w:color="auto"/>
                        <w:bottom w:val="none" w:sz="0" w:space="0" w:color="auto"/>
                        <w:right w:val="none" w:sz="0" w:space="0" w:color="auto"/>
                      </w:divBdr>
                    </w:div>
                    <w:div w:id="14417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4931">
          <w:marLeft w:val="0"/>
          <w:marRight w:val="0"/>
          <w:marTop w:val="0"/>
          <w:marBottom w:val="0"/>
          <w:divBdr>
            <w:top w:val="none" w:sz="0" w:space="0" w:color="auto"/>
            <w:left w:val="none" w:sz="0" w:space="0" w:color="auto"/>
            <w:bottom w:val="none" w:sz="0" w:space="0" w:color="auto"/>
            <w:right w:val="none" w:sz="0" w:space="0" w:color="auto"/>
          </w:divBdr>
          <w:divsChild>
            <w:div w:id="1852256237">
              <w:marLeft w:val="0"/>
              <w:marRight w:val="0"/>
              <w:marTop w:val="0"/>
              <w:marBottom w:val="0"/>
              <w:divBdr>
                <w:top w:val="none" w:sz="0" w:space="0" w:color="auto"/>
                <w:left w:val="none" w:sz="0" w:space="0" w:color="auto"/>
                <w:bottom w:val="none" w:sz="0" w:space="0" w:color="auto"/>
                <w:right w:val="none" w:sz="0" w:space="0" w:color="auto"/>
              </w:divBdr>
            </w:div>
          </w:divsChild>
        </w:div>
        <w:div w:id="503668705">
          <w:marLeft w:val="0"/>
          <w:marRight w:val="0"/>
          <w:marTop w:val="0"/>
          <w:marBottom w:val="0"/>
          <w:divBdr>
            <w:top w:val="none" w:sz="0" w:space="0" w:color="auto"/>
            <w:left w:val="none" w:sz="0" w:space="0" w:color="auto"/>
            <w:bottom w:val="none" w:sz="0" w:space="0" w:color="auto"/>
            <w:right w:val="none" w:sz="0" w:space="0" w:color="auto"/>
          </w:divBdr>
          <w:divsChild>
            <w:div w:id="11185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81481">
      <w:bodyDiv w:val="1"/>
      <w:marLeft w:val="0"/>
      <w:marRight w:val="0"/>
      <w:marTop w:val="0"/>
      <w:marBottom w:val="0"/>
      <w:divBdr>
        <w:top w:val="none" w:sz="0" w:space="0" w:color="auto"/>
        <w:left w:val="none" w:sz="0" w:space="0" w:color="auto"/>
        <w:bottom w:val="none" w:sz="0" w:space="0" w:color="auto"/>
        <w:right w:val="none" w:sz="0" w:space="0" w:color="auto"/>
      </w:divBdr>
    </w:div>
    <w:div w:id="1563103859">
      <w:bodyDiv w:val="1"/>
      <w:marLeft w:val="0"/>
      <w:marRight w:val="0"/>
      <w:marTop w:val="0"/>
      <w:marBottom w:val="0"/>
      <w:divBdr>
        <w:top w:val="none" w:sz="0" w:space="0" w:color="auto"/>
        <w:left w:val="none" w:sz="0" w:space="0" w:color="auto"/>
        <w:bottom w:val="none" w:sz="0" w:space="0" w:color="auto"/>
        <w:right w:val="none" w:sz="0" w:space="0" w:color="auto"/>
      </w:divBdr>
      <w:divsChild>
        <w:div w:id="2020427176">
          <w:marLeft w:val="0"/>
          <w:marRight w:val="0"/>
          <w:marTop w:val="0"/>
          <w:marBottom w:val="0"/>
          <w:divBdr>
            <w:top w:val="none" w:sz="0" w:space="0" w:color="auto"/>
            <w:left w:val="none" w:sz="0" w:space="0" w:color="auto"/>
            <w:bottom w:val="none" w:sz="0" w:space="0" w:color="auto"/>
            <w:right w:val="none" w:sz="0" w:space="0" w:color="auto"/>
          </w:divBdr>
        </w:div>
      </w:divsChild>
    </w:div>
    <w:div w:id="1577398622">
      <w:bodyDiv w:val="1"/>
      <w:marLeft w:val="0"/>
      <w:marRight w:val="0"/>
      <w:marTop w:val="0"/>
      <w:marBottom w:val="0"/>
      <w:divBdr>
        <w:top w:val="none" w:sz="0" w:space="0" w:color="auto"/>
        <w:left w:val="none" w:sz="0" w:space="0" w:color="auto"/>
        <w:bottom w:val="none" w:sz="0" w:space="0" w:color="auto"/>
        <w:right w:val="none" w:sz="0" w:space="0" w:color="auto"/>
      </w:divBdr>
    </w:div>
    <w:div w:id="1585411745">
      <w:bodyDiv w:val="1"/>
      <w:marLeft w:val="0"/>
      <w:marRight w:val="0"/>
      <w:marTop w:val="0"/>
      <w:marBottom w:val="0"/>
      <w:divBdr>
        <w:top w:val="none" w:sz="0" w:space="0" w:color="auto"/>
        <w:left w:val="none" w:sz="0" w:space="0" w:color="auto"/>
        <w:bottom w:val="none" w:sz="0" w:space="0" w:color="auto"/>
        <w:right w:val="none" w:sz="0" w:space="0" w:color="auto"/>
      </w:divBdr>
    </w:div>
    <w:div w:id="1586760591">
      <w:bodyDiv w:val="1"/>
      <w:marLeft w:val="0"/>
      <w:marRight w:val="0"/>
      <w:marTop w:val="0"/>
      <w:marBottom w:val="0"/>
      <w:divBdr>
        <w:top w:val="none" w:sz="0" w:space="0" w:color="auto"/>
        <w:left w:val="none" w:sz="0" w:space="0" w:color="auto"/>
        <w:bottom w:val="none" w:sz="0" w:space="0" w:color="auto"/>
        <w:right w:val="none" w:sz="0" w:space="0" w:color="auto"/>
      </w:divBdr>
    </w:div>
    <w:div w:id="1593390653">
      <w:bodyDiv w:val="1"/>
      <w:marLeft w:val="0"/>
      <w:marRight w:val="0"/>
      <w:marTop w:val="0"/>
      <w:marBottom w:val="0"/>
      <w:divBdr>
        <w:top w:val="none" w:sz="0" w:space="0" w:color="auto"/>
        <w:left w:val="none" w:sz="0" w:space="0" w:color="auto"/>
        <w:bottom w:val="none" w:sz="0" w:space="0" w:color="auto"/>
        <w:right w:val="none" w:sz="0" w:space="0" w:color="auto"/>
      </w:divBdr>
      <w:divsChild>
        <w:div w:id="1360086070">
          <w:marLeft w:val="0"/>
          <w:marRight w:val="0"/>
          <w:marTop w:val="0"/>
          <w:marBottom w:val="0"/>
          <w:divBdr>
            <w:top w:val="none" w:sz="0" w:space="0" w:color="auto"/>
            <w:left w:val="none" w:sz="0" w:space="0" w:color="auto"/>
            <w:bottom w:val="none" w:sz="0" w:space="0" w:color="auto"/>
            <w:right w:val="none" w:sz="0" w:space="0" w:color="auto"/>
          </w:divBdr>
          <w:divsChild>
            <w:div w:id="1400134795">
              <w:marLeft w:val="0"/>
              <w:marRight w:val="0"/>
              <w:marTop w:val="0"/>
              <w:marBottom w:val="0"/>
              <w:divBdr>
                <w:top w:val="none" w:sz="0" w:space="0" w:color="auto"/>
                <w:left w:val="none" w:sz="0" w:space="0" w:color="auto"/>
                <w:bottom w:val="none" w:sz="0" w:space="0" w:color="auto"/>
                <w:right w:val="none" w:sz="0" w:space="0" w:color="auto"/>
              </w:divBdr>
            </w:div>
            <w:div w:id="20777756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9870617">
      <w:bodyDiv w:val="1"/>
      <w:marLeft w:val="0"/>
      <w:marRight w:val="0"/>
      <w:marTop w:val="0"/>
      <w:marBottom w:val="0"/>
      <w:divBdr>
        <w:top w:val="none" w:sz="0" w:space="0" w:color="auto"/>
        <w:left w:val="none" w:sz="0" w:space="0" w:color="auto"/>
        <w:bottom w:val="none" w:sz="0" w:space="0" w:color="auto"/>
        <w:right w:val="none" w:sz="0" w:space="0" w:color="auto"/>
      </w:divBdr>
    </w:div>
    <w:div w:id="1601183493">
      <w:bodyDiv w:val="1"/>
      <w:marLeft w:val="0"/>
      <w:marRight w:val="0"/>
      <w:marTop w:val="0"/>
      <w:marBottom w:val="0"/>
      <w:divBdr>
        <w:top w:val="none" w:sz="0" w:space="0" w:color="auto"/>
        <w:left w:val="none" w:sz="0" w:space="0" w:color="auto"/>
        <w:bottom w:val="none" w:sz="0" w:space="0" w:color="auto"/>
        <w:right w:val="none" w:sz="0" w:space="0" w:color="auto"/>
      </w:divBdr>
      <w:divsChild>
        <w:div w:id="11541238">
          <w:marLeft w:val="0"/>
          <w:marRight w:val="0"/>
          <w:marTop w:val="0"/>
          <w:marBottom w:val="0"/>
          <w:divBdr>
            <w:top w:val="none" w:sz="0" w:space="0" w:color="auto"/>
            <w:left w:val="none" w:sz="0" w:space="0" w:color="auto"/>
            <w:bottom w:val="none" w:sz="0" w:space="0" w:color="auto"/>
            <w:right w:val="none" w:sz="0" w:space="0" w:color="auto"/>
          </w:divBdr>
          <w:divsChild>
            <w:div w:id="1074089679">
              <w:marLeft w:val="0"/>
              <w:marRight w:val="0"/>
              <w:marTop w:val="0"/>
              <w:marBottom w:val="0"/>
              <w:divBdr>
                <w:top w:val="none" w:sz="0" w:space="0" w:color="auto"/>
                <w:left w:val="none" w:sz="0" w:space="0" w:color="auto"/>
                <w:bottom w:val="none" w:sz="0" w:space="0" w:color="auto"/>
                <w:right w:val="none" w:sz="0" w:space="0" w:color="auto"/>
              </w:divBdr>
            </w:div>
            <w:div w:id="1196769513">
              <w:marLeft w:val="0"/>
              <w:marRight w:val="0"/>
              <w:marTop w:val="120"/>
              <w:marBottom w:val="0"/>
              <w:divBdr>
                <w:top w:val="none" w:sz="0" w:space="0" w:color="auto"/>
                <w:left w:val="none" w:sz="0" w:space="0" w:color="auto"/>
                <w:bottom w:val="none" w:sz="0" w:space="0" w:color="auto"/>
                <w:right w:val="none" w:sz="0" w:space="0" w:color="auto"/>
              </w:divBdr>
            </w:div>
          </w:divsChild>
        </w:div>
        <w:div w:id="50928968">
          <w:marLeft w:val="0"/>
          <w:marRight w:val="0"/>
          <w:marTop w:val="0"/>
          <w:marBottom w:val="0"/>
          <w:divBdr>
            <w:top w:val="none" w:sz="0" w:space="0" w:color="auto"/>
            <w:left w:val="none" w:sz="0" w:space="0" w:color="auto"/>
            <w:bottom w:val="none" w:sz="0" w:space="0" w:color="auto"/>
            <w:right w:val="none" w:sz="0" w:space="0" w:color="auto"/>
          </w:divBdr>
          <w:divsChild>
            <w:div w:id="1974600564">
              <w:marLeft w:val="0"/>
              <w:marRight w:val="0"/>
              <w:marTop w:val="0"/>
              <w:marBottom w:val="0"/>
              <w:divBdr>
                <w:top w:val="none" w:sz="0" w:space="0" w:color="auto"/>
                <w:left w:val="none" w:sz="0" w:space="0" w:color="auto"/>
                <w:bottom w:val="none" w:sz="0" w:space="0" w:color="auto"/>
                <w:right w:val="none" w:sz="0" w:space="0" w:color="auto"/>
              </w:divBdr>
            </w:div>
          </w:divsChild>
        </w:div>
        <w:div w:id="83764420">
          <w:marLeft w:val="0"/>
          <w:marRight w:val="0"/>
          <w:marTop w:val="0"/>
          <w:marBottom w:val="0"/>
          <w:divBdr>
            <w:top w:val="none" w:sz="0" w:space="0" w:color="auto"/>
            <w:left w:val="none" w:sz="0" w:space="0" w:color="auto"/>
            <w:bottom w:val="none" w:sz="0" w:space="0" w:color="auto"/>
            <w:right w:val="none" w:sz="0" w:space="0" w:color="auto"/>
          </w:divBdr>
          <w:divsChild>
            <w:div w:id="1528442450">
              <w:marLeft w:val="0"/>
              <w:marRight w:val="0"/>
              <w:marTop w:val="0"/>
              <w:marBottom w:val="0"/>
              <w:divBdr>
                <w:top w:val="none" w:sz="0" w:space="0" w:color="auto"/>
                <w:left w:val="none" w:sz="0" w:space="0" w:color="auto"/>
                <w:bottom w:val="none" w:sz="0" w:space="0" w:color="auto"/>
                <w:right w:val="none" w:sz="0" w:space="0" w:color="auto"/>
              </w:divBdr>
              <w:divsChild>
                <w:div w:id="157187154">
                  <w:marLeft w:val="0"/>
                  <w:marRight w:val="0"/>
                  <w:marTop w:val="0"/>
                  <w:marBottom w:val="0"/>
                  <w:divBdr>
                    <w:top w:val="none" w:sz="0" w:space="0" w:color="auto"/>
                    <w:left w:val="none" w:sz="0" w:space="0" w:color="auto"/>
                    <w:bottom w:val="none" w:sz="0" w:space="0" w:color="auto"/>
                    <w:right w:val="none" w:sz="0" w:space="0" w:color="auto"/>
                  </w:divBdr>
                  <w:divsChild>
                    <w:div w:id="111093986">
                      <w:marLeft w:val="0"/>
                      <w:marRight w:val="0"/>
                      <w:marTop w:val="120"/>
                      <w:marBottom w:val="0"/>
                      <w:divBdr>
                        <w:top w:val="none" w:sz="0" w:space="0" w:color="auto"/>
                        <w:left w:val="none" w:sz="0" w:space="0" w:color="auto"/>
                        <w:bottom w:val="none" w:sz="0" w:space="0" w:color="auto"/>
                        <w:right w:val="none" w:sz="0" w:space="0" w:color="auto"/>
                      </w:divBdr>
                    </w:div>
                    <w:div w:id="1813476347">
                      <w:marLeft w:val="0"/>
                      <w:marRight w:val="0"/>
                      <w:marTop w:val="0"/>
                      <w:marBottom w:val="0"/>
                      <w:divBdr>
                        <w:top w:val="none" w:sz="0" w:space="0" w:color="auto"/>
                        <w:left w:val="none" w:sz="0" w:space="0" w:color="auto"/>
                        <w:bottom w:val="none" w:sz="0" w:space="0" w:color="auto"/>
                        <w:right w:val="none" w:sz="0" w:space="0" w:color="auto"/>
                      </w:divBdr>
                    </w:div>
                  </w:divsChild>
                </w:div>
                <w:div w:id="402262799">
                  <w:marLeft w:val="0"/>
                  <w:marRight w:val="0"/>
                  <w:marTop w:val="0"/>
                  <w:marBottom w:val="0"/>
                  <w:divBdr>
                    <w:top w:val="none" w:sz="0" w:space="0" w:color="auto"/>
                    <w:left w:val="none" w:sz="0" w:space="0" w:color="auto"/>
                    <w:bottom w:val="none" w:sz="0" w:space="0" w:color="auto"/>
                    <w:right w:val="none" w:sz="0" w:space="0" w:color="auto"/>
                  </w:divBdr>
                  <w:divsChild>
                    <w:div w:id="135538200">
                      <w:marLeft w:val="0"/>
                      <w:marRight w:val="0"/>
                      <w:marTop w:val="120"/>
                      <w:marBottom w:val="0"/>
                      <w:divBdr>
                        <w:top w:val="none" w:sz="0" w:space="0" w:color="auto"/>
                        <w:left w:val="none" w:sz="0" w:space="0" w:color="auto"/>
                        <w:bottom w:val="none" w:sz="0" w:space="0" w:color="auto"/>
                        <w:right w:val="none" w:sz="0" w:space="0" w:color="auto"/>
                      </w:divBdr>
                    </w:div>
                    <w:div w:id="1972900856">
                      <w:marLeft w:val="0"/>
                      <w:marRight w:val="0"/>
                      <w:marTop w:val="0"/>
                      <w:marBottom w:val="0"/>
                      <w:divBdr>
                        <w:top w:val="none" w:sz="0" w:space="0" w:color="auto"/>
                        <w:left w:val="none" w:sz="0" w:space="0" w:color="auto"/>
                        <w:bottom w:val="none" w:sz="0" w:space="0" w:color="auto"/>
                        <w:right w:val="none" w:sz="0" w:space="0" w:color="auto"/>
                      </w:divBdr>
                    </w:div>
                  </w:divsChild>
                </w:div>
                <w:div w:id="529026953">
                  <w:marLeft w:val="0"/>
                  <w:marRight w:val="0"/>
                  <w:marTop w:val="0"/>
                  <w:marBottom w:val="0"/>
                  <w:divBdr>
                    <w:top w:val="none" w:sz="0" w:space="0" w:color="auto"/>
                    <w:left w:val="none" w:sz="0" w:space="0" w:color="auto"/>
                    <w:bottom w:val="none" w:sz="0" w:space="0" w:color="auto"/>
                    <w:right w:val="none" w:sz="0" w:space="0" w:color="auto"/>
                  </w:divBdr>
                  <w:divsChild>
                    <w:div w:id="565261934">
                      <w:marLeft w:val="0"/>
                      <w:marRight w:val="0"/>
                      <w:marTop w:val="0"/>
                      <w:marBottom w:val="0"/>
                      <w:divBdr>
                        <w:top w:val="none" w:sz="0" w:space="0" w:color="auto"/>
                        <w:left w:val="none" w:sz="0" w:space="0" w:color="auto"/>
                        <w:bottom w:val="none" w:sz="0" w:space="0" w:color="auto"/>
                        <w:right w:val="none" w:sz="0" w:space="0" w:color="auto"/>
                      </w:divBdr>
                    </w:div>
                    <w:div w:id="1063018817">
                      <w:marLeft w:val="0"/>
                      <w:marRight w:val="0"/>
                      <w:marTop w:val="120"/>
                      <w:marBottom w:val="0"/>
                      <w:divBdr>
                        <w:top w:val="none" w:sz="0" w:space="0" w:color="auto"/>
                        <w:left w:val="none" w:sz="0" w:space="0" w:color="auto"/>
                        <w:bottom w:val="none" w:sz="0" w:space="0" w:color="auto"/>
                        <w:right w:val="none" w:sz="0" w:space="0" w:color="auto"/>
                      </w:divBdr>
                    </w:div>
                  </w:divsChild>
                </w:div>
                <w:div w:id="1196889971">
                  <w:marLeft w:val="0"/>
                  <w:marRight w:val="0"/>
                  <w:marTop w:val="0"/>
                  <w:marBottom w:val="0"/>
                  <w:divBdr>
                    <w:top w:val="none" w:sz="0" w:space="0" w:color="auto"/>
                    <w:left w:val="none" w:sz="0" w:space="0" w:color="auto"/>
                    <w:bottom w:val="none" w:sz="0" w:space="0" w:color="auto"/>
                    <w:right w:val="none" w:sz="0" w:space="0" w:color="auto"/>
                  </w:divBdr>
                  <w:divsChild>
                    <w:div w:id="838808641">
                      <w:marLeft w:val="0"/>
                      <w:marRight w:val="0"/>
                      <w:marTop w:val="0"/>
                      <w:marBottom w:val="0"/>
                      <w:divBdr>
                        <w:top w:val="none" w:sz="0" w:space="0" w:color="auto"/>
                        <w:left w:val="none" w:sz="0" w:space="0" w:color="auto"/>
                        <w:bottom w:val="none" w:sz="0" w:space="0" w:color="auto"/>
                        <w:right w:val="none" w:sz="0" w:space="0" w:color="auto"/>
                      </w:divBdr>
                    </w:div>
                    <w:div w:id="2020043144">
                      <w:marLeft w:val="0"/>
                      <w:marRight w:val="0"/>
                      <w:marTop w:val="120"/>
                      <w:marBottom w:val="0"/>
                      <w:divBdr>
                        <w:top w:val="none" w:sz="0" w:space="0" w:color="auto"/>
                        <w:left w:val="none" w:sz="0" w:space="0" w:color="auto"/>
                        <w:bottom w:val="none" w:sz="0" w:space="0" w:color="auto"/>
                        <w:right w:val="none" w:sz="0" w:space="0" w:color="auto"/>
                      </w:divBdr>
                    </w:div>
                  </w:divsChild>
                </w:div>
                <w:div w:id="1616794633">
                  <w:marLeft w:val="0"/>
                  <w:marRight w:val="0"/>
                  <w:marTop w:val="0"/>
                  <w:marBottom w:val="0"/>
                  <w:divBdr>
                    <w:top w:val="none" w:sz="0" w:space="0" w:color="auto"/>
                    <w:left w:val="none" w:sz="0" w:space="0" w:color="auto"/>
                    <w:bottom w:val="none" w:sz="0" w:space="0" w:color="auto"/>
                    <w:right w:val="none" w:sz="0" w:space="0" w:color="auto"/>
                  </w:divBdr>
                  <w:divsChild>
                    <w:div w:id="752623410">
                      <w:marLeft w:val="0"/>
                      <w:marRight w:val="0"/>
                      <w:marTop w:val="0"/>
                      <w:marBottom w:val="0"/>
                      <w:divBdr>
                        <w:top w:val="none" w:sz="0" w:space="0" w:color="auto"/>
                        <w:left w:val="none" w:sz="0" w:space="0" w:color="auto"/>
                        <w:bottom w:val="none" w:sz="0" w:space="0" w:color="auto"/>
                        <w:right w:val="none" w:sz="0" w:space="0" w:color="auto"/>
                      </w:divBdr>
                    </w:div>
                    <w:div w:id="7892050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78114874">
          <w:marLeft w:val="0"/>
          <w:marRight w:val="0"/>
          <w:marTop w:val="0"/>
          <w:marBottom w:val="0"/>
          <w:divBdr>
            <w:top w:val="none" w:sz="0" w:space="0" w:color="auto"/>
            <w:left w:val="none" w:sz="0" w:space="0" w:color="auto"/>
            <w:bottom w:val="none" w:sz="0" w:space="0" w:color="auto"/>
            <w:right w:val="none" w:sz="0" w:space="0" w:color="auto"/>
          </w:divBdr>
          <w:divsChild>
            <w:div w:id="1735544318">
              <w:marLeft w:val="0"/>
              <w:marRight w:val="0"/>
              <w:marTop w:val="0"/>
              <w:marBottom w:val="0"/>
              <w:divBdr>
                <w:top w:val="none" w:sz="0" w:space="0" w:color="auto"/>
                <w:left w:val="none" w:sz="0" w:space="0" w:color="auto"/>
                <w:bottom w:val="none" w:sz="0" w:space="0" w:color="auto"/>
                <w:right w:val="none" w:sz="0" w:space="0" w:color="auto"/>
              </w:divBdr>
              <w:divsChild>
                <w:div w:id="1178081544">
                  <w:marLeft w:val="0"/>
                  <w:marRight w:val="0"/>
                  <w:marTop w:val="0"/>
                  <w:marBottom w:val="0"/>
                  <w:divBdr>
                    <w:top w:val="none" w:sz="0" w:space="0" w:color="auto"/>
                    <w:left w:val="none" w:sz="0" w:space="0" w:color="auto"/>
                    <w:bottom w:val="none" w:sz="0" w:space="0" w:color="auto"/>
                    <w:right w:val="none" w:sz="0" w:space="0" w:color="auto"/>
                  </w:divBdr>
                  <w:divsChild>
                    <w:div w:id="780105808">
                      <w:marLeft w:val="0"/>
                      <w:marRight w:val="0"/>
                      <w:marTop w:val="0"/>
                      <w:marBottom w:val="0"/>
                      <w:divBdr>
                        <w:top w:val="none" w:sz="0" w:space="0" w:color="auto"/>
                        <w:left w:val="none" w:sz="0" w:space="0" w:color="auto"/>
                        <w:bottom w:val="none" w:sz="0" w:space="0" w:color="auto"/>
                        <w:right w:val="none" w:sz="0" w:space="0" w:color="auto"/>
                      </w:divBdr>
                    </w:div>
                    <w:div w:id="962887216">
                      <w:marLeft w:val="0"/>
                      <w:marRight w:val="0"/>
                      <w:marTop w:val="120"/>
                      <w:marBottom w:val="0"/>
                      <w:divBdr>
                        <w:top w:val="none" w:sz="0" w:space="0" w:color="auto"/>
                        <w:left w:val="none" w:sz="0" w:space="0" w:color="auto"/>
                        <w:bottom w:val="none" w:sz="0" w:space="0" w:color="auto"/>
                        <w:right w:val="none" w:sz="0" w:space="0" w:color="auto"/>
                      </w:divBdr>
                    </w:div>
                  </w:divsChild>
                </w:div>
                <w:div w:id="1338462836">
                  <w:marLeft w:val="0"/>
                  <w:marRight w:val="0"/>
                  <w:marTop w:val="0"/>
                  <w:marBottom w:val="0"/>
                  <w:divBdr>
                    <w:top w:val="none" w:sz="0" w:space="0" w:color="auto"/>
                    <w:left w:val="none" w:sz="0" w:space="0" w:color="auto"/>
                    <w:bottom w:val="none" w:sz="0" w:space="0" w:color="auto"/>
                    <w:right w:val="none" w:sz="0" w:space="0" w:color="auto"/>
                  </w:divBdr>
                  <w:divsChild>
                    <w:div w:id="768161397">
                      <w:marLeft w:val="0"/>
                      <w:marRight w:val="0"/>
                      <w:marTop w:val="0"/>
                      <w:marBottom w:val="0"/>
                      <w:divBdr>
                        <w:top w:val="none" w:sz="0" w:space="0" w:color="auto"/>
                        <w:left w:val="none" w:sz="0" w:space="0" w:color="auto"/>
                        <w:bottom w:val="none" w:sz="0" w:space="0" w:color="auto"/>
                        <w:right w:val="none" w:sz="0" w:space="0" w:color="auto"/>
                      </w:divBdr>
                    </w:div>
                    <w:div w:id="2093812991">
                      <w:marLeft w:val="0"/>
                      <w:marRight w:val="0"/>
                      <w:marTop w:val="120"/>
                      <w:marBottom w:val="0"/>
                      <w:divBdr>
                        <w:top w:val="none" w:sz="0" w:space="0" w:color="auto"/>
                        <w:left w:val="none" w:sz="0" w:space="0" w:color="auto"/>
                        <w:bottom w:val="none" w:sz="0" w:space="0" w:color="auto"/>
                        <w:right w:val="none" w:sz="0" w:space="0" w:color="auto"/>
                      </w:divBdr>
                    </w:div>
                  </w:divsChild>
                </w:div>
                <w:div w:id="1430201191">
                  <w:marLeft w:val="0"/>
                  <w:marRight w:val="0"/>
                  <w:marTop w:val="0"/>
                  <w:marBottom w:val="0"/>
                  <w:divBdr>
                    <w:top w:val="none" w:sz="0" w:space="0" w:color="auto"/>
                    <w:left w:val="none" w:sz="0" w:space="0" w:color="auto"/>
                    <w:bottom w:val="none" w:sz="0" w:space="0" w:color="auto"/>
                    <w:right w:val="none" w:sz="0" w:space="0" w:color="auto"/>
                  </w:divBdr>
                  <w:divsChild>
                    <w:div w:id="80225678">
                      <w:marLeft w:val="0"/>
                      <w:marRight w:val="0"/>
                      <w:marTop w:val="120"/>
                      <w:marBottom w:val="0"/>
                      <w:divBdr>
                        <w:top w:val="none" w:sz="0" w:space="0" w:color="auto"/>
                        <w:left w:val="none" w:sz="0" w:space="0" w:color="auto"/>
                        <w:bottom w:val="none" w:sz="0" w:space="0" w:color="auto"/>
                        <w:right w:val="none" w:sz="0" w:space="0" w:color="auto"/>
                      </w:divBdr>
                    </w:div>
                    <w:div w:id="1256283425">
                      <w:marLeft w:val="0"/>
                      <w:marRight w:val="0"/>
                      <w:marTop w:val="0"/>
                      <w:marBottom w:val="0"/>
                      <w:divBdr>
                        <w:top w:val="none" w:sz="0" w:space="0" w:color="auto"/>
                        <w:left w:val="none" w:sz="0" w:space="0" w:color="auto"/>
                        <w:bottom w:val="none" w:sz="0" w:space="0" w:color="auto"/>
                        <w:right w:val="none" w:sz="0" w:space="0" w:color="auto"/>
                      </w:divBdr>
                    </w:div>
                  </w:divsChild>
                </w:div>
                <w:div w:id="1916083832">
                  <w:marLeft w:val="0"/>
                  <w:marRight w:val="0"/>
                  <w:marTop w:val="0"/>
                  <w:marBottom w:val="0"/>
                  <w:divBdr>
                    <w:top w:val="none" w:sz="0" w:space="0" w:color="auto"/>
                    <w:left w:val="none" w:sz="0" w:space="0" w:color="auto"/>
                    <w:bottom w:val="none" w:sz="0" w:space="0" w:color="auto"/>
                    <w:right w:val="none" w:sz="0" w:space="0" w:color="auto"/>
                  </w:divBdr>
                  <w:divsChild>
                    <w:div w:id="1361318509">
                      <w:marLeft w:val="0"/>
                      <w:marRight w:val="0"/>
                      <w:marTop w:val="120"/>
                      <w:marBottom w:val="0"/>
                      <w:divBdr>
                        <w:top w:val="none" w:sz="0" w:space="0" w:color="auto"/>
                        <w:left w:val="none" w:sz="0" w:space="0" w:color="auto"/>
                        <w:bottom w:val="none" w:sz="0" w:space="0" w:color="auto"/>
                        <w:right w:val="none" w:sz="0" w:space="0" w:color="auto"/>
                      </w:divBdr>
                    </w:div>
                    <w:div w:id="19448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783">
          <w:marLeft w:val="0"/>
          <w:marRight w:val="0"/>
          <w:marTop w:val="0"/>
          <w:marBottom w:val="0"/>
          <w:divBdr>
            <w:top w:val="none" w:sz="0" w:space="0" w:color="auto"/>
            <w:left w:val="none" w:sz="0" w:space="0" w:color="auto"/>
            <w:bottom w:val="none" w:sz="0" w:space="0" w:color="auto"/>
            <w:right w:val="none" w:sz="0" w:space="0" w:color="auto"/>
          </w:divBdr>
          <w:divsChild>
            <w:div w:id="1505362932">
              <w:marLeft w:val="0"/>
              <w:marRight w:val="0"/>
              <w:marTop w:val="0"/>
              <w:marBottom w:val="0"/>
              <w:divBdr>
                <w:top w:val="none" w:sz="0" w:space="0" w:color="auto"/>
                <w:left w:val="none" w:sz="0" w:space="0" w:color="auto"/>
                <w:bottom w:val="none" w:sz="0" w:space="0" w:color="auto"/>
                <w:right w:val="none" w:sz="0" w:space="0" w:color="auto"/>
              </w:divBdr>
            </w:div>
            <w:div w:id="1907565046">
              <w:marLeft w:val="0"/>
              <w:marRight w:val="0"/>
              <w:marTop w:val="120"/>
              <w:marBottom w:val="0"/>
              <w:divBdr>
                <w:top w:val="none" w:sz="0" w:space="0" w:color="auto"/>
                <w:left w:val="none" w:sz="0" w:space="0" w:color="auto"/>
                <w:bottom w:val="none" w:sz="0" w:space="0" w:color="auto"/>
                <w:right w:val="none" w:sz="0" w:space="0" w:color="auto"/>
              </w:divBdr>
            </w:div>
          </w:divsChild>
        </w:div>
        <w:div w:id="969634282">
          <w:marLeft w:val="0"/>
          <w:marRight w:val="0"/>
          <w:marTop w:val="0"/>
          <w:marBottom w:val="0"/>
          <w:divBdr>
            <w:top w:val="none" w:sz="0" w:space="0" w:color="auto"/>
            <w:left w:val="none" w:sz="0" w:space="0" w:color="auto"/>
            <w:bottom w:val="none" w:sz="0" w:space="0" w:color="auto"/>
            <w:right w:val="none" w:sz="0" w:space="0" w:color="auto"/>
          </w:divBdr>
          <w:divsChild>
            <w:div w:id="14475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60936">
      <w:bodyDiv w:val="1"/>
      <w:marLeft w:val="0"/>
      <w:marRight w:val="0"/>
      <w:marTop w:val="0"/>
      <w:marBottom w:val="0"/>
      <w:divBdr>
        <w:top w:val="none" w:sz="0" w:space="0" w:color="auto"/>
        <w:left w:val="none" w:sz="0" w:space="0" w:color="auto"/>
        <w:bottom w:val="none" w:sz="0" w:space="0" w:color="auto"/>
        <w:right w:val="none" w:sz="0" w:space="0" w:color="auto"/>
      </w:divBdr>
    </w:div>
    <w:div w:id="1647398141">
      <w:bodyDiv w:val="1"/>
      <w:marLeft w:val="0"/>
      <w:marRight w:val="0"/>
      <w:marTop w:val="0"/>
      <w:marBottom w:val="0"/>
      <w:divBdr>
        <w:top w:val="none" w:sz="0" w:space="0" w:color="auto"/>
        <w:left w:val="none" w:sz="0" w:space="0" w:color="auto"/>
        <w:bottom w:val="none" w:sz="0" w:space="0" w:color="auto"/>
        <w:right w:val="none" w:sz="0" w:space="0" w:color="auto"/>
      </w:divBdr>
    </w:div>
    <w:div w:id="1649092622">
      <w:bodyDiv w:val="1"/>
      <w:marLeft w:val="0"/>
      <w:marRight w:val="0"/>
      <w:marTop w:val="0"/>
      <w:marBottom w:val="0"/>
      <w:divBdr>
        <w:top w:val="none" w:sz="0" w:space="0" w:color="auto"/>
        <w:left w:val="none" w:sz="0" w:space="0" w:color="auto"/>
        <w:bottom w:val="none" w:sz="0" w:space="0" w:color="auto"/>
        <w:right w:val="none" w:sz="0" w:space="0" w:color="auto"/>
      </w:divBdr>
    </w:div>
    <w:div w:id="1650013219">
      <w:bodyDiv w:val="1"/>
      <w:marLeft w:val="0"/>
      <w:marRight w:val="0"/>
      <w:marTop w:val="0"/>
      <w:marBottom w:val="0"/>
      <w:divBdr>
        <w:top w:val="none" w:sz="0" w:space="0" w:color="auto"/>
        <w:left w:val="none" w:sz="0" w:space="0" w:color="auto"/>
        <w:bottom w:val="none" w:sz="0" w:space="0" w:color="auto"/>
        <w:right w:val="none" w:sz="0" w:space="0" w:color="auto"/>
      </w:divBdr>
    </w:div>
    <w:div w:id="1653412649">
      <w:bodyDiv w:val="1"/>
      <w:marLeft w:val="0"/>
      <w:marRight w:val="0"/>
      <w:marTop w:val="0"/>
      <w:marBottom w:val="0"/>
      <w:divBdr>
        <w:top w:val="none" w:sz="0" w:space="0" w:color="auto"/>
        <w:left w:val="none" w:sz="0" w:space="0" w:color="auto"/>
        <w:bottom w:val="none" w:sz="0" w:space="0" w:color="auto"/>
        <w:right w:val="none" w:sz="0" w:space="0" w:color="auto"/>
      </w:divBdr>
      <w:divsChild>
        <w:div w:id="112944070">
          <w:marLeft w:val="0"/>
          <w:marRight w:val="0"/>
          <w:marTop w:val="120"/>
          <w:marBottom w:val="0"/>
          <w:divBdr>
            <w:top w:val="none" w:sz="0" w:space="0" w:color="auto"/>
            <w:left w:val="none" w:sz="0" w:space="0" w:color="auto"/>
            <w:bottom w:val="none" w:sz="0" w:space="0" w:color="auto"/>
            <w:right w:val="none" w:sz="0" w:space="0" w:color="auto"/>
          </w:divBdr>
        </w:div>
        <w:div w:id="1536499980">
          <w:marLeft w:val="0"/>
          <w:marRight w:val="0"/>
          <w:marTop w:val="0"/>
          <w:marBottom w:val="0"/>
          <w:divBdr>
            <w:top w:val="none" w:sz="0" w:space="0" w:color="auto"/>
            <w:left w:val="none" w:sz="0" w:space="0" w:color="auto"/>
            <w:bottom w:val="none" w:sz="0" w:space="0" w:color="auto"/>
            <w:right w:val="none" w:sz="0" w:space="0" w:color="auto"/>
          </w:divBdr>
        </w:div>
      </w:divsChild>
    </w:div>
    <w:div w:id="1654917157">
      <w:bodyDiv w:val="1"/>
      <w:marLeft w:val="0"/>
      <w:marRight w:val="0"/>
      <w:marTop w:val="0"/>
      <w:marBottom w:val="0"/>
      <w:divBdr>
        <w:top w:val="none" w:sz="0" w:space="0" w:color="auto"/>
        <w:left w:val="none" w:sz="0" w:space="0" w:color="auto"/>
        <w:bottom w:val="none" w:sz="0" w:space="0" w:color="auto"/>
        <w:right w:val="none" w:sz="0" w:space="0" w:color="auto"/>
      </w:divBdr>
      <w:divsChild>
        <w:div w:id="48724483">
          <w:marLeft w:val="0"/>
          <w:marRight w:val="0"/>
          <w:marTop w:val="0"/>
          <w:marBottom w:val="0"/>
          <w:divBdr>
            <w:top w:val="none" w:sz="0" w:space="0" w:color="auto"/>
            <w:left w:val="none" w:sz="0" w:space="0" w:color="auto"/>
            <w:bottom w:val="none" w:sz="0" w:space="0" w:color="auto"/>
            <w:right w:val="none" w:sz="0" w:space="0" w:color="auto"/>
          </w:divBdr>
          <w:divsChild>
            <w:div w:id="843857816">
              <w:marLeft w:val="0"/>
              <w:marRight w:val="0"/>
              <w:marTop w:val="120"/>
              <w:marBottom w:val="0"/>
              <w:divBdr>
                <w:top w:val="none" w:sz="0" w:space="0" w:color="auto"/>
                <w:left w:val="none" w:sz="0" w:space="0" w:color="auto"/>
                <w:bottom w:val="none" w:sz="0" w:space="0" w:color="auto"/>
                <w:right w:val="none" w:sz="0" w:space="0" w:color="auto"/>
              </w:divBdr>
            </w:div>
            <w:div w:id="9573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1020">
      <w:bodyDiv w:val="1"/>
      <w:marLeft w:val="0"/>
      <w:marRight w:val="0"/>
      <w:marTop w:val="0"/>
      <w:marBottom w:val="0"/>
      <w:divBdr>
        <w:top w:val="none" w:sz="0" w:space="0" w:color="auto"/>
        <w:left w:val="none" w:sz="0" w:space="0" w:color="auto"/>
        <w:bottom w:val="none" w:sz="0" w:space="0" w:color="auto"/>
        <w:right w:val="none" w:sz="0" w:space="0" w:color="auto"/>
      </w:divBdr>
    </w:div>
    <w:div w:id="1672367805">
      <w:bodyDiv w:val="1"/>
      <w:marLeft w:val="0"/>
      <w:marRight w:val="0"/>
      <w:marTop w:val="0"/>
      <w:marBottom w:val="0"/>
      <w:divBdr>
        <w:top w:val="none" w:sz="0" w:space="0" w:color="auto"/>
        <w:left w:val="none" w:sz="0" w:space="0" w:color="auto"/>
        <w:bottom w:val="none" w:sz="0" w:space="0" w:color="auto"/>
        <w:right w:val="none" w:sz="0" w:space="0" w:color="auto"/>
      </w:divBdr>
      <w:divsChild>
        <w:div w:id="942227313">
          <w:marLeft w:val="0"/>
          <w:marRight w:val="0"/>
          <w:marTop w:val="0"/>
          <w:marBottom w:val="0"/>
          <w:divBdr>
            <w:top w:val="none" w:sz="0" w:space="0" w:color="auto"/>
            <w:left w:val="none" w:sz="0" w:space="0" w:color="auto"/>
            <w:bottom w:val="none" w:sz="0" w:space="0" w:color="auto"/>
            <w:right w:val="none" w:sz="0" w:space="0" w:color="auto"/>
          </w:divBdr>
          <w:divsChild>
            <w:div w:id="1073434946">
              <w:marLeft w:val="0"/>
              <w:marRight w:val="0"/>
              <w:marTop w:val="120"/>
              <w:marBottom w:val="0"/>
              <w:divBdr>
                <w:top w:val="none" w:sz="0" w:space="0" w:color="auto"/>
                <w:left w:val="none" w:sz="0" w:space="0" w:color="auto"/>
                <w:bottom w:val="none" w:sz="0" w:space="0" w:color="auto"/>
                <w:right w:val="none" w:sz="0" w:space="0" w:color="auto"/>
              </w:divBdr>
            </w:div>
            <w:div w:id="2095783966">
              <w:marLeft w:val="0"/>
              <w:marRight w:val="0"/>
              <w:marTop w:val="0"/>
              <w:marBottom w:val="0"/>
              <w:divBdr>
                <w:top w:val="none" w:sz="0" w:space="0" w:color="auto"/>
                <w:left w:val="none" w:sz="0" w:space="0" w:color="auto"/>
                <w:bottom w:val="none" w:sz="0" w:space="0" w:color="auto"/>
                <w:right w:val="none" w:sz="0" w:space="0" w:color="auto"/>
              </w:divBdr>
            </w:div>
          </w:divsChild>
        </w:div>
        <w:div w:id="1582791835">
          <w:marLeft w:val="0"/>
          <w:marRight w:val="0"/>
          <w:marTop w:val="0"/>
          <w:marBottom w:val="0"/>
          <w:divBdr>
            <w:top w:val="none" w:sz="0" w:space="0" w:color="auto"/>
            <w:left w:val="none" w:sz="0" w:space="0" w:color="auto"/>
            <w:bottom w:val="none" w:sz="0" w:space="0" w:color="auto"/>
            <w:right w:val="none" w:sz="0" w:space="0" w:color="auto"/>
          </w:divBdr>
          <w:divsChild>
            <w:div w:id="1031493937">
              <w:marLeft w:val="0"/>
              <w:marRight w:val="0"/>
              <w:marTop w:val="0"/>
              <w:marBottom w:val="0"/>
              <w:divBdr>
                <w:top w:val="none" w:sz="0" w:space="0" w:color="auto"/>
                <w:left w:val="none" w:sz="0" w:space="0" w:color="auto"/>
                <w:bottom w:val="none" w:sz="0" w:space="0" w:color="auto"/>
                <w:right w:val="none" w:sz="0" w:space="0" w:color="auto"/>
              </w:divBdr>
            </w:div>
            <w:div w:id="20502960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0929563">
      <w:bodyDiv w:val="1"/>
      <w:marLeft w:val="0"/>
      <w:marRight w:val="0"/>
      <w:marTop w:val="0"/>
      <w:marBottom w:val="0"/>
      <w:divBdr>
        <w:top w:val="none" w:sz="0" w:space="0" w:color="auto"/>
        <w:left w:val="none" w:sz="0" w:space="0" w:color="auto"/>
        <w:bottom w:val="none" w:sz="0" w:space="0" w:color="auto"/>
        <w:right w:val="none" w:sz="0" w:space="0" w:color="auto"/>
      </w:divBdr>
      <w:divsChild>
        <w:div w:id="531967268">
          <w:marLeft w:val="0"/>
          <w:marRight w:val="0"/>
          <w:marTop w:val="0"/>
          <w:marBottom w:val="0"/>
          <w:divBdr>
            <w:top w:val="none" w:sz="0" w:space="0" w:color="auto"/>
            <w:left w:val="none" w:sz="0" w:space="0" w:color="auto"/>
            <w:bottom w:val="none" w:sz="0" w:space="0" w:color="auto"/>
            <w:right w:val="none" w:sz="0" w:space="0" w:color="auto"/>
          </w:divBdr>
        </w:div>
      </w:divsChild>
    </w:div>
    <w:div w:id="1709062449">
      <w:bodyDiv w:val="1"/>
      <w:marLeft w:val="0"/>
      <w:marRight w:val="0"/>
      <w:marTop w:val="0"/>
      <w:marBottom w:val="0"/>
      <w:divBdr>
        <w:top w:val="none" w:sz="0" w:space="0" w:color="auto"/>
        <w:left w:val="none" w:sz="0" w:space="0" w:color="auto"/>
        <w:bottom w:val="none" w:sz="0" w:space="0" w:color="auto"/>
        <w:right w:val="none" w:sz="0" w:space="0" w:color="auto"/>
      </w:divBdr>
    </w:div>
    <w:div w:id="1710371848">
      <w:bodyDiv w:val="1"/>
      <w:marLeft w:val="0"/>
      <w:marRight w:val="0"/>
      <w:marTop w:val="0"/>
      <w:marBottom w:val="0"/>
      <w:divBdr>
        <w:top w:val="none" w:sz="0" w:space="0" w:color="auto"/>
        <w:left w:val="none" w:sz="0" w:space="0" w:color="auto"/>
        <w:bottom w:val="none" w:sz="0" w:space="0" w:color="auto"/>
        <w:right w:val="none" w:sz="0" w:space="0" w:color="auto"/>
      </w:divBdr>
      <w:divsChild>
        <w:div w:id="1052464366">
          <w:marLeft w:val="0"/>
          <w:marRight w:val="0"/>
          <w:marTop w:val="0"/>
          <w:marBottom w:val="0"/>
          <w:divBdr>
            <w:top w:val="none" w:sz="0" w:space="0" w:color="auto"/>
            <w:left w:val="none" w:sz="0" w:space="0" w:color="auto"/>
            <w:bottom w:val="none" w:sz="0" w:space="0" w:color="auto"/>
            <w:right w:val="none" w:sz="0" w:space="0" w:color="auto"/>
          </w:divBdr>
          <w:divsChild>
            <w:div w:id="1330523584">
              <w:marLeft w:val="0"/>
              <w:marRight w:val="0"/>
              <w:marTop w:val="0"/>
              <w:marBottom w:val="0"/>
              <w:divBdr>
                <w:top w:val="none" w:sz="0" w:space="0" w:color="auto"/>
                <w:left w:val="none" w:sz="0" w:space="0" w:color="auto"/>
                <w:bottom w:val="none" w:sz="0" w:space="0" w:color="auto"/>
                <w:right w:val="none" w:sz="0" w:space="0" w:color="auto"/>
              </w:divBdr>
              <w:divsChild>
                <w:div w:id="1162547846">
                  <w:marLeft w:val="0"/>
                  <w:marRight w:val="0"/>
                  <w:marTop w:val="0"/>
                  <w:marBottom w:val="0"/>
                  <w:divBdr>
                    <w:top w:val="none" w:sz="0" w:space="0" w:color="auto"/>
                    <w:left w:val="none" w:sz="0" w:space="0" w:color="auto"/>
                    <w:bottom w:val="none" w:sz="0" w:space="0" w:color="auto"/>
                    <w:right w:val="none" w:sz="0" w:space="0" w:color="auto"/>
                  </w:divBdr>
                  <w:divsChild>
                    <w:div w:id="140080865">
                      <w:marLeft w:val="0"/>
                      <w:marRight w:val="0"/>
                      <w:marTop w:val="0"/>
                      <w:marBottom w:val="0"/>
                      <w:divBdr>
                        <w:top w:val="none" w:sz="0" w:space="0" w:color="auto"/>
                        <w:left w:val="none" w:sz="0" w:space="0" w:color="auto"/>
                        <w:bottom w:val="none" w:sz="0" w:space="0" w:color="auto"/>
                        <w:right w:val="none" w:sz="0" w:space="0" w:color="auto"/>
                      </w:divBdr>
                    </w:div>
                    <w:div w:id="942616229">
                      <w:marLeft w:val="0"/>
                      <w:marRight w:val="0"/>
                      <w:marTop w:val="120"/>
                      <w:marBottom w:val="0"/>
                      <w:divBdr>
                        <w:top w:val="none" w:sz="0" w:space="0" w:color="auto"/>
                        <w:left w:val="none" w:sz="0" w:space="0" w:color="auto"/>
                        <w:bottom w:val="none" w:sz="0" w:space="0" w:color="auto"/>
                        <w:right w:val="none" w:sz="0" w:space="0" w:color="auto"/>
                      </w:divBdr>
                    </w:div>
                  </w:divsChild>
                </w:div>
                <w:div w:id="1504737701">
                  <w:marLeft w:val="0"/>
                  <w:marRight w:val="0"/>
                  <w:marTop w:val="0"/>
                  <w:marBottom w:val="0"/>
                  <w:divBdr>
                    <w:top w:val="none" w:sz="0" w:space="0" w:color="auto"/>
                    <w:left w:val="none" w:sz="0" w:space="0" w:color="auto"/>
                    <w:bottom w:val="none" w:sz="0" w:space="0" w:color="auto"/>
                    <w:right w:val="none" w:sz="0" w:space="0" w:color="auto"/>
                  </w:divBdr>
                  <w:divsChild>
                    <w:div w:id="894587035">
                      <w:marLeft w:val="0"/>
                      <w:marRight w:val="0"/>
                      <w:marTop w:val="120"/>
                      <w:marBottom w:val="0"/>
                      <w:divBdr>
                        <w:top w:val="none" w:sz="0" w:space="0" w:color="auto"/>
                        <w:left w:val="none" w:sz="0" w:space="0" w:color="auto"/>
                        <w:bottom w:val="none" w:sz="0" w:space="0" w:color="auto"/>
                        <w:right w:val="none" w:sz="0" w:space="0" w:color="auto"/>
                      </w:divBdr>
                    </w:div>
                    <w:div w:id="1663385513">
                      <w:marLeft w:val="0"/>
                      <w:marRight w:val="0"/>
                      <w:marTop w:val="0"/>
                      <w:marBottom w:val="0"/>
                      <w:divBdr>
                        <w:top w:val="none" w:sz="0" w:space="0" w:color="auto"/>
                        <w:left w:val="none" w:sz="0" w:space="0" w:color="auto"/>
                        <w:bottom w:val="none" w:sz="0" w:space="0" w:color="auto"/>
                        <w:right w:val="none" w:sz="0" w:space="0" w:color="auto"/>
                      </w:divBdr>
                    </w:div>
                  </w:divsChild>
                </w:div>
                <w:div w:id="2014599936">
                  <w:marLeft w:val="0"/>
                  <w:marRight w:val="0"/>
                  <w:marTop w:val="0"/>
                  <w:marBottom w:val="0"/>
                  <w:divBdr>
                    <w:top w:val="none" w:sz="0" w:space="0" w:color="auto"/>
                    <w:left w:val="none" w:sz="0" w:space="0" w:color="auto"/>
                    <w:bottom w:val="none" w:sz="0" w:space="0" w:color="auto"/>
                    <w:right w:val="none" w:sz="0" w:space="0" w:color="auto"/>
                  </w:divBdr>
                  <w:divsChild>
                    <w:div w:id="652559864">
                      <w:marLeft w:val="0"/>
                      <w:marRight w:val="0"/>
                      <w:marTop w:val="120"/>
                      <w:marBottom w:val="0"/>
                      <w:divBdr>
                        <w:top w:val="none" w:sz="0" w:space="0" w:color="auto"/>
                        <w:left w:val="none" w:sz="0" w:space="0" w:color="auto"/>
                        <w:bottom w:val="none" w:sz="0" w:space="0" w:color="auto"/>
                        <w:right w:val="none" w:sz="0" w:space="0" w:color="auto"/>
                      </w:divBdr>
                    </w:div>
                    <w:div w:id="17410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2003">
          <w:marLeft w:val="0"/>
          <w:marRight w:val="0"/>
          <w:marTop w:val="0"/>
          <w:marBottom w:val="0"/>
          <w:divBdr>
            <w:top w:val="none" w:sz="0" w:space="0" w:color="auto"/>
            <w:left w:val="none" w:sz="0" w:space="0" w:color="auto"/>
            <w:bottom w:val="none" w:sz="0" w:space="0" w:color="auto"/>
            <w:right w:val="none" w:sz="0" w:space="0" w:color="auto"/>
          </w:divBdr>
          <w:divsChild>
            <w:div w:id="464782982">
              <w:marLeft w:val="0"/>
              <w:marRight w:val="0"/>
              <w:marTop w:val="0"/>
              <w:marBottom w:val="0"/>
              <w:divBdr>
                <w:top w:val="none" w:sz="0" w:space="0" w:color="auto"/>
                <w:left w:val="none" w:sz="0" w:space="0" w:color="auto"/>
                <w:bottom w:val="none" w:sz="0" w:space="0" w:color="auto"/>
                <w:right w:val="none" w:sz="0" w:space="0" w:color="auto"/>
              </w:divBdr>
              <w:divsChild>
                <w:div w:id="105544178">
                  <w:marLeft w:val="0"/>
                  <w:marRight w:val="0"/>
                  <w:marTop w:val="0"/>
                  <w:marBottom w:val="0"/>
                  <w:divBdr>
                    <w:top w:val="none" w:sz="0" w:space="0" w:color="auto"/>
                    <w:left w:val="none" w:sz="0" w:space="0" w:color="auto"/>
                    <w:bottom w:val="none" w:sz="0" w:space="0" w:color="auto"/>
                    <w:right w:val="none" w:sz="0" w:space="0" w:color="auto"/>
                  </w:divBdr>
                  <w:divsChild>
                    <w:div w:id="908921541">
                      <w:marLeft w:val="0"/>
                      <w:marRight w:val="0"/>
                      <w:marTop w:val="120"/>
                      <w:marBottom w:val="0"/>
                      <w:divBdr>
                        <w:top w:val="none" w:sz="0" w:space="0" w:color="auto"/>
                        <w:left w:val="none" w:sz="0" w:space="0" w:color="auto"/>
                        <w:bottom w:val="none" w:sz="0" w:space="0" w:color="auto"/>
                        <w:right w:val="none" w:sz="0" w:space="0" w:color="auto"/>
                      </w:divBdr>
                    </w:div>
                    <w:div w:id="1074934934">
                      <w:marLeft w:val="0"/>
                      <w:marRight w:val="0"/>
                      <w:marTop w:val="0"/>
                      <w:marBottom w:val="0"/>
                      <w:divBdr>
                        <w:top w:val="none" w:sz="0" w:space="0" w:color="auto"/>
                        <w:left w:val="none" w:sz="0" w:space="0" w:color="auto"/>
                        <w:bottom w:val="none" w:sz="0" w:space="0" w:color="auto"/>
                        <w:right w:val="none" w:sz="0" w:space="0" w:color="auto"/>
                      </w:divBdr>
                    </w:div>
                  </w:divsChild>
                </w:div>
                <w:div w:id="191110086">
                  <w:marLeft w:val="0"/>
                  <w:marRight w:val="0"/>
                  <w:marTop w:val="0"/>
                  <w:marBottom w:val="0"/>
                  <w:divBdr>
                    <w:top w:val="none" w:sz="0" w:space="0" w:color="auto"/>
                    <w:left w:val="none" w:sz="0" w:space="0" w:color="auto"/>
                    <w:bottom w:val="none" w:sz="0" w:space="0" w:color="auto"/>
                    <w:right w:val="none" w:sz="0" w:space="0" w:color="auto"/>
                  </w:divBdr>
                  <w:divsChild>
                    <w:div w:id="346441550">
                      <w:marLeft w:val="0"/>
                      <w:marRight w:val="0"/>
                      <w:marTop w:val="120"/>
                      <w:marBottom w:val="0"/>
                      <w:divBdr>
                        <w:top w:val="none" w:sz="0" w:space="0" w:color="auto"/>
                        <w:left w:val="none" w:sz="0" w:space="0" w:color="auto"/>
                        <w:bottom w:val="none" w:sz="0" w:space="0" w:color="auto"/>
                        <w:right w:val="none" w:sz="0" w:space="0" w:color="auto"/>
                      </w:divBdr>
                    </w:div>
                    <w:div w:id="517935289">
                      <w:marLeft w:val="0"/>
                      <w:marRight w:val="0"/>
                      <w:marTop w:val="0"/>
                      <w:marBottom w:val="0"/>
                      <w:divBdr>
                        <w:top w:val="none" w:sz="0" w:space="0" w:color="auto"/>
                        <w:left w:val="none" w:sz="0" w:space="0" w:color="auto"/>
                        <w:bottom w:val="none" w:sz="0" w:space="0" w:color="auto"/>
                        <w:right w:val="none" w:sz="0" w:space="0" w:color="auto"/>
                      </w:divBdr>
                    </w:div>
                  </w:divsChild>
                </w:div>
                <w:div w:id="858274907">
                  <w:marLeft w:val="0"/>
                  <w:marRight w:val="0"/>
                  <w:marTop w:val="0"/>
                  <w:marBottom w:val="0"/>
                  <w:divBdr>
                    <w:top w:val="none" w:sz="0" w:space="0" w:color="auto"/>
                    <w:left w:val="none" w:sz="0" w:space="0" w:color="auto"/>
                    <w:bottom w:val="none" w:sz="0" w:space="0" w:color="auto"/>
                    <w:right w:val="none" w:sz="0" w:space="0" w:color="auto"/>
                  </w:divBdr>
                  <w:divsChild>
                    <w:div w:id="405032163">
                      <w:marLeft w:val="0"/>
                      <w:marRight w:val="0"/>
                      <w:marTop w:val="120"/>
                      <w:marBottom w:val="0"/>
                      <w:divBdr>
                        <w:top w:val="none" w:sz="0" w:space="0" w:color="auto"/>
                        <w:left w:val="none" w:sz="0" w:space="0" w:color="auto"/>
                        <w:bottom w:val="none" w:sz="0" w:space="0" w:color="auto"/>
                        <w:right w:val="none" w:sz="0" w:space="0" w:color="auto"/>
                      </w:divBdr>
                    </w:div>
                    <w:div w:id="968556875">
                      <w:marLeft w:val="0"/>
                      <w:marRight w:val="0"/>
                      <w:marTop w:val="0"/>
                      <w:marBottom w:val="0"/>
                      <w:divBdr>
                        <w:top w:val="none" w:sz="0" w:space="0" w:color="auto"/>
                        <w:left w:val="none" w:sz="0" w:space="0" w:color="auto"/>
                        <w:bottom w:val="none" w:sz="0" w:space="0" w:color="auto"/>
                        <w:right w:val="none" w:sz="0" w:space="0" w:color="auto"/>
                      </w:divBdr>
                    </w:div>
                  </w:divsChild>
                </w:div>
                <w:div w:id="1886020615">
                  <w:marLeft w:val="0"/>
                  <w:marRight w:val="0"/>
                  <w:marTop w:val="0"/>
                  <w:marBottom w:val="0"/>
                  <w:divBdr>
                    <w:top w:val="none" w:sz="0" w:space="0" w:color="auto"/>
                    <w:left w:val="none" w:sz="0" w:space="0" w:color="auto"/>
                    <w:bottom w:val="none" w:sz="0" w:space="0" w:color="auto"/>
                    <w:right w:val="none" w:sz="0" w:space="0" w:color="auto"/>
                  </w:divBdr>
                  <w:divsChild>
                    <w:div w:id="1513032808">
                      <w:marLeft w:val="0"/>
                      <w:marRight w:val="0"/>
                      <w:marTop w:val="0"/>
                      <w:marBottom w:val="0"/>
                      <w:divBdr>
                        <w:top w:val="none" w:sz="0" w:space="0" w:color="auto"/>
                        <w:left w:val="none" w:sz="0" w:space="0" w:color="auto"/>
                        <w:bottom w:val="none" w:sz="0" w:space="0" w:color="auto"/>
                        <w:right w:val="none" w:sz="0" w:space="0" w:color="auto"/>
                      </w:divBdr>
                    </w:div>
                    <w:div w:id="16627365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88754644">
          <w:marLeft w:val="0"/>
          <w:marRight w:val="0"/>
          <w:marTop w:val="0"/>
          <w:marBottom w:val="0"/>
          <w:divBdr>
            <w:top w:val="none" w:sz="0" w:space="0" w:color="auto"/>
            <w:left w:val="none" w:sz="0" w:space="0" w:color="auto"/>
            <w:bottom w:val="none" w:sz="0" w:space="0" w:color="auto"/>
            <w:right w:val="none" w:sz="0" w:space="0" w:color="auto"/>
          </w:divBdr>
          <w:divsChild>
            <w:div w:id="15322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3620">
      <w:bodyDiv w:val="1"/>
      <w:marLeft w:val="0"/>
      <w:marRight w:val="0"/>
      <w:marTop w:val="0"/>
      <w:marBottom w:val="0"/>
      <w:divBdr>
        <w:top w:val="none" w:sz="0" w:space="0" w:color="auto"/>
        <w:left w:val="none" w:sz="0" w:space="0" w:color="auto"/>
        <w:bottom w:val="none" w:sz="0" w:space="0" w:color="auto"/>
        <w:right w:val="none" w:sz="0" w:space="0" w:color="auto"/>
      </w:divBdr>
      <w:divsChild>
        <w:div w:id="1281255927">
          <w:marLeft w:val="0"/>
          <w:marRight w:val="0"/>
          <w:marTop w:val="120"/>
          <w:marBottom w:val="0"/>
          <w:divBdr>
            <w:top w:val="none" w:sz="0" w:space="0" w:color="auto"/>
            <w:left w:val="none" w:sz="0" w:space="0" w:color="auto"/>
            <w:bottom w:val="none" w:sz="0" w:space="0" w:color="auto"/>
            <w:right w:val="none" w:sz="0" w:space="0" w:color="auto"/>
          </w:divBdr>
        </w:div>
        <w:div w:id="1840996855">
          <w:marLeft w:val="0"/>
          <w:marRight w:val="0"/>
          <w:marTop w:val="0"/>
          <w:marBottom w:val="0"/>
          <w:divBdr>
            <w:top w:val="none" w:sz="0" w:space="0" w:color="auto"/>
            <w:left w:val="none" w:sz="0" w:space="0" w:color="auto"/>
            <w:bottom w:val="none" w:sz="0" w:space="0" w:color="auto"/>
            <w:right w:val="none" w:sz="0" w:space="0" w:color="auto"/>
          </w:divBdr>
          <w:divsChild>
            <w:div w:id="502623679">
              <w:marLeft w:val="0"/>
              <w:marRight w:val="0"/>
              <w:marTop w:val="0"/>
              <w:marBottom w:val="0"/>
              <w:divBdr>
                <w:top w:val="none" w:sz="0" w:space="0" w:color="auto"/>
                <w:left w:val="none" w:sz="0" w:space="0" w:color="auto"/>
                <w:bottom w:val="none" w:sz="0" w:space="0" w:color="auto"/>
                <w:right w:val="none" w:sz="0" w:space="0" w:color="auto"/>
              </w:divBdr>
              <w:divsChild>
                <w:div w:id="361369378">
                  <w:marLeft w:val="0"/>
                  <w:marRight w:val="0"/>
                  <w:marTop w:val="120"/>
                  <w:marBottom w:val="0"/>
                  <w:divBdr>
                    <w:top w:val="none" w:sz="0" w:space="0" w:color="auto"/>
                    <w:left w:val="none" w:sz="0" w:space="0" w:color="auto"/>
                    <w:bottom w:val="none" w:sz="0" w:space="0" w:color="auto"/>
                    <w:right w:val="none" w:sz="0" w:space="0" w:color="auto"/>
                  </w:divBdr>
                </w:div>
                <w:div w:id="703755376">
                  <w:marLeft w:val="0"/>
                  <w:marRight w:val="0"/>
                  <w:marTop w:val="0"/>
                  <w:marBottom w:val="0"/>
                  <w:divBdr>
                    <w:top w:val="none" w:sz="0" w:space="0" w:color="auto"/>
                    <w:left w:val="none" w:sz="0" w:space="0" w:color="auto"/>
                    <w:bottom w:val="none" w:sz="0" w:space="0" w:color="auto"/>
                    <w:right w:val="none" w:sz="0" w:space="0" w:color="auto"/>
                  </w:divBdr>
                </w:div>
              </w:divsChild>
            </w:div>
            <w:div w:id="516505878">
              <w:marLeft w:val="0"/>
              <w:marRight w:val="0"/>
              <w:marTop w:val="0"/>
              <w:marBottom w:val="0"/>
              <w:divBdr>
                <w:top w:val="none" w:sz="0" w:space="0" w:color="auto"/>
                <w:left w:val="none" w:sz="0" w:space="0" w:color="auto"/>
                <w:bottom w:val="none" w:sz="0" w:space="0" w:color="auto"/>
                <w:right w:val="none" w:sz="0" w:space="0" w:color="auto"/>
              </w:divBdr>
              <w:divsChild>
                <w:div w:id="839202347">
                  <w:marLeft w:val="0"/>
                  <w:marRight w:val="0"/>
                  <w:marTop w:val="0"/>
                  <w:marBottom w:val="0"/>
                  <w:divBdr>
                    <w:top w:val="none" w:sz="0" w:space="0" w:color="auto"/>
                    <w:left w:val="none" w:sz="0" w:space="0" w:color="auto"/>
                    <w:bottom w:val="none" w:sz="0" w:space="0" w:color="auto"/>
                    <w:right w:val="none" w:sz="0" w:space="0" w:color="auto"/>
                  </w:divBdr>
                </w:div>
                <w:div w:id="1152716756">
                  <w:marLeft w:val="0"/>
                  <w:marRight w:val="0"/>
                  <w:marTop w:val="120"/>
                  <w:marBottom w:val="0"/>
                  <w:divBdr>
                    <w:top w:val="none" w:sz="0" w:space="0" w:color="auto"/>
                    <w:left w:val="none" w:sz="0" w:space="0" w:color="auto"/>
                    <w:bottom w:val="none" w:sz="0" w:space="0" w:color="auto"/>
                    <w:right w:val="none" w:sz="0" w:space="0" w:color="auto"/>
                  </w:divBdr>
                </w:div>
              </w:divsChild>
            </w:div>
            <w:div w:id="1500385046">
              <w:marLeft w:val="0"/>
              <w:marRight w:val="0"/>
              <w:marTop w:val="0"/>
              <w:marBottom w:val="0"/>
              <w:divBdr>
                <w:top w:val="none" w:sz="0" w:space="0" w:color="auto"/>
                <w:left w:val="none" w:sz="0" w:space="0" w:color="auto"/>
                <w:bottom w:val="none" w:sz="0" w:space="0" w:color="auto"/>
                <w:right w:val="none" w:sz="0" w:space="0" w:color="auto"/>
              </w:divBdr>
              <w:divsChild>
                <w:div w:id="360596227">
                  <w:marLeft w:val="0"/>
                  <w:marRight w:val="0"/>
                  <w:marTop w:val="0"/>
                  <w:marBottom w:val="0"/>
                  <w:divBdr>
                    <w:top w:val="none" w:sz="0" w:space="0" w:color="auto"/>
                    <w:left w:val="none" w:sz="0" w:space="0" w:color="auto"/>
                    <w:bottom w:val="none" w:sz="0" w:space="0" w:color="auto"/>
                    <w:right w:val="none" w:sz="0" w:space="0" w:color="auto"/>
                  </w:divBdr>
                </w:div>
                <w:div w:id="16057645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41367824">
      <w:bodyDiv w:val="1"/>
      <w:marLeft w:val="0"/>
      <w:marRight w:val="0"/>
      <w:marTop w:val="0"/>
      <w:marBottom w:val="0"/>
      <w:divBdr>
        <w:top w:val="none" w:sz="0" w:space="0" w:color="auto"/>
        <w:left w:val="none" w:sz="0" w:space="0" w:color="auto"/>
        <w:bottom w:val="none" w:sz="0" w:space="0" w:color="auto"/>
        <w:right w:val="none" w:sz="0" w:space="0" w:color="auto"/>
      </w:divBdr>
      <w:divsChild>
        <w:div w:id="131681818">
          <w:marLeft w:val="0"/>
          <w:marRight w:val="0"/>
          <w:marTop w:val="0"/>
          <w:marBottom w:val="0"/>
          <w:divBdr>
            <w:top w:val="none" w:sz="0" w:space="0" w:color="auto"/>
            <w:left w:val="none" w:sz="0" w:space="0" w:color="auto"/>
            <w:bottom w:val="none" w:sz="0" w:space="0" w:color="auto"/>
            <w:right w:val="none" w:sz="0" w:space="0" w:color="auto"/>
          </w:divBdr>
          <w:divsChild>
            <w:div w:id="1126122404">
              <w:marLeft w:val="0"/>
              <w:marRight w:val="0"/>
              <w:marTop w:val="0"/>
              <w:marBottom w:val="0"/>
              <w:divBdr>
                <w:top w:val="none" w:sz="0" w:space="0" w:color="auto"/>
                <w:left w:val="none" w:sz="0" w:space="0" w:color="auto"/>
                <w:bottom w:val="none" w:sz="0" w:space="0" w:color="auto"/>
                <w:right w:val="none" w:sz="0" w:space="0" w:color="auto"/>
              </w:divBdr>
            </w:div>
          </w:divsChild>
        </w:div>
        <w:div w:id="145123823">
          <w:marLeft w:val="0"/>
          <w:marRight w:val="0"/>
          <w:marTop w:val="0"/>
          <w:marBottom w:val="0"/>
          <w:divBdr>
            <w:top w:val="none" w:sz="0" w:space="0" w:color="auto"/>
            <w:left w:val="none" w:sz="0" w:space="0" w:color="auto"/>
            <w:bottom w:val="none" w:sz="0" w:space="0" w:color="auto"/>
            <w:right w:val="none" w:sz="0" w:space="0" w:color="auto"/>
          </w:divBdr>
          <w:divsChild>
            <w:div w:id="2032994225">
              <w:marLeft w:val="0"/>
              <w:marRight w:val="0"/>
              <w:marTop w:val="0"/>
              <w:marBottom w:val="0"/>
              <w:divBdr>
                <w:top w:val="none" w:sz="0" w:space="0" w:color="auto"/>
                <w:left w:val="none" w:sz="0" w:space="0" w:color="auto"/>
                <w:bottom w:val="none" w:sz="0" w:space="0" w:color="auto"/>
                <w:right w:val="none" w:sz="0" w:space="0" w:color="auto"/>
              </w:divBdr>
              <w:divsChild>
                <w:div w:id="1751657313">
                  <w:marLeft w:val="0"/>
                  <w:marRight w:val="0"/>
                  <w:marTop w:val="0"/>
                  <w:marBottom w:val="0"/>
                  <w:divBdr>
                    <w:top w:val="none" w:sz="0" w:space="0" w:color="auto"/>
                    <w:left w:val="none" w:sz="0" w:space="0" w:color="auto"/>
                    <w:bottom w:val="none" w:sz="0" w:space="0" w:color="auto"/>
                    <w:right w:val="none" w:sz="0" w:space="0" w:color="auto"/>
                  </w:divBdr>
                  <w:divsChild>
                    <w:div w:id="1636448192">
                      <w:marLeft w:val="0"/>
                      <w:marRight w:val="0"/>
                      <w:marTop w:val="120"/>
                      <w:marBottom w:val="0"/>
                      <w:divBdr>
                        <w:top w:val="none" w:sz="0" w:space="0" w:color="auto"/>
                        <w:left w:val="none" w:sz="0" w:space="0" w:color="auto"/>
                        <w:bottom w:val="none" w:sz="0" w:space="0" w:color="auto"/>
                        <w:right w:val="none" w:sz="0" w:space="0" w:color="auto"/>
                      </w:divBdr>
                    </w:div>
                    <w:div w:id="1777599331">
                      <w:marLeft w:val="0"/>
                      <w:marRight w:val="0"/>
                      <w:marTop w:val="0"/>
                      <w:marBottom w:val="0"/>
                      <w:divBdr>
                        <w:top w:val="none" w:sz="0" w:space="0" w:color="auto"/>
                        <w:left w:val="none" w:sz="0" w:space="0" w:color="auto"/>
                        <w:bottom w:val="none" w:sz="0" w:space="0" w:color="auto"/>
                        <w:right w:val="none" w:sz="0" w:space="0" w:color="auto"/>
                      </w:divBdr>
                    </w:div>
                  </w:divsChild>
                </w:div>
                <w:div w:id="1819103271">
                  <w:marLeft w:val="0"/>
                  <w:marRight w:val="0"/>
                  <w:marTop w:val="0"/>
                  <w:marBottom w:val="0"/>
                  <w:divBdr>
                    <w:top w:val="none" w:sz="0" w:space="0" w:color="auto"/>
                    <w:left w:val="none" w:sz="0" w:space="0" w:color="auto"/>
                    <w:bottom w:val="none" w:sz="0" w:space="0" w:color="auto"/>
                    <w:right w:val="none" w:sz="0" w:space="0" w:color="auto"/>
                  </w:divBdr>
                  <w:divsChild>
                    <w:div w:id="1108162873">
                      <w:marLeft w:val="0"/>
                      <w:marRight w:val="0"/>
                      <w:marTop w:val="120"/>
                      <w:marBottom w:val="0"/>
                      <w:divBdr>
                        <w:top w:val="none" w:sz="0" w:space="0" w:color="auto"/>
                        <w:left w:val="none" w:sz="0" w:space="0" w:color="auto"/>
                        <w:bottom w:val="none" w:sz="0" w:space="0" w:color="auto"/>
                        <w:right w:val="none" w:sz="0" w:space="0" w:color="auto"/>
                      </w:divBdr>
                    </w:div>
                    <w:div w:id="16214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336023">
          <w:marLeft w:val="0"/>
          <w:marRight w:val="0"/>
          <w:marTop w:val="0"/>
          <w:marBottom w:val="0"/>
          <w:divBdr>
            <w:top w:val="none" w:sz="0" w:space="0" w:color="auto"/>
            <w:left w:val="none" w:sz="0" w:space="0" w:color="auto"/>
            <w:bottom w:val="none" w:sz="0" w:space="0" w:color="auto"/>
            <w:right w:val="none" w:sz="0" w:space="0" w:color="auto"/>
          </w:divBdr>
          <w:divsChild>
            <w:div w:id="735976741">
              <w:marLeft w:val="0"/>
              <w:marRight w:val="0"/>
              <w:marTop w:val="0"/>
              <w:marBottom w:val="0"/>
              <w:divBdr>
                <w:top w:val="none" w:sz="0" w:space="0" w:color="auto"/>
                <w:left w:val="none" w:sz="0" w:space="0" w:color="auto"/>
                <w:bottom w:val="none" w:sz="0" w:space="0" w:color="auto"/>
                <w:right w:val="none" w:sz="0" w:space="0" w:color="auto"/>
              </w:divBdr>
              <w:divsChild>
                <w:div w:id="361369106">
                  <w:marLeft w:val="0"/>
                  <w:marRight w:val="0"/>
                  <w:marTop w:val="0"/>
                  <w:marBottom w:val="0"/>
                  <w:divBdr>
                    <w:top w:val="none" w:sz="0" w:space="0" w:color="auto"/>
                    <w:left w:val="none" w:sz="0" w:space="0" w:color="auto"/>
                    <w:bottom w:val="none" w:sz="0" w:space="0" w:color="auto"/>
                    <w:right w:val="none" w:sz="0" w:space="0" w:color="auto"/>
                  </w:divBdr>
                  <w:divsChild>
                    <w:div w:id="1888225037">
                      <w:marLeft w:val="0"/>
                      <w:marRight w:val="0"/>
                      <w:marTop w:val="0"/>
                      <w:marBottom w:val="0"/>
                      <w:divBdr>
                        <w:top w:val="none" w:sz="0" w:space="0" w:color="auto"/>
                        <w:left w:val="none" w:sz="0" w:space="0" w:color="auto"/>
                        <w:bottom w:val="none" w:sz="0" w:space="0" w:color="auto"/>
                        <w:right w:val="none" w:sz="0" w:space="0" w:color="auto"/>
                      </w:divBdr>
                    </w:div>
                    <w:div w:id="1932932012">
                      <w:marLeft w:val="0"/>
                      <w:marRight w:val="0"/>
                      <w:marTop w:val="120"/>
                      <w:marBottom w:val="0"/>
                      <w:divBdr>
                        <w:top w:val="none" w:sz="0" w:space="0" w:color="auto"/>
                        <w:left w:val="none" w:sz="0" w:space="0" w:color="auto"/>
                        <w:bottom w:val="none" w:sz="0" w:space="0" w:color="auto"/>
                        <w:right w:val="none" w:sz="0" w:space="0" w:color="auto"/>
                      </w:divBdr>
                    </w:div>
                  </w:divsChild>
                </w:div>
                <w:div w:id="1127972560">
                  <w:marLeft w:val="0"/>
                  <w:marRight w:val="0"/>
                  <w:marTop w:val="0"/>
                  <w:marBottom w:val="0"/>
                  <w:divBdr>
                    <w:top w:val="none" w:sz="0" w:space="0" w:color="auto"/>
                    <w:left w:val="none" w:sz="0" w:space="0" w:color="auto"/>
                    <w:bottom w:val="none" w:sz="0" w:space="0" w:color="auto"/>
                    <w:right w:val="none" w:sz="0" w:space="0" w:color="auto"/>
                  </w:divBdr>
                  <w:divsChild>
                    <w:div w:id="1106076618">
                      <w:marLeft w:val="0"/>
                      <w:marRight w:val="0"/>
                      <w:marTop w:val="120"/>
                      <w:marBottom w:val="0"/>
                      <w:divBdr>
                        <w:top w:val="none" w:sz="0" w:space="0" w:color="auto"/>
                        <w:left w:val="none" w:sz="0" w:space="0" w:color="auto"/>
                        <w:bottom w:val="none" w:sz="0" w:space="0" w:color="auto"/>
                        <w:right w:val="none" w:sz="0" w:space="0" w:color="auto"/>
                      </w:divBdr>
                    </w:div>
                    <w:div w:id="16000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37340">
          <w:marLeft w:val="0"/>
          <w:marRight w:val="0"/>
          <w:marTop w:val="0"/>
          <w:marBottom w:val="0"/>
          <w:divBdr>
            <w:top w:val="none" w:sz="0" w:space="0" w:color="auto"/>
            <w:left w:val="none" w:sz="0" w:space="0" w:color="auto"/>
            <w:bottom w:val="none" w:sz="0" w:space="0" w:color="auto"/>
            <w:right w:val="none" w:sz="0" w:space="0" w:color="auto"/>
          </w:divBdr>
          <w:divsChild>
            <w:div w:id="1511063886">
              <w:marLeft w:val="0"/>
              <w:marRight w:val="0"/>
              <w:marTop w:val="0"/>
              <w:marBottom w:val="0"/>
              <w:divBdr>
                <w:top w:val="none" w:sz="0" w:space="0" w:color="auto"/>
                <w:left w:val="none" w:sz="0" w:space="0" w:color="auto"/>
                <w:bottom w:val="none" w:sz="0" w:space="0" w:color="auto"/>
                <w:right w:val="none" w:sz="0" w:space="0" w:color="auto"/>
              </w:divBdr>
              <w:divsChild>
                <w:div w:id="132722033">
                  <w:marLeft w:val="0"/>
                  <w:marRight w:val="0"/>
                  <w:marTop w:val="0"/>
                  <w:marBottom w:val="0"/>
                  <w:divBdr>
                    <w:top w:val="none" w:sz="0" w:space="0" w:color="auto"/>
                    <w:left w:val="none" w:sz="0" w:space="0" w:color="auto"/>
                    <w:bottom w:val="none" w:sz="0" w:space="0" w:color="auto"/>
                    <w:right w:val="none" w:sz="0" w:space="0" w:color="auto"/>
                  </w:divBdr>
                  <w:divsChild>
                    <w:div w:id="1504323163">
                      <w:marLeft w:val="0"/>
                      <w:marRight w:val="0"/>
                      <w:marTop w:val="0"/>
                      <w:marBottom w:val="0"/>
                      <w:divBdr>
                        <w:top w:val="none" w:sz="0" w:space="0" w:color="auto"/>
                        <w:left w:val="none" w:sz="0" w:space="0" w:color="auto"/>
                        <w:bottom w:val="none" w:sz="0" w:space="0" w:color="auto"/>
                        <w:right w:val="none" w:sz="0" w:space="0" w:color="auto"/>
                      </w:divBdr>
                    </w:div>
                    <w:div w:id="2052604588">
                      <w:marLeft w:val="0"/>
                      <w:marRight w:val="0"/>
                      <w:marTop w:val="120"/>
                      <w:marBottom w:val="0"/>
                      <w:divBdr>
                        <w:top w:val="none" w:sz="0" w:space="0" w:color="auto"/>
                        <w:left w:val="none" w:sz="0" w:space="0" w:color="auto"/>
                        <w:bottom w:val="none" w:sz="0" w:space="0" w:color="auto"/>
                        <w:right w:val="none" w:sz="0" w:space="0" w:color="auto"/>
                      </w:divBdr>
                    </w:div>
                  </w:divsChild>
                </w:div>
                <w:div w:id="328487514">
                  <w:marLeft w:val="0"/>
                  <w:marRight w:val="0"/>
                  <w:marTop w:val="0"/>
                  <w:marBottom w:val="0"/>
                  <w:divBdr>
                    <w:top w:val="none" w:sz="0" w:space="0" w:color="auto"/>
                    <w:left w:val="none" w:sz="0" w:space="0" w:color="auto"/>
                    <w:bottom w:val="none" w:sz="0" w:space="0" w:color="auto"/>
                    <w:right w:val="none" w:sz="0" w:space="0" w:color="auto"/>
                  </w:divBdr>
                  <w:divsChild>
                    <w:div w:id="477917586">
                      <w:marLeft w:val="0"/>
                      <w:marRight w:val="0"/>
                      <w:marTop w:val="120"/>
                      <w:marBottom w:val="0"/>
                      <w:divBdr>
                        <w:top w:val="none" w:sz="0" w:space="0" w:color="auto"/>
                        <w:left w:val="none" w:sz="0" w:space="0" w:color="auto"/>
                        <w:bottom w:val="none" w:sz="0" w:space="0" w:color="auto"/>
                        <w:right w:val="none" w:sz="0" w:space="0" w:color="auto"/>
                      </w:divBdr>
                    </w:div>
                    <w:div w:id="6616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4119">
          <w:marLeft w:val="0"/>
          <w:marRight w:val="0"/>
          <w:marTop w:val="0"/>
          <w:marBottom w:val="0"/>
          <w:divBdr>
            <w:top w:val="none" w:sz="0" w:space="0" w:color="auto"/>
            <w:left w:val="none" w:sz="0" w:space="0" w:color="auto"/>
            <w:bottom w:val="none" w:sz="0" w:space="0" w:color="auto"/>
            <w:right w:val="none" w:sz="0" w:space="0" w:color="auto"/>
          </w:divBdr>
          <w:divsChild>
            <w:div w:id="106312071">
              <w:marLeft w:val="0"/>
              <w:marRight w:val="0"/>
              <w:marTop w:val="0"/>
              <w:marBottom w:val="0"/>
              <w:divBdr>
                <w:top w:val="none" w:sz="0" w:space="0" w:color="auto"/>
                <w:left w:val="none" w:sz="0" w:space="0" w:color="auto"/>
                <w:bottom w:val="none" w:sz="0" w:space="0" w:color="auto"/>
                <w:right w:val="none" w:sz="0" w:space="0" w:color="auto"/>
              </w:divBdr>
            </w:div>
          </w:divsChild>
        </w:div>
        <w:div w:id="1040201497">
          <w:marLeft w:val="0"/>
          <w:marRight w:val="0"/>
          <w:marTop w:val="0"/>
          <w:marBottom w:val="0"/>
          <w:divBdr>
            <w:top w:val="none" w:sz="0" w:space="0" w:color="auto"/>
            <w:left w:val="none" w:sz="0" w:space="0" w:color="auto"/>
            <w:bottom w:val="none" w:sz="0" w:space="0" w:color="auto"/>
            <w:right w:val="none" w:sz="0" w:space="0" w:color="auto"/>
          </w:divBdr>
          <w:divsChild>
            <w:div w:id="1493645117">
              <w:marLeft w:val="0"/>
              <w:marRight w:val="0"/>
              <w:marTop w:val="0"/>
              <w:marBottom w:val="0"/>
              <w:divBdr>
                <w:top w:val="none" w:sz="0" w:space="0" w:color="auto"/>
                <w:left w:val="none" w:sz="0" w:space="0" w:color="auto"/>
                <w:bottom w:val="none" w:sz="0" w:space="0" w:color="auto"/>
                <w:right w:val="none" w:sz="0" w:space="0" w:color="auto"/>
              </w:divBdr>
            </w:div>
          </w:divsChild>
        </w:div>
        <w:div w:id="1519272664">
          <w:marLeft w:val="0"/>
          <w:marRight w:val="0"/>
          <w:marTop w:val="0"/>
          <w:marBottom w:val="0"/>
          <w:divBdr>
            <w:top w:val="none" w:sz="0" w:space="0" w:color="auto"/>
            <w:left w:val="none" w:sz="0" w:space="0" w:color="auto"/>
            <w:bottom w:val="none" w:sz="0" w:space="0" w:color="auto"/>
            <w:right w:val="none" w:sz="0" w:space="0" w:color="auto"/>
          </w:divBdr>
          <w:divsChild>
            <w:div w:id="227811556">
              <w:marLeft w:val="0"/>
              <w:marRight w:val="0"/>
              <w:marTop w:val="0"/>
              <w:marBottom w:val="0"/>
              <w:divBdr>
                <w:top w:val="none" w:sz="0" w:space="0" w:color="auto"/>
                <w:left w:val="none" w:sz="0" w:space="0" w:color="auto"/>
                <w:bottom w:val="none" w:sz="0" w:space="0" w:color="auto"/>
                <w:right w:val="none" w:sz="0" w:space="0" w:color="auto"/>
              </w:divBdr>
            </w:div>
          </w:divsChild>
        </w:div>
        <w:div w:id="1756855188">
          <w:marLeft w:val="0"/>
          <w:marRight w:val="0"/>
          <w:marTop w:val="0"/>
          <w:marBottom w:val="0"/>
          <w:divBdr>
            <w:top w:val="none" w:sz="0" w:space="0" w:color="auto"/>
            <w:left w:val="none" w:sz="0" w:space="0" w:color="auto"/>
            <w:bottom w:val="none" w:sz="0" w:space="0" w:color="auto"/>
            <w:right w:val="none" w:sz="0" w:space="0" w:color="auto"/>
          </w:divBdr>
          <w:divsChild>
            <w:div w:id="327172854">
              <w:marLeft w:val="0"/>
              <w:marRight w:val="0"/>
              <w:marTop w:val="0"/>
              <w:marBottom w:val="0"/>
              <w:divBdr>
                <w:top w:val="none" w:sz="0" w:space="0" w:color="auto"/>
                <w:left w:val="none" w:sz="0" w:space="0" w:color="auto"/>
                <w:bottom w:val="none" w:sz="0" w:space="0" w:color="auto"/>
                <w:right w:val="none" w:sz="0" w:space="0" w:color="auto"/>
              </w:divBdr>
            </w:div>
          </w:divsChild>
        </w:div>
        <w:div w:id="1907688248">
          <w:marLeft w:val="0"/>
          <w:marRight w:val="0"/>
          <w:marTop w:val="0"/>
          <w:marBottom w:val="0"/>
          <w:divBdr>
            <w:top w:val="none" w:sz="0" w:space="0" w:color="auto"/>
            <w:left w:val="none" w:sz="0" w:space="0" w:color="auto"/>
            <w:bottom w:val="none" w:sz="0" w:space="0" w:color="auto"/>
            <w:right w:val="none" w:sz="0" w:space="0" w:color="auto"/>
          </w:divBdr>
          <w:divsChild>
            <w:div w:id="1120027025">
              <w:marLeft w:val="0"/>
              <w:marRight w:val="0"/>
              <w:marTop w:val="0"/>
              <w:marBottom w:val="0"/>
              <w:divBdr>
                <w:top w:val="none" w:sz="0" w:space="0" w:color="auto"/>
                <w:left w:val="none" w:sz="0" w:space="0" w:color="auto"/>
                <w:bottom w:val="none" w:sz="0" w:space="0" w:color="auto"/>
                <w:right w:val="none" w:sz="0" w:space="0" w:color="auto"/>
              </w:divBdr>
              <w:divsChild>
                <w:div w:id="1368724710">
                  <w:marLeft w:val="0"/>
                  <w:marRight w:val="0"/>
                  <w:marTop w:val="0"/>
                  <w:marBottom w:val="0"/>
                  <w:divBdr>
                    <w:top w:val="none" w:sz="0" w:space="0" w:color="auto"/>
                    <w:left w:val="none" w:sz="0" w:space="0" w:color="auto"/>
                    <w:bottom w:val="none" w:sz="0" w:space="0" w:color="auto"/>
                    <w:right w:val="none" w:sz="0" w:space="0" w:color="auto"/>
                  </w:divBdr>
                  <w:divsChild>
                    <w:div w:id="107547714">
                      <w:marLeft w:val="0"/>
                      <w:marRight w:val="0"/>
                      <w:marTop w:val="120"/>
                      <w:marBottom w:val="0"/>
                      <w:divBdr>
                        <w:top w:val="none" w:sz="0" w:space="0" w:color="auto"/>
                        <w:left w:val="none" w:sz="0" w:space="0" w:color="auto"/>
                        <w:bottom w:val="none" w:sz="0" w:space="0" w:color="auto"/>
                        <w:right w:val="none" w:sz="0" w:space="0" w:color="auto"/>
                      </w:divBdr>
                    </w:div>
                    <w:div w:id="1344084922">
                      <w:marLeft w:val="0"/>
                      <w:marRight w:val="0"/>
                      <w:marTop w:val="0"/>
                      <w:marBottom w:val="0"/>
                      <w:divBdr>
                        <w:top w:val="none" w:sz="0" w:space="0" w:color="auto"/>
                        <w:left w:val="none" w:sz="0" w:space="0" w:color="auto"/>
                        <w:bottom w:val="none" w:sz="0" w:space="0" w:color="auto"/>
                        <w:right w:val="none" w:sz="0" w:space="0" w:color="auto"/>
                      </w:divBdr>
                    </w:div>
                  </w:divsChild>
                </w:div>
                <w:div w:id="1387097539">
                  <w:marLeft w:val="0"/>
                  <w:marRight w:val="0"/>
                  <w:marTop w:val="0"/>
                  <w:marBottom w:val="0"/>
                  <w:divBdr>
                    <w:top w:val="none" w:sz="0" w:space="0" w:color="auto"/>
                    <w:left w:val="none" w:sz="0" w:space="0" w:color="auto"/>
                    <w:bottom w:val="none" w:sz="0" w:space="0" w:color="auto"/>
                    <w:right w:val="none" w:sz="0" w:space="0" w:color="auto"/>
                  </w:divBdr>
                  <w:divsChild>
                    <w:div w:id="29425833">
                      <w:marLeft w:val="0"/>
                      <w:marRight w:val="0"/>
                      <w:marTop w:val="0"/>
                      <w:marBottom w:val="0"/>
                      <w:divBdr>
                        <w:top w:val="none" w:sz="0" w:space="0" w:color="auto"/>
                        <w:left w:val="none" w:sz="0" w:space="0" w:color="auto"/>
                        <w:bottom w:val="none" w:sz="0" w:space="0" w:color="auto"/>
                        <w:right w:val="none" w:sz="0" w:space="0" w:color="auto"/>
                      </w:divBdr>
                    </w:div>
                    <w:div w:id="1460295596">
                      <w:marLeft w:val="0"/>
                      <w:marRight w:val="0"/>
                      <w:marTop w:val="120"/>
                      <w:marBottom w:val="0"/>
                      <w:divBdr>
                        <w:top w:val="none" w:sz="0" w:space="0" w:color="auto"/>
                        <w:left w:val="none" w:sz="0" w:space="0" w:color="auto"/>
                        <w:bottom w:val="none" w:sz="0" w:space="0" w:color="auto"/>
                        <w:right w:val="none" w:sz="0" w:space="0" w:color="auto"/>
                      </w:divBdr>
                    </w:div>
                  </w:divsChild>
                </w:div>
                <w:div w:id="1543321657">
                  <w:marLeft w:val="0"/>
                  <w:marRight w:val="0"/>
                  <w:marTop w:val="0"/>
                  <w:marBottom w:val="0"/>
                  <w:divBdr>
                    <w:top w:val="none" w:sz="0" w:space="0" w:color="auto"/>
                    <w:left w:val="none" w:sz="0" w:space="0" w:color="auto"/>
                    <w:bottom w:val="none" w:sz="0" w:space="0" w:color="auto"/>
                    <w:right w:val="none" w:sz="0" w:space="0" w:color="auto"/>
                  </w:divBdr>
                  <w:divsChild>
                    <w:div w:id="1738285451">
                      <w:marLeft w:val="0"/>
                      <w:marRight w:val="0"/>
                      <w:marTop w:val="0"/>
                      <w:marBottom w:val="0"/>
                      <w:divBdr>
                        <w:top w:val="none" w:sz="0" w:space="0" w:color="auto"/>
                        <w:left w:val="none" w:sz="0" w:space="0" w:color="auto"/>
                        <w:bottom w:val="none" w:sz="0" w:space="0" w:color="auto"/>
                        <w:right w:val="none" w:sz="0" w:space="0" w:color="auto"/>
                      </w:divBdr>
                    </w:div>
                    <w:div w:id="19393610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43140569">
      <w:bodyDiv w:val="1"/>
      <w:marLeft w:val="0"/>
      <w:marRight w:val="0"/>
      <w:marTop w:val="0"/>
      <w:marBottom w:val="0"/>
      <w:divBdr>
        <w:top w:val="none" w:sz="0" w:space="0" w:color="auto"/>
        <w:left w:val="none" w:sz="0" w:space="0" w:color="auto"/>
        <w:bottom w:val="none" w:sz="0" w:space="0" w:color="auto"/>
        <w:right w:val="none" w:sz="0" w:space="0" w:color="auto"/>
      </w:divBdr>
    </w:div>
    <w:div w:id="1749765862">
      <w:bodyDiv w:val="1"/>
      <w:marLeft w:val="0"/>
      <w:marRight w:val="0"/>
      <w:marTop w:val="0"/>
      <w:marBottom w:val="0"/>
      <w:divBdr>
        <w:top w:val="none" w:sz="0" w:space="0" w:color="auto"/>
        <w:left w:val="none" w:sz="0" w:space="0" w:color="auto"/>
        <w:bottom w:val="none" w:sz="0" w:space="0" w:color="auto"/>
        <w:right w:val="none" w:sz="0" w:space="0" w:color="auto"/>
      </w:divBdr>
    </w:div>
    <w:div w:id="1761751701">
      <w:bodyDiv w:val="1"/>
      <w:marLeft w:val="0"/>
      <w:marRight w:val="0"/>
      <w:marTop w:val="0"/>
      <w:marBottom w:val="0"/>
      <w:divBdr>
        <w:top w:val="none" w:sz="0" w:space="0" w:color="auto"/>
        <w:left w:val="none" w:sz="0" w:space="0" w:color="auto"/>
        <w:bottom w:val="none" w:sz="0" w:space="0" w:color="auto"/>
        <w:right w:val="none" w:sz="0" w:space="0" w:color="auto"/>
      </w:divBdr>
    </w:div>
    <w:div w:id="1773814288">
      <w:bodyDiv w:val="1"/>
      <w:marLeft w:val="0"/>
      <w:marRight w:val="0"/>
      <w:marTop w:val="0"/>
      <w:marBottom w:val="0"/>
      <w:divBdr>
        <w:top w:val="none" w:sz="0" w:space="0" w:color="auto"/>
        <w:left w:val="none" w:sz="0" w:space="0" w:color="auto"/>
        <w:bottom w:val="none" w:sz="0" w:space="0" w:color="auto"/>
        <w:right w:val="none" w:sz="0" w:space="0" w:color="auto"/>
      </w:divBdr>
      <w:divsChild>
        <w:div w:id="656418531">
          <w:marLeft w:val="0"/>
          <w:marRight w:val="0"/>
          <w:marTop w:val="0"/>
          <w:marBottom w:val="0"/>
          <w:divBdr>
            <w:top w:val="none" w:sz="0" w:space="0" w:color="auto"/>
            <w:left w:val="none" w:sz="0" w:space="0" w:color="auto"/>
            <w:bottom w:val="none" w:sz="0" w:space="0" w:color="auto"/>
            <w:right w:val="none" w:sz="0" w:space="0" w:color="auto"/>
          </w:divBdr>
          <w:divsChild>
            <w:div w:id="1239751916">
              <w:marLeft w:val="0"/>
              <w:marRight w:val="0"/>
              <w:marTop w:val="0"/>
              <w:marBottom w:val="0"/>
              <w:divBdr>
                <w:top w:val="none" w:sz="0" w:space="0" w:color="auto"/>
                <w:left w:val="none" w:sz="0" w:space="0" w:color="auto"/>
                <w:bottom w:val="none" w:sz="0" w:space="0" w:color="auto"/>
                <w:right w:val="none" w:sz="0" w:space="0" w:color="auto"/>
              </w:divBdr>
            </w:div>
            <w:div w:id="2023510207">
              <w:marLeft w:val="0"/>
              <w:marRight w:val="0"/>
              <w:marTop w:val="120"/>
              <w:marBottom w:val="0"/>
              <w:divBdr>
                <w:top w:val="none" w:sz="0" w:space="0" w:color="auto"/>
                <w:left w:val="none" w:sz="0" w:space="0" w:color="auto"/>
                <w:bottom w:val="none" w:sz="0" w:space="0" w:color="auto"/>
                <w:right w:val="none" w:sz="0" w:space="0" w:color="auto"/>
              </w:divBdr>
            </w:div>
          </w:divsChild>
        </w:div>
        <w:div w:id="752699977">
          <w:marLeft w:val="0"/>
          <w:marRight w:val="0"/>
          <w:marTop w:val="0"/>
          <w:marBottom w:val="0"/>
          <w:divBdr>
            <w:top w:val="none" w:sz="0" w:space="0" w:color="auto"/>
            <w:left w:val="none" w:sz="0" w:space="0" w:color="auto"/>
            <w:bottom w:val="none" w:sz="0" w:space="0" w:color="auto"/>
            <w:right w:val="none" w:sz="0" w:space="0" w:color="auto"/>
          </w:divBdr>
          <w:divsChild>
            <w:div w:id="1861354916">
              <w:marLeft w:val="0"/>
              <w:marRight w:val="0"/>
              <w:marTop w:val="120"/>
              <w:marBottom w:val="0"/>
              <w:divBdr>
                <w:top w:val="none" w:sz="0" w:space="0" w:color="auto"/>
                <w:left w:val="none" w:sz="0" w:space="0" w:color="auto"/>
                <w:bottom w:val="none" w:sz="0" w:space="0" w:color="auto"/>
                <w:right w:val="none" w:sz="0" w:space="0" w:color="auto"/>
              </w:divBdr>
            </w:div>
            <w:div w:id="19537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9753">
      <w:bodyDiv w:val="1"/>
      <w:marLeft w:val="0"/>
      <w:marRight w:val="0"/>
      <w:marTop w:val="0"/>
      <w:marBottom w:val="0"/>
      <w:divBdr>
        <w:top w:val="none" w:sz="0" w:space="0" w:color="auto"/>
        <w:left w:val="none" w:sz="0" w:space="0" w:color="auto"/>
        <w:bottom w:val="none" w:sz="0" w:space="0" w:color="auto"/>
        <w:right w:val="none" w:sz="0" w:space="0" w:color="auto"/>
      </w:divBdr>
      <w:divsChild>
        <w:div w:id="393965649">
          <w:marLeft w:val="0"/>
          <w:marRight w:val="0"/>
          <w:marTop w:val="0"/>
          <w:marBottom w:val="0"/>
          <w:divBdr>
            <w:top w:val="none" w:sz="0" w:space="0" w:color="auto"/>
            <w:left w:val="none" w:sz="0" w:space="0" w:color="auto"/>
            <w:bottom w:val="none" w:sz="0" w:space="0" w:color="auto"/>
            <w:right w:val="none" w:sz="0" w:space="0" w:color="auto"/>
          </w:divBdr>
        </w:div>
      </w:divsChild>
    </w:div>
    <w:div w:id="1799183186">
      <w:bodyDiv w:val="1"/>
      <w:marLeft w:val="0"/>
      <w:marRight w:val="0"/>
      <w:marTop w:val="0"/>
      <w:marBottom w:val="0"/>
      <w:divBdr>
        <w:top w:val="none" w:sz="0" w:space="0" w:color="auto"/>
        <w:left w:val="none" w:sz="0" w:space="0" w:color="auto"/>
        <w:bottom w:val="none" w:sz="0" w:space="0" w:color="auto"/>
        <w:right w:val="none" w:sz="0" w:space="0" w:color="auto"/>
      </w:divBdr>
      <w:divsChild>
        <w:div w:id="1634018635">
          <w:marLeft w:val="0"/>
          <w:marRight w:val="0"/>
          <w:marTop w:val="0"/>
          <w:marBottom w:val="0"/>
          <w:divBdr>
            <w:top w:val="none" w:sz="0" w:space="0" w:color="auto"/>
            <w:left w:val="none" w:sz="0" w:space="0" w:color="auto"/>
            <w:bottom w:val="none" w:sz="0" w:space="0" w:color="auto"/>
            <w:right w:val="none" w:sz="0" w:space="0" w:color="auto"/>
          </w:divBdr>
          <w:divsChild>
            <w:div w:id="502474974">
              <w:marLeft w:val="0"/>
              <w:marRight w:val="0"/>
              <w:marTop w:val="0"/>
              <w:marBottom w:val="0"/>
              <w:divBdr>
                <w:top w:val="none" w:sz="0" w:space="0" w:color="auto"/>
                <w:left w:val="none" w:sz="0" w:space="0" w:color="auto"/>
                <w:bottom w:val="none" w:sz="0" w:space="0" w:color="auto"/>
                <w:right w:val="none" w:sz="0" w:space="0" w:color="auto"/>
              </w:divBdr>
              <w:divsChild>
                <w:div w:id="49623404">
                  <w:marLeft w:val="0"/>
                  <w:marRight w:val="0"/>
                  <w:marTop w:val="0"/>
                  <w:marBottom w:val="0"/>
                  <w:divBdr>
                    <w:top w:val="none" w:sz="0" w:space="0" w:color="auto"/>
                    <w:left w:val="none" w:sz="0" w:space="0" w:color="auto"/>
                    <w:bottom w:val="none" w:sz="0" w:space="0" w:color="auto"/>
                    <w:right w:val="none" w:sz="0" w:space="0" w:color="auto"/>
                  </w:divBdr>
                  <w:divsChild>
                    <w:div w:id="179049550">
                      <w:marLeft w:val="0"/>
                      <w:marRight w:val="0"/>
                      <w:marTop w:val="0"/>
                      <w:marBottom w:val="0"/>
                      <w:divBdr>
                        <w:top w:val="none" w:sz="0" w:space="0" w:color="auto"/>
                        <w:left w:val="none" w:sz="0" w:space="0" w:color="auto"/>
                        <w:bottom w:val="none" w:sz="0" w:space="0" w:color="auto"/>
                        <w:right w:val="none" w:sz="0" w:space="0" w:color="auto"/>
                      </w:divBdr>
                    </w:div>
                    <w:div w:id="1485470205">
                      <w:marLeft w:val="0"/>
                      <w:marRight w:val="0"/>
                      <w:marTop w:val="120"/>
                      <w:marBottom w:val="0"/>
                      <w:divBdr>
                        <w:top w:val="none" w:sz="0" w:space="0" w:color="auto"/>
                        <w:left w:val="none" w:sz="0" w:space="0" w:color="auto"/>
                        <w:bottom w:val="none" w:sz="0" w:space="0" w:color="auto"/>
                        <w:right w:val="none" w:sz="0" w:space="0" w:color="auto"/>
                      </w:divBdr>
                    </w:div>
                  </w:divsChild>
                </w:div>
                <w:div w:id="1974169844">
                  <w:marLeft w:val="0"/>
                  <w:marRight w:val="0"/>
                  <w:marTop w:val="0"/>
                  <w:marBottom w:val="0"/>
                  <w:divBdr>
                    <w:top w:val="none" w:sz="0" w:space="0" w:color="auto"/>
                    <w:left w:val="none" w:sz="0" w:space="0" w:color="auto"/>
                    <w:bottom w:val="none" w:sz="0" w:space="0" w:color="auto"/>
                    <w:right w:val="none" w:sz="0" w:space="0" w:color="auto"/>
                  </w:divBdr>
                  <w:divsChild>
                    <w:div w:id="359933924">
                      <w:marLeft w:val="0"/>
                      <w:marRight w:val="0"/>
                      <w:marTop w:val="0"/>
                      <w:marBottom w:val="0"/>
                      <w:divBdr>
                        <w:top w:val="none" w:sz="0" w:space="0" w:color="auto"/>
                        <w:left w:val="none" w:sz="0" w:space="0" w:color="auto"/>
                        <w:bottom w:val="none" w:sz="0" w:space="0" w:color="auto"/>
                        <w:right w:val="none" w:sz="0" w:space="0" w:color="auto"/>
                      </w:divBdr>
                    </w:div>
                    <w:div w:id="1526211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8927832">
              <w:marLeft w:val="0"/>
              <w:marRight w:val="0"/>
              <w:marTop w:val="120"/>
              <w:marBottom w:val="0"/>
              <w:divBdr>
                <w:top w:val="none" w:sz="0" w:space="0" w:color="auto"/>
                <w:left w:val="none" w:sz="0" w:space="0" w:color="auto"/>
                <w:bottom w:val="none" w:sz="0" w:space="0" w:color="auto"/>
                <w:right w:val="none" w:sz="0" w:space="0" w:color="auto"/>
              </w:divBdr>
            </w:div>
          </w:divsChild>
        </w:div>
        <w:div w:id="2081167705">
          <w:marLeft w:val="0"/>
          <w:marRight w:val="0"/>
          <w:marTop w:val="0"/>
          <w:marBottom w:val="0"/>
          <w:divBdr>
            <w:top w:val="none" w:sz="0" w:space="0" w:color="auto"/>
            <w:left w:val="none" w:sz="0" w:space="0" w:color="auto"/>
            <w:bottom w:val="none" w:sz="0" w:space="0" w:color="auto"/>
            <w:right w:val="none" w:sz="0" w:space="0" w:color="auto"/>
          </w:divBdr>
          <w:divsChild>
            <w:div w:id="485822375">
              <w:marLeft w:val="0"/>
              <w:marRight w:val="0"/>
              <w:marTop w:val="0"/>
              <w:marBottom w:val="0"/>
              <w:divBdr>
                <w:top w:val="none" w:sz="0" w:space="0" w:color="auto"/>
                <w:left w:val="none" w:sz="0" w:space="0" w:color="auto"/>
                <w:bottom w:val="none" w:sz="0" w:space="0" w:color="auto"/>
                <w:right w:val="none" w:sz="0" w:space="0" w:color="auto"/>
              </w:divBdr>
            </w:div>
            <w:div w:id="13615156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5150294">
      <w:bodyDiv w:val="1"/>
      <w:marLeft w:val="0"/>
      <w:marRight w:val="0"/>
      <w:marTop w:val="0"/>
      <w:marBottom w:val="0"/>
      <w:divBdr>
        <w:top w:val="none" w:sz="0" w:space="0" w:color="auto"/>
        <w:left w:val="none" w:sz="0" w:space="0" w:color="auto"/>
        <w:bottom w:val="none" w:sz="0" w:space="0" w:color="auto"/>
        <w:right w:val="none" w:sz="0" w:space="0" w:color="auto"/>
      </w:divBdr>
      <w:divsChild>
        <w:div w:id="228881215">
          <w:marLeft w:val="0"/>
          <w:marRight w:val="0"/>
          <w:marTop w:val="0"/>
          <w:marBottom w:val="0"/>
          <w:divBdr>
            <w:top w:val="none" w:sz="0" w:space="0" w:color="auto"/>
            <w:left w:val="none" w:sz="0" w:space="0" w:color="auto"/>
            <w:bottom w:val="none" w:sz="0" w:space="0" w:color="auto"/>
            <w:right w:val="none" w:sz="0" w:space="0" w:color="auto"/>
          </w:divBdr>
          <w:divsChild>
            <w:div w:id="588274388">
              <w:marLeft w:val="0"/>
              <w:marRight w:val="0"/>
              <w:marTop w:val="0"/>
              <w:marBottom w:val="0"/>
              <w:divBdr>
                <w:top w:val="none" w:sz="0" w:space="0" w:color="auto"/>
                <w:left w:val="none" w:sz="0" w:space="0" w:color="auto"/>
                <w:bottom w:val="none" w:sz="0" w:space="0" w:color="auto"/>
                <w:right w:val="none" w:sz="0" w:space="0" w:color="auto"/>
              </w:divBdr>
            </w:div>
            <w:div w:id="1254360509">
              <w:marLeft w:val="0"/>
              <w:marRight w:val="0"/>
              <w:marTop w:val="120"/>
              <w:marBottom w:val="0"/>
              <w:divBdr>
                <w:top w:val="none" w:sz="0" w:space="0" w:color="auto"/>
                <w:left w:val="none" w:sz="0" w:space="0" w:color="auto"/>
                <w:bottom w:val="none" w:sz="0" w:space="0" w:color="auto"/>
                <w:right w:val="none" w:sz="0" w:space="0" w:color="auto"/>
              </w:divBdr>
            </w:div>
          </w:divsChild>
        </w:div>
        <w:div w:id="238490917">
          <w:marLeft w:val="0"/>
          <w:marRight w:val="0"/>
          <w:marTop w:val="0"/>
          <w:marBottom w:val="0"/>
          <w:divBdr>
            <w:top w:val="none" w:sz="0" w:space="0" w:color="auto"/>
            <w:left w:val="none" w:sz="0" w:space="0" w:color="auto"/>
            <w:bottom w:val="none" w:sz="0" w:space="0" w:color="auto"/>
            <w:right w:val="none" w:sz="0" w:space="0" w:color="auto"/>
          </w:divBdr>
          <w:divsChild>
            <w:div w:id="1124538543">
              <w:marLeft w:val="0"/>
              <w:marRight w:val="0"/>
              <w:marTop w:val="0"/>
              <w:marBottom w:val="0"/>
              <w:divBdr>
                <w:top w:val="none" w:sz="0" w:space="0" w:color="auto"/>
                <w:left w:val="none" w:sz="0" w:space="0" w:color="auto"/>
                <w:bottom w:val="none" w:sz="0" w:space="0" w:color="auto"/>
                <w:right w:val="none" w:sz="0" w:space="0" w:color="auto"/>
              </w:divBdr>
            </w:div>
            <w:div w:id="2107650747">
              <w:marLeft w:val="0"/>
              <w:marRight w:val="0"/>
              <w:marTop w:val="120"/>
              <w:marBottom w:val="0"/>
              <w:divBdr>
                <w:top w:val="none" w:sz="0" w:space="0" w:color="auto"/>
                <w:left w:val="none" w:sz="0" w:space="0" w:color="auto"/>
                <w:bottom w:val="none" w:sz="0" w:space="0" w:color="auto"/>
                <w:right w:val="none" w:sz="0" w:space="0" w:color="auto"/>
              </w:divBdr>
            </w:div>
          </w:divsChild>
        </w:div>
        <w:div w:id="1139691477">
          <w:marLeft w:val="0"/>
          <w:marRight w:val="0"/>
          <w:marTop w:val="0"/>
          <w:marBottom w:val="0"/>
          <w:divBdr>
            <w:top w:val="none" w:sz="0" w:space="0" w:color="auto"/>
            <w:left w:val="none" w:sz="0" w:space="0" w:color="auto"/>
            <w:bottom w:val="none" w:sz="0" w:space="0" w:color="auto"/>
            <w:right w:val="none" w:sz="0" w:space="0" w:color="auto"/>
          </w:divBdr>
          <w:divsChild>
            <w:div w:id="233659707">
              <w:marLeft w:val="0"/>
              <w:marRight w:val="0"/>
              <w:marTop w:val="0"/>
              <w:marBottom w:val="0"/>
              <w:divBdr>
                <w:top w:val="none" w:sz="0" w:space="0" w:color="auto"/>
                <w:left w:val="none" w:sz="0" w:space="0" w:color="auto"/>
                <w:bottom w:val="none" w:sz="0" w:space="0" w:color="auto"/>
                <w:right w:val="none" w:sz="0" w:space="0" w:color="auto"/>
              </w:divBdr>
            </w:div>
            <w:div w:id="11466307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6754962">
      <w:bodyDiv w:val="1"/>
      <w:marLeft w:val="0"/>
      <w:marRight w:val="0"/>
      <w:marTop w:val="0"/>
      <w:marBottom w:val="0"/>
      <w:divBdr>
        <w:top w:val="none" w:sz="0" w:space="0" w:color="auto"/>
        <w:left w:val="none" w:sz="0" w:space="0" w:color="auto"/>
        <w:bottom w:val="none" w:sz="0" w:space="0" w:color="auto"/>
        <w:right w:val="none" w:sz="0" w:space="0" w:color="auto"/>
      </w:divBdr>
    </w:div>
    <w:div w:id="1826165046">
      <w:bodyDiv w:val="1"/>
      <w:marLeft w:val="0"/>
      <w:marRight w:val="0"/>
      <w:marTop w:val="0"/>
      <w:marBottom w:val="0"/>
      <w:divBdr>
        <w:top w:val="none" w:sz="0" w:space="0" w:color="auto"/>
        <w:left w:val="none" w:sz="0" w:space="0" w:color="auto"/>
        <w:bottom w:val="none" w:sz="0" w:space="0" w:color="auto"/>
        <w:right w:val="none" w:sz="0" w:space="0" w:color="auto"/>
      </w:divBdr>
      <w:divsChild>
        <w:div w:id="515922489">
          <w:marLeft w:val="0"/>
          <w:marRight w:val="0"/>
          <w:marTop w:val="0"/>
          <w:marBottom w:val="0"/>
          <w:divBdr>
            <w:top w:val="none" w:sz="0" w:space="0" w:color="auto"/>
            <w:left w:val="none" w:sz="0" w:space="0" w:color="auto"/>
            <w:bottom w:val="none" w:sz="0" w:space="0" w:color="auto"/>
            <w:right w:val="none" w:sz="0" w:space="0" w:color="auto"/>
          </w:divBdr>
        </w:div>
      </w:divsChild>
    </w:div>
    <w:div w:id="1829054830">
      <w:bodyDiv w:val="1"/>
      <w:marLeft w:val="0"/>
      <w:marRight w:val="0"/>
      <w:marTop w:val="0"/>
      <w:marBottom w:val="0"/>
      <w:divBdr>
        <w:top w:val="none" w:sz="0" w:space="0" w:color="auto"/>
        <w:left w:val="none" w:sz="0" w:space="0" w:color="auto"/>
        <w:bottom w:val="none" w:sz="0" w:space="0" w:color="auto"/>
        <w:right w:val="none" w:sz="0" w:space="0" w:color="auto"/>
      </w:divBdr>
      <w:divsChild>
        <w:div w:id="389111656">
          <w:marLeft w:val="0"/>
          <w:marRight w:val="0"/>
          <w:marTop w:val="0"/>
          <w:marBottom w:val="0"/>
          <w:divBdr>
            <w:top w:val="none" w:sz="0" w:space="0" w:color="auto"/>
            <w:left w:val="none" w:sz="0" w:space="0" w:color="auto"/>
            <w:bottom w:val="none" w:sz="0" w:space="0" w:color="auto"/>
            <w:right w:val="none" w:sz="0" w:space="0" w:color="auto"/>
          </w:divBdr>
          <w:divsChild>
            <w:div w:id="614679113">
              <w:marLeft w:val="0"/>
              <w:marRight w:val="0"/>
              <w:marTop w:val="0"/>
              <w:marBottom w:val="0"/>
              <w:divBdr>
                <w:top w:val="none" w:sz="0" w:space="0" w:color="auto"/>
                <w:left w:val="none" w:sz="0" w:space="0" w:color="auto"/>
                <w:bottom w:val="none" w:sz="0" w:space="0" w:color="auto"/>
                <w:right w:val="none" w:sz="0" w:space="0" w:color="auto"/>
              </w:divBdr>
              <w:divsChild>
                <w:div w:id="128911314">
                  <w:marLeft w:val="0"/>
                  <w:marRight w:val="0"/>
                  <w:marTop w:val="0"/>
                  <w:marBottom w:val="0"/>
                  <w:divBdr>
                    <w:top w:val="none" w:sz="0" w:space="0" w:color="auto"/>
                    <w:left w:val="none" w:sz="0" w:space="0" w:color="auto"/>
                    <w:bottom w:val="none" w:sz="0" w:space="0" w:color="auto"/>
                    <w:right w:val="none" w:sz="0" w:space="0" w:color="auto"/>
                  </w:divBdr>
                  <w:divsChild>
                    <w:div w:id="1106120123">
                      <w:marLeft w:val="0"/>
                      <w:marRight w:val="0"/>
                      <w:marTop w:val="120"/>
                      <w:marBottom w:val="0"/>
                      <w:divBdr>
                        <w:top w:val="none" w:sz="0" w:space="0" w:color="auto"/>
                        <w:left w:val="none" w:sz="0" w:space="0" w:color="auto"/>
                        <w:bottom w:val="none" w:sz="0" w:space="0" w:color="auto"/>
                        <w:right w:val="none" w:sz="0" w:space="0" w:color="auto"/>
                      </w:divBdr>
                    </w:div>
                    <w:div w:id="1449591375">
                      <w:marLeft w:val="0"/>
                      <w:marRight w:val="0"/>
                      <w:marTop w:val="0"/>
                      <w:marBottom w:val="0"/>
                      <w:divBdr>
                        <w:top w:val="none" w:sz="0" w:space="0" w:color="auto"/>
                        <w:left w:val="none" w:sz="0" w:space="0" w:color="auto"/>
                        <w:bottom w:val="none" w:sz="0" w:space="0" w:color="auto"/>
                        <w:right w:val="none" w:sz="0" w:space="0" w:color="auto"/>
                      </w:divBdr>
                    </w:div>
                  </w:divsChild>
                </w:div>
                <w:div w:id="462388444">
                  <w:marLeft w:val="0"/>
                  <w:marRight w:val="0"/>
                  <w:marTop w:val="0"/>
                  <w:marBottom w:val="0"/>
                  <w:divBdr>
                    <w:top w:val="none" w:sz="0" w:space="0" w:color="auto"/>
                    <w:left w:val="none" w:sz="0" w:space="0" w:color="auto"/>
                    <w:bottom w:val="none" w:sz="0" w:space="0" w:color="auto"/>
                    <w:right w:val="none" w:sz="0" w:space="0" w:color="auto"/>
                  </w:divBdr>
                  <w:divsChild>
                    <w:div w:id="296178875">
                      <w:marLeft w:val="0"/>
                      <w:marRight w:val="0"/>
                      <w:marTop w:val="120"/>
                      <w:marBottom w:val="0"/>
                      <w:divBdr>
                        <w:top w:val="none" w:sz="0" w:space="0" w:color="auto"/>
                        <w:left w:val="none" w:sz="0" w:space="0" w:color="auto"/>
                        <w:bottom w:val="none" w:sz="0" w:space="0" w:color="auto"/>
                        <w:right w:val="none" w:sz="0" w:space="0" w:color="auto"/>
                      </w:divBdr>
                    </w:div>
                    <w:div w:id="6357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90477">
          <w:marLeft w:val="0"/>
          <w:marRight w:val="0"/>
          <w:marTop w:val="0"/>
          <w:marBottom w:val="0"/>
          <w:divBdr>
            <w:top w:val="none" w:sz="0" w:space="0" w:color="auto"/>
            <w:left w:val="none" w:sz="0" w:space="0" w:color="auto"/>
            <w:bottom w:val="none" w:sz="0" w:space="0" w:color="auto"/>
            <w:right w:val="none" w:sz="0" w:space="0" w:color="auto"/>
          </w:divBdr>
          <w:divsChild>
            <w:div w:id="816723319">
              <w:marLeft w:val="0"/>
              <w:marRight w:val="0"/>
              <w:marTop w:val="0"/>
              <w:marBottom w:val="0"/>
              <w:divBdr>
                <w:top w:val="none" w:sz="0" w:space="0" w:color="auto"/>
                <w:left w:val="none" w:sz="0" w:space="0" w:color="auto"/>
                <w:bottom w:val="none" w:sz="0" w:space="0" w:color="auto"/>
                <w:right w:val="none" w:sz="0" w:space="0" w:color="auto"/>
              </w:divBdr>
            </w:div>
          </w:divsChild>
        </w:div>
        <w:div w:id="1169757545">
          <w:marLeft w:val="0"/>
          <w:marRight w:val="0"/>
          <w:marTop w:val="0"/>
          <w:marBottom w:val="0"/>
          <w:divBdr>
            <w:top w:val="none" w:sz="0" w:space="0" w:color="auto"/>
            <w:left w:val="none" w:sz="0" w:space="0" w:color="auto"/>
            <w:bottom w:val="none" w:sz="0" w:space="0" w:color="auto"/>
            <w:right w:val="none" w:sz="0" w:space="0" w:color="auto"/>
          </w:divBdr>
          <w:divsChild>
            <w:div w:id="701784022">
              <w:marLeft w:val="0"/>
              <w:marRight w:val="0"/>
              <w:marTop w:val="0"/>
              <w:marBottom w:val="0"/>
              <w:divBdr>
                <w:top w:val="none" w:sz="0" w:space="0" w:color="auto"/>
                <w:left w:val="none" w:sz="0" w:space="0" w:color="auto"/>
                <w:bottom w:val="none" w:sz="0" w:space="0" w:color="auto"/>
                <w:right w:val="none" w:sz="0" w:space="0" w:color="auto"/>
              </w:divBdr>
              <w:divsChild>
                <w:div w:id="459498680">
                  <w:marLeft w:val="0"/>
                  <w:marRight w:val="0"/>
                  <w:marTop w:val="0"/>
                  <w:marBottom w:val="0"/>
                  <w:divBdr>
                    <w:top w:val="none" w:sz="0" w:space="0" w:color="auto"/>
                    <w:left w:val="none" w:sz="0" w:space="0" w:color="auto"/>
                    <w:bottom w:val="none" w:sz="0" w:space="0" w:color="auto"/>
                    <w:right w:val="none" w:sz="0" w:space="0" w:color="auto"/>
                  </w:divBdr>
                  <w:divsChild>
                    <w:div w:id="318653616">
                      <w:marLeft w:val="0"/>
                      <w:marRight w:val="0"/>
                      <w:marTop w:val="120"/>
                      <w:marBottom w:val="0"/>
                      <w:divBdr>
                        <w:top w:val="none" w:sz="0" w:space="0" w:color="auto"/>
                        <w:left w:val="none" w:sz="0" w:space="0" w:color="auto"/>
                        <w:bottom w:val="none" w:sz="0" w:space="0" w:color="auto"/>
                        <w:right w:val="none" w:sz="0" w:space="0" w:color="auto"/>
                      </w:divBdr>
                    </w:div>
                    <w:div w:id="692849445">
                      <w:marLeft w:val="0"/>
                      <w:marRight w:val="0"/>
                      <w:marTop w:val="0"/>
                      <w:marBottom w:val="0"/>
                      <w:divBdr>
                        <w:top w:val="none" w:sz="0" w:space="0" w:color="auto"/>
                        <w:left w:val="none" w:sz="0" w:space="0" w:color="auto"/>
                        <w:bottom w:val="none" w:sz="0" w:space="0" w:color="auto"/>
                        <w:right w:val="none" w:sz="0" w:space="0" w:color="auto"/>
                      </w:divBdr>
                    </w:div>
                  </w:divsChild>
                </w:div>
                <w:div w:id="590745422">
                  <w:marLeft w:val="0"/>
                  <w:marRight w:val="0"/>
                  <w:marTop w:val="0"/>
                  <w:marBottom w:val="0"/>
                  <w:divBdr>
                    <w:top w:val="none" w:sz="0" w:space="0" w:color="auto"/>
                    <w:left w:val="none" w:sz="0" w:space="0" w:color="auto"/>
                    <w:bottom w:val="none" w:sz="0" w:space="0" w:color="auto"/>
                    <w:right w:val="none" w:sz="0" w:space="0" w:color="auto"/>
                  </w:divBdr>
                  <w:divsChild>
                    <w:div w:id="23093758">
                      <w:marLeft w:val="0"/>
                      <w:marRight w:val="0"/>
                      <w:marTop w:val="120"/>
                      <w:marBottom w:val="0"/>
                      <w:divBdr>
                        <w:top w:val="none" w:sz="0" w:space="0" w:color="auto"/>
                        <w:left w:val="none" w:sz="0" w:space="0" w:color="auto"/>
                        <w:bottom w:val="none" w:sz="0" w:space="0" w:color="auto"/>
                        <w:right w:val="none" w:sz="0" w:space="0" w:color="auto"/>
                      </w:divBdr>
                    </w:div>
                    <w:div w:id="2057387033">
                      <w:marLeft w:val="0"/>
                      <w:marRight w:val="0"/>
                      <w:marTop w:val="0"/>
                      <w:marBottom w:val="0"/>
                      <w:divBdr>
                        <w:top w:val="none" w:sz="0" w:space="0" w:color="auto"/>
                        <w:left w:val="none" w:sz="0" w:space="0" w:color="auto"/>
                        <w:bottom w:val="none" w:sz="0" w:space="0" w:color="auto"/>
                        <w:right w:val="none" w:sz="0" w:space="0" w:color="auto"/>
                      </w:divBdr>
                    </w:div>
                  </w:divsChild>
                </w:div>
                <w:div w:id="838468579">
                  <w:marLeft w:val="0"/>
                  <w:marRight w:val="0"/>
                  <w:marTop w:val="0"/>
                  <w:marBottom w:val="0"/>
                  <w:divBdr>
                    <w:top w:val="none" w:sz="0" w:space="0" w:color="auto"/>
                    <w:left w:val="none" w:sz="0" w:space="0" w:color="auto"/>
                    <w:bottom w:val="none" w:sz="0" w:space="0" w:color="auto"/>
                    <w:right w:val="none" w:sz="0" w:space="0" w:color="auto"/>
                  </w:divBdr>
                  <w:divsChild>
                    <w:div w:id="1011417870">
                      <w:marLeft w:val="0"/>
                      <w:marRight w:val="0"/>
                      <w:marTop w:val="0"/>
                      <w:marBottom w:val="0"/>
                      <w:divBdr>
                        <w:top w:val="none" w:sz="0" w:space="0" w:color="auto"/>
                        <w:left w:val="none" w:sz="0" w:space="0" w:color="auto"/>
                        <w:bottom w:val="none" w:sz="0" w:space="0" w:color="auto"/>
                        <w:right w:val="none" w:sz="0" w:space="0" w:color="auto"/>
                      </w:divBdr>
                    </w:div>
                    <w:div w:id="1019624627">
                      <w:marLeft w:val="0"/>
                      <w:marRight w:val="0"/>
                      <w:marTop w:val="120"/>
                      <w:marBottom w:val="0"/>
                      <w:divBdr>
                        <w:top w:val="none" w:sz="0" w:space="0" w:color="auto"/>
                        <w:left w:val="none" w:sz="0" w:space="0" w:color="auto"/>
                        <w:bottom w:val="none" w:sz="0" w:space="0" w:color="auto"/>
                        <w:right w:val="none" w:sz="0" w:space="0" w:color="auto"/>
                      </w:divBdr>
                    </w:div>
                  </w:divsChild>
                </w:div>
                <w:div w:id="1751153900">
                  <w:marLeft w:val="0"/>
                  <w:marRight w:val="0"/>
                  <w:marTop w:val="0"/>
                  <w:marBottom w:val="0"/>
                  <w:divBdr>
                    <w:top w:val="none" w:sz="0" w:space="0" w:color="auto"/>
                    <w:left w:val="none" w:sz="0" w:space="0" w:color="auto"/>
                    <w:bottom w:val="none" w:sz="0" w:space="0" w:color="auto"/>
                    <w:right w:val="none" w:sz="0" w:space="0" w:color="auto"/>
                  </w:divBdr>
                  <w:divsChild>
                    <w:div w:id="726950105">
                      <w:marLeft w:val="0"/>
                      <w:marRight w:val="0"/>
                      <w:marTop w:val="120"/>
                      <w:marBottom w:val="0"/>
                      <w:divBdr>
                        <w:top w:val="none" w:sz="0" w:space="0" w:color="auto"/>
                        <w:left w:val="none" w:sz="0" w:space="0" w:color="auto"/>
                        <w:bottom w:val="none" w:sz="0" w:space="0" w:color="auto"/>
                        <w:right w:val="none" w:sz="0" w:space="0" w:color="auto"/>
                      </w:divBdr>
                    </w:div>
                    <w:div w:id="1274282467">
                      <w:marLeft w:val="0"/>
                      <w:marRight w:val="0"/>
                      <w:marTop w:val="0"/>
                      <w:marBottom w:val="0"/>
                      <w:divBdr>
                        <w:top w:val="none" w:sz="0" w:space="0" w:color="auto"/>
                        <w:left w:val="none" w:sz="0" w:space="0" w:color="auto"/>
                        <w:bottom w:val="none" w:sz="0" w:space="0" w:color="auto"/>
                        <w:right w:val="none" w:sz="0" w:space="0" w:color="auto"/>
                      </w:divBdr>
                      <w:divsChild>
                        <w:div w:id="128591003">
                          <w:marLeft w:val="0"/>
                          <w:marRight w:val="0"/>
                          <w:marTop w:val="0"/>
                          <w:marBottom w:val="0"/>
                          <w:divBdr>
                            <w:top w:val="none" w:sz="0" w:space="0" w:color="auto"/>
                            <w:left w:val="none" w:sz="0" w:space="0" w:color="auto"/>
                            <w:bottom w:val="none" w:sz="0" w:space="0" w:color="auto"/>
                            <w:right w:val="none" w:sz="0" w:space="0" w:color="auto"/>
                          </w:divBdr>
                          <w:divsChild>
                            <w:div w:id="223565977">
                              <w:marLeft w:val="0"/>
                              <w:marRight w:val="0"/>
                              <w:marTop w:val="0"/>
                              <w:marBottom w:val="0"/>
                              <w:divBdr>
                                <w:top w:val="none" w:sz="0" w:space="0" w:color="auto"/>
                                <w:left w:val="none" w:sz="0" w:space="0" w:color="auto"/>
                                <w:bottom w:val="none" w:sz="0" w:space="0" w:color="auto"/>
                                <w:right w:val="none" w:sz="0" w:space="0" w:color="auto"/>
                              </w:divBdr>
                            </w:div>
                            <w:div w:id="1618100105">
                              <w:marLeft w:val="0"/>
                              <w:marRight w:val="0"/>
                              <w:marTop w:val="120"/>
                              <w:marBottom w:val="0"/>
                              <w:divBdr>
                                <w:top w:val="none" w:sz="0" w:space="0" w:color="auto"/>
                                <w:left w:val="none" w:sz="0" w:space="0" w:color="auto"/>
                                <w:bottom w:val="none" w:sz="0" w:space="0" w:color="auto"/>
                                <w:right w:val="none" w:sz="0" w:space="0" w:color="auto"/>
                              </w:divBdr>
                            </w:div>
                          </w:divsChild>
                        </w:div>
                        <w:div w:id="526259178">
                          <w:marLeft w:val="0"/>
                          <w:marRight w:val="0"/>
                          <w:marTop w:val="0"/>
                          <w:marBottom w:val="0"/>
                          <w:divBdr>
                            <w:top w:val="none" w:sz="0" w:space="0" w:color="auto"/>
                            <w:left w:val="none" w:sz="0" w:space="0" w:color="auto"/>
                            <w:bottom w:val="none" w:sz="0" w:space="0" w:color="auto"/>
                            <w:right w:val="none" w:sz="0" w:space="0" w:color="auto"/>
                          </w:divBdr>
                          <w:divsChild>
                            <w:div w:id="1433279970">
                              <w:marLeft w:val="0"/>
                              <w:marRight w:val="0"/>
                              <w:marTop w:val="120"/>
                              <w:marBottom w:val="0"/>
                              <w:divBdr>
                                <w:top w:val="none" w:sz="0" w:space="0" w:color="auto"/>
                                <w:left w:val="none" w:sz="0" w:space="0" w:color="auto"/>
                                <w:bottom w:val="none" w:sz="0" w:space="0" w:color="auto"/>
                                <w:right w:val="none" w:sz="0" w:space="0" w:color="auto"/>
                              </w:divBdr>
                            </w:div>
                            <w:div w:id="1901748708">
                              <w:marLeft w:val="0"/>
                              <w:marRight w:val="0"/>
                              <w:marTop w:val="0"/>
                              <w:marBottom w:val="0"/>
                              <w:divBdr>
                                <w:top w:val="none" w:sz="0" w:space="0" w:color="auto"/>
                                <w:left w:val="none" w:sz="0" w:space="0" w:color="auto"/>
                                <w:bottom w:val="none" w:sz="0" w:space="0" w:color="auto"/>
                                <w:right w:val="none" w:sz="0" w:space="0" w:color="auto"/>
                              </w:divBdr>
                            </w:div>
                          </w:divsChild>
                        </w:div>
                        <w:div w:id="995186269">
                          <w:marLeft w:val="0"/>
                          <w:marRight w:val="0"/>
                          <w:marTop w:val="0"/>
                          <w:marBottom w:val="0"/>
                          <w:divBdr>
                            <w:top w:val="none" w:sz="0" w:space="0" w:color="auto"/>
                            <w:left w:val="none" w:sz="0" w:space="0" w:color="auto"/>
                            <w:bottom w:val="none" w:sz="0" w:space="0" w:color="auto"/>
                            <w:right w:val="none" w:sz="0" w:space="0" w:color="auto"/>
                          </w:divBdr>
                          <w:divsChild>
                            <w:div w:id="174274258">
                              <w:marLeft w:val="0"/>
                              <w:marRight w:val="0"/>
                              <w:marTop w:val="0"/>
                              <w:marBottom w:val="0"/>
                              <w:divBdr>
                                <w:top w:val="none" w:sz="0" w:space="0" w:color="auto"/>
                                <w:left w:val="none" w:sz="0" w:space="0" w:color="auto"/>
                                <w:bottom w:val="none" w:sz="0" w:space="0" w:color="auto"/>
                                <w:right w:val="none" w:sz="0" w:space="0" w:color="auto"/>
                              </w:divBdr>
                            </w:div>
                            <w:div w:id="287391672">
                              <w:marLeft w:val="0"/>
                              <w:marRight w:val="0"/>
                              <w:marTop w:val="120"/>
                              <w:marBottom w:val="0"/>
                              <w:divBdr>
                                <w:top w:val="none" w:sz="0" w:space="0" w:color="auto"/>
                                <w:left w:val="none" w:sz="0" w:space="0" w:color="auto"/>
                                <w:bottom w:val="none" w:sz="0" w:space="0" w:color="auto"/>
                                <w:right w:val="none" w:sz="0" w:space="0" w:color="auto"/>
                              </w:divBdr>
                            </w:div>
                          </w:divsChild>
                        </w:div>
                        <w:div w:id="1135023856">
                          <w:marLeft w:val="0"/>
                          <w:marRight w:val="0"/>
                          <w:marTop w:val="0"/>
                          <w:marBottom w:val="0"/>
                          <w:divBdr>
                            <w:top w:val="none" w:sz="0" w:space="0" w:color="auto"/>
                            <w:left w:val="none" w:sz="0" w:space="0" w:color="auto"/>
                            <w:bottom w:val="none" w:sz="0" w:space="0" w:color="auto"/>
                            <w:right w:val="none" w:sz="0" w:space="0" w:color="auto"/>
                          </w:divBdr>
                          <w:divsChild>
                            <w:div w:id="113133034">
                              <w:marLeft w:val="0"/>
                              <w:marRight w:val="0"/>
                              <w:marTop w:val="0"/>
                              <w:marBottom w:val="0"/>
                              <w:divBdr>
                                <w:top w:val="none" w:sz="0" w:space="0" w:color="auto"/>
                                <w:left w:val="none" w:sz="0" w:space="0" w:color="auto"/>
                                <w:bottom w:val="none" w:sz="0" w:space="0" w:color="auto"/>
                                <w:right w:val="none" w:sz="0" w:space="0" w:color="auto"/>
                              </w:divBdr>
                            </w:div>
                            <w:div w:id="2146777049">
                              <w:marLeft w:val="0"/>
                              <w:marRight w:val="0"/>
                              <w:marTop w:val="120"/>
                              <w:marBottom w:val="0"/>
                              <w:divBdr>
                                <w:top w:val="none" w:sz="0" w:space="0" w:color="auto"/>
                                <w:left w:val="none" w:sz="0" w:space="0" w:color="auto"/>
                                <w:bottom w:val="none" w:sz="0" w:space="0" w:color="auto"/>
                                <w:right w:val="none" w:sz="0" w:space="0" w:color="auto"/>
                              </w:divBdr>
                            </w:div>
                          </w:divsChild>
                        </w:div>
                        <w:div w:id="1281959465">
                          <w:marLeft w:val="0"/>
                          <w:marRight w:val="0"/>
                          <w:marTop w:val="0"/>
                          <w:marBottom w:val="0"/>
                          <w:divBdr>
                            <w:top w:val="none" w:sz="0" w:space="0" w:color="auto"/>
                            <w:left w:val="none" w:sz="0" w:space="0" w:color="auto"/>
                            <w:bottom w:val="none" w:sz="0" w:space="0" w:color="auto"/>
                            <w:right w:val="none" w:sz="0" w:space="0" w:color="auto"/>
                          </w:divBdr>
                          <w:divsChild>
                            <w:div w:id="82335171">
                              <w:marLeft w:val="0"/>
                              <w:marRight w:val="0"/>
                              <w:marTop w:val="120"/>
                              <w:marBottom w:val="0"/>
                              <w:divBdr>
                                <w:top w:val="none" w:sz="0" w:space="0" w:color="auto"/>
                                <w:left w:val="none" w:sz="0" w:space="0" w:color="auto"/>
                                <w:bottom w:val="none" w:sz="0" w:space="0" w:color="auto"/>
                                <w:right w:val="none" w:sz="0" w:space="0" w:color="auto"/>
                              </w:divBdr>
                            </w:div>
                            <w:div w:id="1288587621">
                              <w:marLeft w:val="0"/>
                              <w:marRight w:val="0"/>
                              <w:marTop w:val="0"/>
                              <w:marBottom w:val="0"/>
                              <w:divBdr>
                                <w:top w:val="none" w:sz="0" w:space="0" w:color="auto"/>
                                <w:left w:val="none" w:sz="0" w:space="0" w:color="auto"/>
                                <w:bottom w:val="none" w:sz="0" w:space="0" w:color="auto"/>
                                <w:right w:val="none" w:sz="0" w:space="0" w:color="auto"/>
                              </w:divBdr>
                            </w:div>
                          </w:divsChild>
                        </w:div>
                        <w:div w:id="1989242196">
                          <w:marLeft w:val="0"/>
                          <w:marRight w:val="0"/>
                          <w:marTop w:val="0"/>
                          <w:marBottom w:val="0"/>
                          <w:divBdr>
                            <w:top w:val="none" w:sz="0" w:space="0" w:color="auto"/>
                            <w:left w:val="none" w:sz="0" w:space="0" w:color="auto"/>
                            <w:bottom w:val="none" w:sz="0" w:space="0" w:color="auto"/>
                            <w:right w:val="none" w:sz="0" w:space="0" w:color="auto"/>
                          </w:divBdr>
                          <w:divsChild>
                            <w:div w:id="61148710">
                              <w:marLeft w:val="0"/>
                              <w:marRight w:val="0"/>
                              <w:marTop w:val="120"/>
                              <w:marBottom w:val="0"/>
                              <w:divBdr>
                                <w:top w:val="none" w:sz="0" w:space="0" w:color="auto"/>
                                <w:left w:val="none" w:sz="0" w:space="0" w:color="auto"/>
                                <w:bottom w:val="none" w:sz="0" w:space="0" w:color="auto"/>
                                <w:right w:val="none" w:sz="0" w:space="0" w:color="auto"/>
                              </w:divBdr>
                            </w:div>
                            <w:div w:id="13533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450977">
          <w:marLeft w:val="0"/>
          <w:marRight w:val="0"/>
          <w:marTop w:val="0"/>
          <w:marBottom w:val="0"/>
          <w:divBdr>
            <w:top w:val="none" w:sz="0" w:space="0" w:color="auto"/>
            <w:left w:val="none" w:sz="0" w:space="0" w:color="auto"/>
            <w:bottom w:val="none" w:sz="0" w:space="0" w:color="auto"/>
            <w:right w:val="none" w:sz="0" w:space="0" w:color="auto"/>
          </w:divBdr>
          <w:divsChild>
            <w:div w:id="4337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89622">
      <w:bodyDiv w:val="1"/>
      <w:marLeft w:val="0"/>
      <w:marRight w:val="0"/>
      <w:marTop w:val="0"/>
      <w:marBottom w:val="0"/>
      <w:divBdr>
        <w:top w:val="none" w:sz="0" w:space="0" w:color="auto"/>
        <w:left w:val="none" w:sz="0" w:space="0" w:color="auto"/>
        <w:bottom w:val="none" w:sz="0" w:space="0" w:color="auto"/>
        <w:right w:val="none" w:sz="0" w:space="0" w:color="auto"/>
      </w:divBdr>
    </w:div>
    <w:div w:id="1829785145">
      <w:bodyDiv w:val="1"/>
      <w:marLeft w:val="0"/>
      <w:marRight w:val="0"/>
      <w:marTop w:val="0"/>
      <w:marBottom w:val="0"/>
      <w:divBdr>
        <w:top w:val="none" w:sz="0" w:space="0" w:color="auto"/>
        <w:left w:val="none" w:sz="0" w:space="0" w:color="auto"/>
        <w:bottom w:val="none" w:sz="0" w:space="0" w:color="auto"/>
        <w:right w:val="none" w:sz="0" w:space="0" w:color="auto"/>
      </w:divBdr>
      <w:divsChild>
        <w:div w:id="79059877">
          <w:marLeft w:val="0"/>
          <w:marRight w:val="0"/>
          <w:marTop w:val="0"/>
          <w:marBottom w:val="0"/>
          <w:divBdr>
            <w:top w:val="none" w:sz="0" w:space="0" w:color="auto"/>
            <w:left w:val="none" w:sz="0" w:space="0" w:color="auto"/>
            <w:bottom w:val="none" w:sz="0" w:space="0" w:color="auto"/>
            <w:right w:val="none" w:sz="0" w:space="0" w:color="auto"/>
          </w:divBdr>
          <w:divsChild>
            <w:div w:id="982081138">
              <w:marLeft w:val="0"/>
              <w:marRight w:val="0"/>
              <w:marTop w:val="120"/>
              <w:marBottom w:val="0"/>
              <w:divBdr>
                <w:top w:val="none" w:sz="0" w:space="0" w:color="auto"/>
                <w:left w:val="none" w:sz="0" w:space="0" w:color="auto"/>
                <w:bottom w:val="none" w:sz="0" w:space="0" w:color="auto"/>
                <w:right w:val="none" w:sz="0" w:space="0" w:color="auto"/>
              </w:divBdr>
            </w:div>
            <w:div w:id="1642612771">
              <w:marLeft w:val="0"/>
              <w:marRight w:val="0"/>
              <w:marTop w:val="0"/>
              <w:marBottom w:val="0"/>
              <w:divBdr>
                <w:top w:val="none" w:sz="0" w:space="0" w:color="auto"/>
                <w:left w:val="none" w:sz="0" w:space="0" w:color="auto"/>
                <w:bottom w:val="none" w:sz="0" w:space="0" w:color="auto"/>
                <w:right w:val="none" w:sz="0" w:space="0" w:color="auto"/>
              </w:divBdr>
            </w:div>
          </w:divsChild>
        </w:div>
        <w:div w:id="1021007553">
          <w:marLeft w:val="0"/>
          <w:marRight w:val="0"/>
          <w:marTop w:val="0"/>
          <w:marBottom w:val="0"/>
          <w:divBdr>
            <w:top w:val="none" w:sz="0" w:space="0" w:color="auto"/>
            <w:left w:val="none" w:sz="0" w:space="0" w:color="auto"/>
            <w:bottom w:val="none" w:sz="0" w:space="0" w:color="auto"/>
            <w:right w:val="none" w:sz="0" w:space="0" w:color="auto"/>
          </w:divBdr>
          <w:divsChild>
            <w:div w:id="83456827">
              <w:marLeft w:val="0"/>
              <w:marRight w:val="0"/>
              <w:marTop w:val="0"/>
              <w:marBottom w:val="0"/>
              <w:divBdr>
                <w:top w:val="none" w:sz="0" w:space="0" w:color="auto"/>
                <w:left w:val="none" w:sz="0" w:space="0" w:color="auto"/>
                <w:bottom w:val="none" w:sz="0" w:space="0" w:color="auto"/>
                <w:right w:val="none" w:sz="0" w:space="0" w:color="auto"/>
              </w:divBdr>
            </w:div>
            <w:div w:id="292830706">
              <w:marLeft w:val="0"/>
              <w:marRight w:val="0"/>
              <w:marTop w:val="120"/>
              <w:marBottom w:val="0"/>
              <w:divBdr>
                <w:top w:val="none" w:sz="0" w:space="0" w:color="auto"/>
                <w:left w:val="none" w:sz="0" w:space="0" w:color="auto"/>
                <w:bottom w:val="none" w:sz="0" w:space="0" w:color="auto"/>
                <w:right w:val="none" w:sz="0" w:space="0" w:color="auto"/>
              </w:divBdr>
            </w:div>
          </w:divsChild>
        </w:div>
        <w:div w:id="1834954301">
          <w:marLeft w:val="0"/>
          <w:marRight w:val="0"/>
          <w:marTop w:val="0"/>
          <w:marBottom w:val="0"/>
          <w:divBdr>
            <w:top w:val="none" w:sz="0" w:space="0" w:color="auto"/>
            <w:left w:val="none" w:sz="0" w:space="0" w:color="auto"/>
            <w:bottom w:val="none" w:sz="0" w:space="0" w:color="auto"/>
            <w:right w:val="none" w:sz="0" w:space="0" w:color="auto"/>
          </w:divBdr>
          <w:divsChild>
            <w:div w:id="1937784886">
              <w:marLeft w:val="0"/>
              <w:marRight w:val="0"/>
              <w:marTop w:val="0"/>
              <w:marBottom w:val="0"/>
              <w:divBdr>
                <w:top w:val="none" w:sz="0" w:space="0" w:color="auto"/>
                <w:left w:val="none" w:sz="0" w:space="0" w:color="auto"/>
                <w:bottom w:val="none" w:sz="0" w:space="0" w:color="auto"/>
                <w:right w:val="none" w:sz="0" w:space="0" w:color="auto"/>
              </w:divBdr>
            </w:div>
            <w:div w:id="20288715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6609524">
      <w:bodyDiv w:val="1"/>
      <w:marLeft w:val="0"/>
      <w:marRight w:val="0"/>
      <w:marTop w:val="0"/>
      <w:marBottom w:val="0"/>
      <w:divBdr>
        <w:top w:val="none" w:sz="0" w:space="0" w:color="auto"/>
        <w:left w:val="none" w:sz="0" w:space="0" w:color="auto"/>
        <w:bottom w:val="none" w:sz="0" w:space="0" w:color="auto"/>
        <w:right w:val="none" w:sz="0" w:space="0" w:color="auto"/>
      </w:divBdr>
    </w:div>
    <w:div w:id="1845709254">
      <w:bodyDiv w:val="1"/>
      <w:marLeft w:val="0"/>
      <w:marRight w:val="0"/>
      <w:marTop w:val="0"/>
      <w:marBottom w:val="0"/>
      <w:divBdr>
        <w:top w:val="none" w:sz="0" w:space="0" w:color="auto"/>
        <w:left w:val="none" w:sz="0" w:space="0" w:color="auto"/>
        <w:bottom w:val="none" w:sz="0" w:space="0" w:color="auto"/>
        <w:right w:val="none" w:sz="0" w:space="0" w:color="auto"/>
      </w:divBdr>
    </w:div>
    <w:div w:id="1848250035">
      <w:bodyDiv w:val="1"/>
      <w:marLeft w:val="0"/>
      <w:marRight w:val="0"/>
      <w:marTop w:val="0"/>
      <w:marBottom w:val="0"/>
      <w:divBdr>
        <w:top w:val="none" w:sz="0" w:space="0" w:color="auto"/>
        <w:left w:val="none" w:sz="0" w:space="0" w:color="auto"/>
        <w:bottom w:val="none" w:sz="0" w:space="0" w:color="auto"/>
        <w:right w:val="none" w:sz="0" w:space="0" w:color="auto"/>
      </w:divBdr>
      <w:divsChild>
        <w:div w:id="1942057692">
          <w:marLeft w:val="0"/>
          <w:marRight w:val="0"/>
          <w:marTop w:val="120"/>
          <w:marBottom w:val="0"/>
          <w:divBdr>
            <w:top w:val="none" w:sz="0" w:space="0" w:color="auto"/>
            <w:left w:val="none" w:sz="0" w:space="0" w:color="auto"/>
            <w:bottom w:val="none" w:sz="0" w:space="0" w:color="auto"/>
            <w:right w:val="none" w:sz="0" w:space="0" w:color="auto"/>
          </w:divBdr>
        </w:div>
        <w:div w:id="2036151813">
          <w:marLeft w:val="0"/>
          <w:marRight w:val="0"/>
          <w:marTop w:val="0"/>
          <w:marBottom w:val="0"/>
          <w:divBdr>
            <w:top w:val="none" w:sz="0" w:space="0" w:color="auto"/>
            <w:left w:val="none" w:sz="0" w:space="0" w:color="auto"/>
            <w:bottom w:val="none" w:sz="0" w:space="0" w:color="auto"/>
            <w:right w:val="none" w:sz="0" w:space="0" w:color="auto"/>
          </w:divBdr>
          <w:divsChild>
            <w:div w:id="70393985">
              <w:marLeft w:val="0"/>
              <w:marRight w:val="0"/>
              <w:marTop w:val="0"/>
              <w:marBottom w:val="0"/>
              <w:divBdr>
                <w:top w:val="none" w:sz="0" w:space="0" w:color="auto"/>
                <w:left w:val="none" w:sz="0" w:space="0" w:color="auto"/>
                <w:bottom w:val="none" w:sz="0" w:space="0" w:color="auto"/>
                <w:right w:val="none" w:sz="0" w:space="0" w:color="auto"/>
              </w:divBdr>
              <w:divsChild>
                <w:div w:id="953243852">
                  <w:marLeft w:val="0"/>
                  <w:marRight w:val="0"/>
                  <w:marTop w:val="120"/>
                  <w:marBottom w:val="0"/>
                  <w:divBdr>
                    <w:top w:val="none" w:sz="0" w:space="0" w:color="auto"/>
                    <w:left w:val="none" w:sz="0" w:space="0" w:color="auto"/>
                    <w:bottom w:val="none" w:sz="0" w:space="0" w:color="auto"/>
                    <w:right w:val="none" w:sz="0" w:space="0" w:color="auto"/>
                  </w:divBdr>
                </w:div>
                <w:div w:id="1054890240">
                  <w:marLeft w:val="0"/>
                  <w:marRight w:val="0"/>
                  <w:marTop w:val="0"/>
                  <w:marBottom w:val="0"/>
                  <w:divBdr>
                    <w:top w:val="none" w:sz="0" w:space="0" w:color="auto"/>
                    <w:left w:val="none" w:sz="0" w:space="0" w:color="auto"/>
                    <w:bottom w:val="none" w:sz="0" w:space="0" w:color="auto"/>
                    <w:right w:val="none" w:sz="0" w:space="0" w:color="auto"/>
                  </w:divBdr>
                </w:div>
              </w:divsChild>
            </w:div>
            <w:div w:id="811412084">
              <w:marLeft w:val="0"/>
              <w:marRight w:val="0"/>
              <w:marTop w:val="0"/>
              <w:marBottom w:val="0"/>
              <w:divBdr>
                <w:top w:val="none" w:sz="0" w:space="0" w:color="auto"/>
                <w:left w:val="none" w:sz="0" w:space="0" w:color="auto"/>
                <w:bottom w:val="none" w:sz="0" w:space="0" w:color="auto"/>
                <w:right w:val="none" w:sz="0" w:space="0" w:color="auto"/>
              </w:divBdr>
              <w:divsChild>
                <w:div w:id="20785041">
                  <w:marLeft w:val="0"/>
                  <w:marRight w:val="0"/>
                  <w:marTop w:val="120"/>
                  <w:marBottom w:val="0"/>
                  <w:divBdr>
                    <w:top w:val="none" w:sz="0" w:space="0" w:color="auto"/>
                    <w:left w:val="none" w:sz="0" w:space="0" w:color="auto"/>
                    <w:bottom w:val="none" w:sz="0" w:space="0" w:color="auto"/>
                    <w:right w:val="none" w:sz="0" w:space="0" w:color="auto"/>
                  </w:divBdr>
                </w:div>
                <w:div w:id="1719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06491">
      <w:bodyDiv w:val="1"/>
      <w:marLeft w:val="0"/>
      <w:marRight w:val="0"/>
      <w:marTop w:val="0"/>
      <w:marBottom w:val="0"/>
      <w:divBdr>
        <w:top w:val="none" w:sz="0" w:space="0" w:color="auto"/>
        <w:left w:val="none" w:sz="0" w:space="0" w:color="auto"/>
        <w:bottom w:val="none" w:sz="0" w:space="0" w:color="auto"/>
        <w:right w:val="none" w:sz="0" w:space="0" w:color="auto"/>
      </w:divBdr>
      <w:divsChild>
        <w:div w:id="884948182">
          <w:marLeft w:val="0"/>
          <w:marRight w:val="0"/>
          <w:marTop w:val="0"/>
          <w:marBottom w:val="0"/>
          <w:divBdr>
            <w:top w:val="none" w:sz="0" w:space="0" w:color="auto"/>
            <w:left w:val="none" w:sz="0" w:space="0" w:color="auto"/>
            <w:bottom w:val="none" w:sz="0" w:space="0" w:color="auto"/>
            <w:right w:val="none" w:sz="0" w:space="0" w:color="auto"/>
          </w:divBdr>
        </w:div>
      </w:divsChild>
    </w:div>
    <w:div w:id="1861819460">
      <w:bodyDiv w:val="1"/>
      <w:marLeft w:val="0"/>
      <w:marRight w:val="0"/>
      <w:marTop w:val="0"/>
      <w:marBottom w:val="0"/>
      <w:divBdr>
        <w:top w:val="none" w:sz="0" w:space="0" w:color="auto"/>
        <w:left w:val="none" w:sz="0" w:space="0" w:color="auto"/>
        <w:bottom w:val="none" w:sz="0" w:space="0" w:color="auto"/>
        <w:right w:val="none" w:sz="0" w:space="0" w:color="auto"/>
      </w:divBdr>
    </w:div>
    <w:div w:id="1872301091">
      <w:bodyDiv w:val="1"/>
      <w:marLeft w:val="0"/>
      <w:marRight w:val="0"/>
      <w:marTop w:val="0"/>
      <w:marBottom w:val="0"/>
      <w:divBdr>
        <w:top w:val="none" w:sz="0" w:space="0" w:color="auto"/>
        <w:left w:val="none" w:sz="0" w:space="0" w:color="auto"/>
        <w:bottom w:val="none" w:sz="0" w:space="0" w:color="auto"/>
        <w:right w:val="none" w:sz="0" w:space="0" w:color="auto"/>
      </w:divBdr>
      <w:divsChild>
        <w:div w:id="430206173">
          <w:marLeft w:val="0"/>
          <w:marRight w:val="0"/>
          <w:marTop w:val="0"/>
          <w:marBottom w:val="0"/>
          <w:divBdr>
            <w:top w:val="none" w:sz="0" w:space="0" w:color="auto"/>
            <w:left w:val="none" w:sz="0" w:space="0" w:color="auto"/>
            <w:bottom w:val="none" w:sz="0" w:space="0" w:color="auto"/>
            <w:right w:val="none" w:sz="0" w:space="0" w:color="auto"/>
          </w:divBdr>
        </w:div>
      </w:divsChild>
    </w:div>
    <w:div w:id="1874613821">
      <w:bodyDiv w:val="1"/>
      <w:marLeft w:val="0"/>
      <w:marRight w:val="0"/>
      <w:marTop w:val="0"/>
      <w:marBottom w:val="0"/>
      <w:divBdr>
        <w:top w:val="none" w:sz="0" w:space="0" w:color="auto"/>
        <w:left w:val="none" w:sz="0" w:space="0" w:color="auto"/>
        <w:bottom w:val="none" w:sz="0" w:space="0" w:color="auto"/>
        <w:right w:val="none" w:sz="0" w:space="0" w:color="auto"/>
      </w:divBdr>
    </w:div>
    <w:div w:id="1874880916">
      <w:bodyDiv w:val="1"/>
      <w:marLeft w:val="0"/>
      <w:marRight w:val="0"/>
      <w:marTop w:val="0"/>
      <w:marBottom w:val="0"/>
      <w:divBdr>
        <w:top w:val="none" w:sz="0" w:space="0" w:color="auto"/>
        <w:left w:val="none" w:sz="0" w:space="0" w:color="auto"/>
        <w:bottom w:val="none" w:sz="0" w:space="0" w:color="auto"/>
        <w:right w:val="none" w:sz="0" w:space="0" w:color="auto"/>
      </w:divBdr>
      <w:divsChild>
        <w:div w:id="640501606">
          <w:marLeft w:val="0"/>
          <w:marRight w:val="0"/>
          <w:marTop w:val="0"/>
          <w:marBottom w:val="0"/>
          <w:divBdr>
            <w:top w:val="none" w:sz="0" w:space="0" w:color="auto"/>
            <w:left w:val="none" w:sz="0" w:space="0" w:color="auto"/>
            <w:bottom w:val="none" w:sz="0" w:space="0" w:color="auto"/>
            <w:right w:val="none" w:sz="0" w:space="0" w:color="auto"/>
          </w:divBdr>
          <w:divsChild>
            <w:div w:id="519128890">
              <w:marLeft w:val="0"/>
              <w:marRight w:val="0"/>
              <w:marTop w:val="0"/>
              <w:marBottom w:val="0"/>
              <w:divBdr>
                <w:top w:val="none" w:sz="0" w:space="0" w:color="auto"/>
                <w:left w:val="none" w:sz="0" w:space="0" w:color="auto"/>
                <w:bottom w:val="none" w:sz="0" w:space="0" w:color="auto"/>
                <w:right w:val="none" w:sz="0" w:space="0" w:color="auto"/>
              </w:divBdr>
              <w:divsChild>
                <w:div w:id="324239280">
                  <w:marLeft w:val="0"/>
                  <w:marRight w:val="0"/>
                  <w:marTop w:val="0"/>
                  <w:marBottom w:val="0"/>
                  <w:divBdr>
                    <w:top w:val="none" w:sz="0" w:space="0" w:color="auto"/>
                    <w:left w:val="none" w:sz="0" w:space="0" w:color="auto"/>
                    <w:bottom w:val="none" w:sz="0" w:space="0" w:color="auto"/>
                    <w:right w:val="none" w:sz="0" w:space="0" w:color="auto"/>
                  </w:divBdr>
                  <w:divsChild>
                    <w:div w:id="20910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8905">
          <w:marLeft w:val="0"/>
          <w:marRight w:val="0"/>
          <w:marTop w:val="0"/>
          <w:marBottom w:val="0"/>
          <w:divBdr>
            <w:top w:val="none" w:sz="0" w:space="0" w:color="auto"/>
            <w:left w:val="none" w:sz="0" w:space="0" w:color="auto"/>
            <w:bottom w:val="none" w:sz="0" w:space="0" w:color="auto"/>
            <w:right w:val="none" w:sz="0" w:space="0" w:color="auto"/>
          </w:divBdr>
          <w:divsChild>
            <w:div w:id="83029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319">
      <w:bodyDiv w:val="1"/>
      <w:marLeft w:val="0"/>
      <w:marRight w:val="0"/>
      <w:marTop w:val="0"/>
      <w:marBottom w:val="0"/>
      <w:divBdr>
        <w:top w:val="none" w:sz="0" w:space="0" w:color="auto"/>
        <w:left w:val="none" w:sz="0" w:space="0" w:color="auto"/>
        <w:bottom w:val="none" w:sz="0" w:space="0" w:color="auto"/>
        <w:right w:val="none" w:sz="0" w:space="0" w:color="auto"/>
      </w:divBdr>
      <w:divsChild>
        <w:div w:id="315183809">
          <w:marLeft w:val="0"/>
          <w:marRight w:val="0"/>
          <w:marTop w:val="0"/>
          <w:marBottom w:val="0"/>
          <w:divBdr>
            <w:top w:val="none" w:sz="0" w:space="0" w:color="auto"/>
            <w:left w:val="none" w:sz="0" w:space="0" w:color="auto"/>
            <w:bottom w:val="none" w:sz="0" w:space="0" w:color="auto"/>
            <w:right w:val="none" w:sz="0" w:space="0" w:color="auto"/>
          </w:divBdr>
          <w:divsChild>
            <w:div w:id="158926081">
              <w:marLeft w:val="0"/>
              <w:marRight w:val="0"/>
              <w:marTop w:val="0"/>
              <w:marBottom w:val="0"/>
              <w:divBdr>
                <w:top w:val="none" w:sz="0" w:space="0" w:color="auto"/>
                <w:left w:val="none" w:sz="0" w:space="0" w:color="auto"/>
                <w:bottom w:val="none" w:sz="0" w:space="0" w:color="auto"/>
                <w:right w:val="none" w:sz="0" w:space="0" w:color="auto"/>
              </w:divBdr>
            </w:div>
          </w:divsChild>
        </w:div>
        <w:div w:id="753556193">
          <w:marLeft w:val="0"/>
          <w:marRight w:val="0"/>
          <w:marTop w:val="0"/>
          <w:marBottom w:val="0"/>
          <w:divBdr>
            <w:top w:val="none" w:sz="0" w:space="0" w:color="auto"/>
            <w:left w:val="none" w:sz="0" w:space="0" w:color="auto"/>
            <w:bottom w:val="none" w:sz="0" w:space="0" w:color="auto"/>
            <w:right w:val="none" w:sz="0" w:space="0" w:color="auto"/>
          </w:divBdr>
          <w:divsChild>
            <w:div w:id="1909992876">
              <w:marLeft w:val="0"/>
              <w:marRight w:val="0"/>
              <w:marTop w:val="0"/>
              <w:marBottom w:val="0"/>
              <w:divBdr>
                <w:top w:val="none" w:sz="0" w:space="0" w:color="auto"/>
                <w:left w:val="none" w:sz="0" w:space="0" w:color="auto"/>
                <w:bottom w:val="none" w:sz="0" w:space="0" w:color="auto"/>
                <w:right w:val="none" w:sz="0" w:space="0" w:color="auto"/>
              </w:divBdr>
              <w:divsChild>
                <w:div w:id="1069109538">
                  <w:marLeft w:val="0"/>
                  <w:marRight w:val="0"/>
                  <w:marTop w:val="0"/>
                  <w:marBottom w:val="0"/>
                  <w:divBdr>
                    <w:top w:val="none" w:sz="0" w:space="0" w:color="auto"/>
                    <w:left w:val="none" w:sz="0" w:space="0" w:color="auto"/>
                    <w:bottom w:val="none" w:sz="0" w:space="0" w:color="auto"/>
                    <w:right w:val="none" w:sz="0" w:space="0" w:color="auto"/>
                  </w:divBdr>
                  <w:divsChild>
                    <w:div w:id="1250197049">
                      <w:marLeft w:val="0"/>
                      <w:marRight w:val="0"/>
                      <w:marTop w:val="120"/>
                      <w:marBottom w:val="0"/>
                      <w:divBdr>
                        <w:top w:val="none" w:sz="0" w:space="0" w:color="auto"/>
                        <w:left w:val="none" w:sz="0" w:space="0" w:color="auto"/>
                        <w:bottom w:val="none" w:sz="0" w:space="0" w:color="auto"/>
                        <w:right w:val="none" w:sz="0" w:space="0" w:color="auto"/>
                      </w:divBdr>
                    </w:div>
                    <w:div w:id="1859002045">
                      <w:marLeft w:val="0"/>
                      <w:marRight w:val="0"/>
                      <w:marTop w:val="0"/>
                      <w:marBottom w:val="0"/>
                      <w:divBdr>
                        <w:top w:val="none" w:sz="0" w:space="0" w:color="auto"/>
                        <w:left w:val="none" w:sz="0" w:space="0" w:color="auto"/>
                        <w:bottom w:val="none" w:sz="0" w:space="0" w:color="auto"/>
                        <w:right w:val="none" w:sz="0" w:space="0" w:color="auto"/>
                      </w:divBdr>
                    </w:div>
                  </w:divsChild>
                </w:div>
                <w:div w:id="1187475993">
                  <w:marLeft w:val="0"/>
                  <w:marRight w:val="0"/>
                  <w:marTop w:val="0"/>
                  <w:marBottom w:val="0"/>
                  <w:divBdr>
                    <w:top w:val="none" w:sz="0" w:space="0" w:color="auto"/>
                    <w:left w:val="none" w:sz="0" w:space="0" w:color="auto"/>
                    <w:bottom w:val="none" w:sz="0" w:space="0" w:color="auto"/>
                    <w:right w:val="none" w:sz="0" w:space="0" w:color="auto"/>
                  </w:divBdr>
                  <w:divsChild>
                    <w:div w:id="247884062">
                      <w:marLeft w:val="0"/>
                      <w:marRight w:val="0"/>
                      <w:marTop w:val="0"/>
                      <w:marBottom w:val="0"/>
                      <w:divBdr>
                        <w:top w:val="none" w:sz="0" w:space="0" w:color="auto"/>
                        <w:left w:val="none" w:sz="0" w:space="0" w:color="auto"/>
                        <w:bottom w:val="none" w:sz="0" w:space="0" w:color="auto"/>
                        <w:right w:val="none" w:sz="0" w:space="0" w:color="auto"/>
                      </w:divBdr>
                    </w:div>
                    <w:div w:id="975719073">
                      <w:marLeft w:val="0"/>
                      <w:marRight w:val="0"/>
                      <w:marTop w:val="120"/>
                      <w:marBottom w:val="0"/>
                      <w:divBdr>
                        <w:top w:val="none" w:sz="0" w:space="0" w:color="auto"/>
                        <w:left w:val="none" w:sz="0" w:space="0" w:color="auto"/>
                        <w:bottom w:val="none" w:sz="0" w:space="0" w:color="auto"/>
                        <w:right w:val="none" w:sz="0" w:space="0" w:color="auto"/>
                      </w:divBdr>
                    </w:div>
                  </w:divsChild>
                </w:div>
                <w:div w:id="1422946672">
                  <w:marLeft w:val="0"/>
                  <w:marRight w:val="0"/>
                  <w:marTop w:val="0"/>
                  <w:marBottom w:val="0"/>
                  <w:divBdr>
                    <w:top w:val="none" w:sz="0" w:space="0" w:color="auto"/>
                    <w:left w:val="none" w:sz="0" w:space="0" w:color="auto"/>
                    <w:bottom w:val="none" w:sz="0" w:space="0" w:color="auto"/>
                    <w:right w:val="none" w:sz="0" w:space="0" w:color="auto"/>
                  </w:divBdr>
                  <w:divsChild>
                    <w:div w:id="348870337">
                      <w:marLeft w:val="0"/>
                      <w:marRight w:val="0"/>
                      <w:marTop w:val="0"/>
                      <w:marBottom w:val="0"/>
                      <w:divBdr>
                        <w:top w:val="none" w:sz="0" w:space="0" w:color="auto"/>
                        <w:left w:val="none" w:sz="0" w:space="0" w:color="auto"/>
                        <w:bottom w:val="none" w:sz="0" w:space="0" w:color="auto"/>
                        <w:right w:val="none" w:sz="0" w:space="0" w:color="auto"/>
                      </w:divBdr>
                    </w:div>
                    <w:div w:id="940458756">
                      <w:marLeft w:val="0"/>
                      <w:marRight w:val="0"/>
                      <w:marTop w:val="120"/>
                      <w:marBottom w:val="0"/>
                      <w:divBdr>
                        <w:top w:val="none" w:sz="0" w:space="0" w:color="auto"/>
                        <w:left w:val="none" w:sz="0" w:space="0" w:color="auto"/>
                        <w:bottom w:val="none" w:sz="0" w:space="0" w:color="auto"/>
                        <w:right w:val="none" w:sz="0" w:space="0" w:color="auto"/>
                      </w:divBdr>
                    </w:div>
                  </w:divsChild>
                </w:div>
                <w:div w:id="1956062619">
                  <w:marLeft w:val="0"/>
                  <w:marRight w:val="0"/>
                  <w:marTop w:val="0"/>
                  <w:marBottom w:val="0"/>
                  <w:divBdr>
                    <w:top w:val="none" w:sz="0" w:space="0" w:color="auto"/>
                    <w:left w:val="none" w:sz="0" w:space="0" w:color="auto"/>
                    <w:bottom w:val="none" w:sz="0" w:space="0" w:color="auto"/>
                    <w:right w:val="none" w:sz="0" w:space="0" w:color="auto"/>
                  </w:divBdr>
                  <w:divsChild>
                    <w:div w:id="75132655">
                      <w:marLeft w:val="0"/>
                      <w:marRight w:val="0"/>
                      <w:marTop w:val="0"/>
                      <w:marBottom w:val="0"/>
                      <w:divBdr>
                        <w:top w:val="none" w:sz="0" w:space="0" w:color="auto"/>
                        <w:left w:val="none" w:sz="0" w:space="0" w:color="auto"/>
                        <w:bottom w:val="none" w:sz="0" w:space="0" w:color="auto"/>
                        <w:right w:val="none" w:sz="0" w:space="0" w:color="auto"/>
                      </w:divBdr>
                    </w:div>
                    <w:div w:id="13486743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90355274">
          <w:marLeft w:val="0"/>
          <w:marRight w:val="0"/>
          <w:marTop w:val="0"/>
          <w:marBottom w:val="0"/>
          <w:divBdr>
            <w:top w:val="none" w:sz="0" w:space="0" w:color="auto"/>
            <w:left w:val="none" w:sz="0" w:space="0" w:color="auto"/>
            <w:bottom w:val="none" w:sz="0" w:space="0" w:color="auto"/>
            <w:right w:val="none" w:sz="0" w:space="0" w:color="auto"/>
          </w:divBdr>
          <w:divsChild>
            <w:div w:id="1189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4282">
      <w:bodyDiv w:val="1"/>
      <w:marLeft w:val="0"/>
      <w:marRight w:val="0"/>
      <w:marTop w:val="0"/>
      <w:marBottom w:val="0"/>
      <w:divBdr>
        <w:top w:val="none" w:sz="0" w:space="0" w:color="auto"/>
        <w:left w:val="none" w:sz="0" w:space="0" w:color="auto"/>
        <w:bottom w:val="none" w:sz="0" w:space="0" w:color="auto"/>
        <w:right w:val="none" w:sz="0" w:space="0" w:color="auto"/>
      </w:divBdr>
      <w:divsChild>
        <w:div w:id="837035944">
          <w:marLeft w:val="0"/>
          <w:marRight w:val="0"/>
          <w:marTop w:val="0"/>
          <w:marBottom w:val="0"/>
          <w:divBdr>
            <w:top w:val="none" w:sz="0" w:space="0" w:color="auto"/>
            <w:left w:val="none" w:sz="0" w:space="0" w:color="auto"/>
            <w:bottom w:val="none" w:sz="0" w:space="0" w:color="auto"/>
            <w:right w:val="none" w:sz="0" w:space="0" w:color="auto"/>
          </w:divBdr>
        </w:div>
        <w:div w:id="838810469">
          <w:marLeft w:val="0"/>
          <w:marRight w:val="0"/>
          <w:marTop w:val="120"/>
          <w:marBottom w:val="0"/>
          <w:divBdr>
            <w:top w:val="none" w:sz="0" w:space="0" w:color="auto"/>
            <w:left w:val="none" w:sz="0" w:space="0" w:color="auto"/>
            <w:bottom w:val="none" w:sz="0" w:space="0" w:color="auto"/>
            <w:right w:val="none" w:sz="0" w:space="0" w:color="auto"/>
          </w:divBdr>
        </w:div>
      </w:divsChild>
    </w:div>
    <w:div w:id="1897931315">
      <w:bodyDiv w:val="1"/>
      <w:marLeft w:val="0"/>
      <w:marRight w:val="0"/>
      <w:marTop w:val="0"/>
      <w:marBottom w:val="0"/>
      <w:divBdr>
        <w:top w:val="none" w:sz="0" w:space="0" w:color="auto"/>
        <w:left w:val="none" w:sz="0" w:space="0" w:color="auto"/>
        <w:bottom w:val="none" w:sz="0" w:space="0" w:color="auto"/>
        <w:right w:val="none" w:sz="0" w:space="0" w:color="auto"/>
      </w:divBdr>
      <w:divsChild>
        <w:div w:id="531577644">
          <w:marLeft w:val="0"/>
          <w:marRight w:val="0"/>
          <w:marTop w:val="120"/>
          <w:marBottom w:val="0"/>
          <w:divBdr>
            <w:top w:val="none" w:sz="0" w:space="0" w:color="auto"/>
            <w:left w:val="none" w:sz="0" w:space="0" w:color="auto"/>
            <w:bottom w:val="none" w:sz="0" w:space="0" w:color="auto"/>
            <w:right w:val="none" w:sz="0" w:space="0" w:color="auto"/>
          </w:divBdr>
        </w:div>
        <w:div w:id="907688705">
          <w:marLeft w:val="0"/>
          <w:marRight w:val="0"/>
          <w:marTop w:val="120"/>
          <w:marBottom w:val="0"/>
          <w:divBdr>
            <w:top w:val="none" w:sz="0" w:space="0" w:color="auto"/>
            <w:left w:val="none" w:sz="0" w:space="0" w:color="auto"/>
            <w:bottom w:val="none" w:sz="0" w:space="0" w:color="auto"/>
            <w:right w:val="none" w:sz="0" w:space="0" w:color="auto"/>
          </w:divBdr>
        </w:div>
        <w:div w:id="2082018759">
          <w:marLeft w:val="0"/>
          <w:marRight w:val="0"/>
          <w:marTop w:val="120"/>
          <w:marBottom w:val="0"/>
          <w:divBdr>
            <w:top w:val="none" w:sz="0" w:space="0" w:color="auto"/>
            <w:left w:val="none" w:sz="0" w:space="0" w:color="auto"/>
            <w:bottom w:val="none" w:sz="0" w:space="0" w:color="auto"/>
            <w:right w:val="none" w:sz="0" w:space="0" w:color="auto"/>
          </w:divBdr>
        </w:div>
      </w:divsChild>
    </w:div>
    <w:div w:id="1915046126">
      <w:bodyDiv w:val="1"/>
      <w:marLeft w:val="0"/>
      <w:marRight w:val="0"/>
      <w:marTop w:val="0"/>
      <w:marBottom w:val="0"/>
      <w:divBdr>
        <w:top w:val="none" w:sz="0" w:space="0" w:color="auto"/>
        <w:left w:val="none" w:sz="0" w:space="0" w:color="auto"/>
        <w:bottom w:val="none" w:sz="0" w:space="0" w:color="auto"/>
        <w:right w:val="none" w:sz="0" w:space="0" w:color="auto"/>
      </w:divBdr>
    </w:div>
    <w:div w:id="1921788959">
      <w:bodyDiv w:val="1"/>
      <w:marLeft w:val="0"/>
      <w:marRight w:val="0"/>
      <w:marTop w:val="0"/>
      <w:marBottom w:val="0"/>
      <w:divBdr>
        <w:top w:val="none" w:sz="0" w:space="0" w:color="auto"/>
        <w:left w:val="none" w:sz="0" w:space="0" w:color="auto"/>
        <w:bottom w:val="none" w:sz="0" w:space="0" w:color="auto"/>
        <w:right w:val="none" w:sz="0" w:space="0" w:color="auto"/>
      </w:divBdr>
    </w:div>
    <w:div w:id="1926180954">
      <w:bodyDiv w:val="1"/>
      <w:marLeft w:val="0"/>
      <w:marRight w:val="0"/>
      <w:marTop w:val="0"/>
      <w:marBottom w:val="0"/>
      <w:divBdr>
        <w:top w:val="none" w:sz="0" w:space="0" w:color="auto"/>
        <w:left w:val="none" w:sz="0" w:space="0" w:color="auto"/>
        <w:bottom w:val="none" w:sz="0" w:space="0" w:color="auto"/>
        <w:right w:val="none" w:sz="0" w:space="0" w:color="auto"/>
      </w:divBdr>
      <w:divsChild>
        <w:div w:id="393817694">
          <w:marLeft w:val="0"/>
          <w:marRight w:val="0"/>
          <w:marTop w:val="0"/>
          <w:marBottom w:val="0"/>
          <w:divBdr>
            <w:top w:val="none" w:sz="0" w:space="0" w:color="auto"/>
            <w:left w:val="none" w:sz="0" w:space="0" w:color="auto"/>
            <w:bottom w:val="none" w:sz="0" w:space="0" w:color="auto"/>
            <w:right w:val="none" w:sz="0" w:space="0" w:color="auto"/>
          </w:divBdr>
          <w:divsChild>
            <w:div w:id="874586949">
              <w:marLeft w:val="0"/>
              <w:marRight w:val="0"/>
              <w:marTop w:val="0"/>
              <w:marBottom w:val="0"/>
              <w:divBdr>
                <w:top w:val="none" w:sz="0" w:space="0" w:color="auto"/>
                <w:left w:val="none" w:sz="0" w:space="0" w:color="auto"/>
                <w:bottom w:val="none" w:sz="0" w:space="0" w:color="auto"/>
                <w:right w:val="none" w:sz="0" w:space="0" w:color="auto"/>
              </w:divBdr>
              <w:divsChild>
                <w:div w:id="462621301">
                  <w:marLeft w:val="0"/>
                  <w:marRight w:val="0"/>
                  <w:marTop w:val="0"/>
                  <w:marBottom w:val="0"/>
                  <w:divBdr>
                    <w:top w:val="none" w:sz="0" w:space="0" w:color="auto"/>
                    <w:left w:val="none" w:sz="0" w:space="0" w:color="auto"/>
                    <w:bottom w:val="none" w:sz="0" w:space="0" w:color="auto"/>
                    <w:right w:val="none" w:sz="0" w:space="0" w:color="auto"/>
                  </w:divBdr>
                  <w:divsChild>
                    <w:div w:id="1430853287">
                      <w:marLeft w:val="0"/>
                      <w:marRight w:val="0"/>
                      <w:marTop w:val="0"/>
                      <w:marBottom w:val="0"/>
                      <w:divBdr>
                        <w:top w:val="none" w:sz="0" w:space="0" w:color="auto"/>
                        <w:left w:val="none" w:sz="0" w:space="0" w:color="auto"/>
                        <w:bottom w:val="none" w:sz="0" w:space="0" w:color="auto"/>
                        <w:right w:val="none" w:sz="0" w:space="0" w:color="auto"/>
                      </w:divBdr>
                    </w:div>
                    <w:div w:id="1960800950">
                      <w:marLeft w:val="0"/>
                      <w:marRight w:val="0"/>
                      <w:marTop w:val="120"/>
                      <w:marBottom w:val="0"/>
                      <w:divBdr>
                        <w:top w:val="none" w:sz="0" w:space="0" w:color="auto"/>
                        <w:left w:val="none" w:sz="0" w:space="0" w:color="auto"/>
                        <w:bottom w:val="none" w:sz="0" w:space="0" w:color="auto"/>
                        <w:right w:val="none" w:sz="0" w:space="0" w:color="auto"/>
                      </w:divBdr>
                    </w:div>
                  </w:divsChild>
                </w:div>
                <w:div w:id="1187718770">
                  <w:marLeft w:val="0"/>
                  <w:marRight w:val="0"/>
                  <w:marTop w:val="0"/>
                  <w:marBottom w:val="0"/>
                  <w:divBdr>
                    <w:top w:val="none" w:sz="0" w:space="0" w:color="auto"/>
                    <w:left w:val="none" w:sz="0" w:space="0" w:color="auto"/>
                    <w:bottom w:val="none" w:sz="0" w:space="0" w:color="auto"/>
                    <w:right w:val="none" w:sz="0" w:space="0" w:color="auto"/>
                  </w:divBdr>
                  <w:divsChild>
                    <w:div w:id="408230782">
                      <w:marLeft w:val="0"/>
                      <w:marRight w:val="0"/>
                      <w:marTop w:val="120"/>
                      <w:marBottom w:val="0"/>
                      <w:divBdr>
                        <w:top w:val="none" w:sz="0" w:space="0" w:color="auto"/>
                        <w:left w:val="none" w:sz="0" w:space="0" w:color="auto"/>
                        <w:bottom w:val="none" w:sz="0" w:space="0" w:color="auto"/>
                        <w:right w:val="none" w:sz="0" w:space="0" w:color="auto"/>
                      </w:divBdr>
                    </w:div>
                    <w:div w:id="1185360033">
                      <w:marLeft w:val="0"/>
                      <w:marRight w:val="0"/>
                      <w:marTop w:val="0"/>
                      <w:marBottom w:val="0"/>
                      <w:divBdr>
                        <w:top w:val="none" w:sz="0" w:space="0" w:color="auto"/>
                        <w:left w:val="none" w:sz="0" w:space="0" w:color="auto"/>
                        <w:bottom w:val="none" w:sz="0" w:space="0" w:color="auto"/>
                        <w:right w:val="none" w:sz="0" w:space="0" w:color="auto"/>
                      </w:divBdr>
                    </w:div>
                  </w:divsChild>
                </w:div>
                <w:div w:id="1387415674">
                  <w:marLeft w:val="0"/>
                  <w:marRight w:val="0"/>
                  <w:marTop w:val="0"/>
                  <w:marBottom w:val="0"/>
                  <w:divBdr>
                    <w:top w:val="none" w:sz="0" w:space="0" w:color="auto"/>
                    <w:left w:val="none" w:sz="0" w:space="0" w:color="auto"/>
                    <w:bottom w:val="none" w:sz="0" w:space="0" w:color="auto"/>
                    <w:right w:val="none" w:sz="0" w:space="0" w:color="auto"/>
                  </w:divBdr>
                  <w:divsChild>
                    <w:div w:id="1262571558">
                      <w:marLeft w:val="0"/>
                      <w:marRight w:val="0"/>
                      <w:marTop w:val="0"/>
                      <w:marBottom w:val="0"/>
                      <w:divBdr>
                        <w:top w:val="none" w:sz="0" w:space="0" w:color="auto"/>
                        <w:left w:val="none" w:sz="0" w:space="0" w:color="auto"/>
                        <w:bottom w:val="none" w:sz="0" w:space="0" w:color="auto"/>
                        <w:right w:val="none" w:sz="0" w:space="0" w:color="auto"/>
                      </w:divBdr>
                    </w:div>
                    <w:div w:id="1404638898">
                      <w:marLeft w:val="0"/>
                      <w:marRight w:val="0"/>
                      <w:marTop w:val="120"/>
                      <w:marBottom w:val="0"/>
                      <w:divBdr>
                        <w:top w:val="none" w:sz="0" w:space="0" w:color="auto"/>
                        <w:left w:val="none" w:sz="0" w:space="0" w:color="auto"/>
                        <w:bottom w:val="none" w:sz="0" w:space="0" w:color="auto"/>
                        <w:right w:val="none" w:sz="0" w:space="0" w:color="auto"/>
                      </w:divBdr>
                    </w:div>
                  </w:divsChild>
                </w:div>
                <w:div w:id="1416047417">
                  <w:marLeft w:val="0"/>
                  <w:marRight w:val="0"/>
                  <w:marTop w:val="0"/>
                  <w:marBottom w:val="0"/>
                  <w:divBdr>
                    <w:top w:val="none" w:sz="0" w:space="0" w:color="auto"/>
                    <w:left w:val="none" w:sz="0" w:space="0" w:color="auto"/>
                    <w:bottom w:val="none" w:sz="0" w:space="0" w:color="auto"/>
                    <w:right w:val="none" w:sz="0" w:space="0" w:color="auto"/>
                  </w:divBdr>
                  <w:divsChild>
                    <w:div w:id="776876991">
                      <w:marLeft w:val="0"/>
                      <w:marRight w:val="0"/>
                      <w:marTop w:val="120"/>
                      <w:marBottom w:val="0"/>
                      <w:divBdr>
                        <w:top w:val="none" w:sz="0" w:space="0" w:color="auto"/>
                        <w:left w:val="none" w:sz="0" w:space="0" w:color="auto"/>
                        <w:bottom w:val="none" w:sz="0" w:space="0" w:color="auto"/>
                        <w:right w:val="none" w:sz="0" w:space="0" w:color="auto"/>
                      </w:divBdr>
                    </w:div>
                    <w:div w:id="998922408">
                      <w:marLeft w:val="0"/>
                      <w:marRight w:val="0"/>
                      <w:marTop w:val="0"/>
                      <w:marBottom w:val="0"/>
                      <w:divBdr>
                        <w:top w:val="none" w:sz="0" w:space="0" w:color="auto"/>
                        <w:left w:val="none" w:sz="0" w:space="0" w:color="auto"/>
                        <w:bottom w:val="none" w:sz="0" w:space="0" w:color="auto"/>
                        <w:right w:val="none" w:sz="0" w:space="0" w:color="auto"/>
                      </w:divBdr>
                    </w:div>
                  </w:divsChild>
                </w:div>
                <w:div w:id="1509367722">
                  <w:marLeft w:val="0"/>
                  <w:marRight w:val="0"/>
                  <w:marTop w:val="0"/>
                  <w:marBottom w:val="0"/>
                  <w:divBdr>
                    <w:top w:val="none" w:sz="0" w:space="0" w:color="auto"/>
                    <w:left w:val="none" w:sz="0" w:space="0" w:color="auto"/>
                    <w:bottom w:val="none" w:sz="0" w:space="0" w:color="auto"/>
                    <w:right w:val="none" w:sz="0" w:space="0" w:color="auto"/>
                  </w:divBdr>
                  <w:divsChild>
                    <w:div w:id="385104449">
                      <w:marLeft w:val="0"/>
                      <w:marRight w:val="0"/>
                      <w:marTop w:val="0"/>
                      <w:marBottom w:val="0"/>
                      <w:divBdr>
                        <w:top w:val="none" w:sz="0" w:space="0" w:color="auto"/>
                        <w:left w:val="none" w:sz="0" w:space="0" w:color="auto"/>
                        <w:bottom w:val="none" w:sz="0" w:space="0" w:color="auto"/>
                        <w:right w:val="none" w:sz="0" w:space="0" w:color="auto"/>
                      </w:divBdr>
                    </w:div>
                    <w:div w:id="8334899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57279394">
          <w:marLeft w:val="0"/>
          <w:marRight w:val="0"/>
          <w:marTop w:val="0"/>
          <w:marBottom w:val="0"/>
          <w:divBdr>
            <w:top w:val="none" w:sz="0" w:space="0" w:color="auto"/>
            <w:left w:val="none" w:sz="0" w:space="0" w:color="auto"/>
            <w:bottom w:val="none" w:sz="0" w:space="0" w:color="auto"/>
            <w:right w:val="none" w:sz="0" w:space="0" w:color="auto"/>
          </w:divBdr>
          <w:divsChild>
            <w:div w:id="903956837">
              <w:marLeft w:val="0"/>
              <w:marRight w:val="0"/>
              <w:marTop w:val="0"/>
              <w:marBottom w:val="0"/>
              <w:divBdr>
                <w:top w:val="none" w:sz="0" w:space="0" w:color="auto"/>
                <w:left w:val="none" w:sz="0" w:space="0" w:color="auto"/>
                <w:bottom w:val="none" w:sz="0" w:space="0" w:color="auto"/>
                <w:right w:val="none" w:sz="0" w:space="0" w:color="auto"/>
              </w:divBdr>
            </w:div>
          </w:divsChild>
        </w:div>
        <w:div w:id="1205217661">
          <w:marLeft w:val="0"/>
          <w:marRight w:val="0"/>
          <w:marTop w:val="0"/>
          <w:marBottom w:val="0"/>
          <w:divBdr>
            <w:top w:val="none" w:sz="0" w:space="0" w:color="auto"/>
            <w:left w:val="none" w:sz="0" w:space="0" w:color="auto"/>
            <w:bottom w:val="none" w:sz="0" w:space="0" w:color="auto"/>
            <w:right w:val="none" w:sz="0" w:space="0" w:color="auto"/>
          </w:divBdr>
          <w:divsChild>
            <w:div w:id="970089304">
              <w:marLeft w:val="0"/>
              <w:marRight w:val="0"/>
              <w:marTop w:val="0"/>
              <w:marBottom w:val="0"/>
              <w:divBdr>
                <w:top w:val="none" w:sz="0" w:space="0" w:color="auto"/>
                <w:left w:val="none" w:sz="0" w:space="0" w:color="auto"/>
                <w:bottom w:val="none" w:sz="0" w:space="0" w:color="auto"/>
                <w:right w:val="none" w:sz="0" w:space="0" w:color="auto"/>
              </w:divBdr>
              <w:divsChild>
                <w:div w:id="950627391">
                  <w:marLeft w:val="0"/>
                  <w:marRight w:val="0"/>
                  <w:marTop w:val="0"/>
                  <w:marBottom w:val="0"/>
                  <w:divBdr>
                    <w:top w:val="none" w:sz="0" w:space="0" w:color="auto"/>
                    <w:left w:val="none" w:sz="0" w:space="0" w:color="auto"/>
                    <w:bottom w:val="none" w:sz="0" w:space="0" w:color="auto"/>
                    <w:right w:val="none" w:sz="0" w:space="0" w:color="auto"/>
                  </w:divBdr>
                  <w:divsChild>
                    <w:div w:id="800997365">
                      <w:marLeft w:val="0"/>
                      <w:marRight w:val="0"/>
                      <w:marTop w:val="0"/>
                      <w:marBottom w:val="0"/>
                      <w:divBdr>
                        <w:top w:val="none" w:sz="0" w:space="0" w:color="auto"/>
                        <w:left w:val="none" w:sz="0" w:space="0" w:color="auto"/>
                        <w:bottom w:val="none" w:sz="0" w:space="0" w:color="auto"/>
                        <w:right w:val="none" w:sz="0" w:space="0" w:color="auto"/>
                      </w:divBdr>
                    </w:div>
                    <w:div w:id="2010986845">
                      <w:marLeft w:val="0"/>
                      <w:marRight w:val="0"/>
                      <w:marTop w:val="120"/>
                      <w:marBottom w:val="0"/>
                      <w:divBdr>
                        <w:top w:val="none" w:sz="0" w:space="0" w:color="auto"/>
                        <w:left w:val="none" w:sz="0" w:space="0" w:color="auto"/>
                        <w:bottom w:val="none" w:sz="0" w:space="0" w:color="auto"/>
                        <w:right w:val="none" w:sz="0" w:space="0" w:color="auto"/>
                      </w:divBdr>
                    </w:div>
                  </w:divsChild>
                </w:div>
                <w:div w:id="1700276563">
                  <w:marLeft w:val="0"/>
                  <w:marRight w:val="0"/>
                  <w:marTop w:val="0"/>
                  <w:marBottom w:val="0"/>
                  <w:divBdr>
                    <w:top w:val="none" w:sz="0" w:space="0" w:color="auto"/>
                    <w:left w:val="none" w:sz="0" w:space="0" w:color="auto"/>
                    <w:bottom w:val="none" w:sz="0" w:space="0" w:color="auto"/>
                    <w:right w:val="none" w:sz="0" w:space="0" w:color="auto"/>
                  </w:divBdr>
                  <w:divsChild>
                    <w:div w:id="991182521">
                      <w:marLeft w:val="0"/>
                      <w:marRight w:val="0"/>
                      <w:marTop w:val="0"/>
                      <w:marBottom w:val="0"/>
                      <w:divBdr>
                        <w:top w:val="none" w:sz="0" w:space="0" w:color="auto"/>
                        <w:left w:val="none" w:sz="0" w:space="0" w:color="auto"/>
                        <w:bottom w:val="none" w:sz="0" w:space="0" w:color="auto"/>
                        <w:right w:val="none" w:sz="0" w:space="0" w:color="auto"/>
                      </w:divBdr>
                    </w:div>
                    <w:div w:id="1665621554">
                      <w:marLeft w:val="0"/>
                      <w:marRight w:val="0"/>
                      <w:marTop w:val="120"/>
                      <w:marBottom w:val="0"/>
                      <w:divBdr>
                        <w:top w:val="none" w:sz="0" w:space="0" w:color="auto"/>
                        <w:left w:val="none" w:sz="0" w:space="0" w:color="auto"/>
                        <w:bottom w:val="none" w:sz="0" w:space="0" w:color="auto"/>
                        <w:right w:val="none" w:sz="0" w:space="0" w:color="auto"/>
                      </w:divBdr>
                    </w:div>
                  </w:divsChild>
                </w:div>
                <w:div w:id="1786971218">
                  <w:marLeft w:val="0"/>
                  <w:marRight w:val="0"/>
                  <w:marTop w:val="0"/>
                  <w:marBottom w:val="0"/>
                  <w:divBdr>
                    <w:top w:val="none" w:sz="0" w:space="0" w:color="auto"/>
                    <w:left w:val="none" w:sz="0" w:space="0" w:color="auto"/>
                    <w:bottom w:val="none" w:sz="0" w:space="0" w:color="auto"/>
                    <w:right w:val="none" w:sz="0" w:space="0" w:color="auto"/>
                  </w:divBdr>
                  <w:divsChild>
                    <w:div w:id="1250964579">
                      <w:marLeft w:val="0"/>
                      <w:marRight w:val="0"/>
                      <w:marTop w:val="120"/>
                      <w:marBottom w:val="0"/>
                      <w:divBdr>
                        <w:top w:val="none" w:sz="0" w:space="0" w:color="auto"/>
                        <w:left w:val="none" w:sz="0" w:space="0" w:color="auto"/>
                        <w:bottom w:val="none" w:sz="0" w:space="0" w:color="auto"/>
                        <w:right w:val="none" w:sz="0" w:space="0" w:color="auto"/>
                      </w:divBdr>
                    </w:div>
                    <w:div w:id="15347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40516">
          <w:marLeft w:val="0"/>
          <w:marRight w:val="0"/>
          <w:marTop w:val="0"/>
          <w:marBottom w:val="0"/>
          <w:divBdr>
            <w:top w:val="none" w:sz="0" w:space="0" w:color="auto"/>
            <w:left w:val="none" w:sz="0" w:space="0" w:color="auto"/>
            <w:bottom w:val="none" w:sz="0" w:space="0" w:color="auto"/>
            <w:right w:val="none" w:sz="0" w:space="0" w:color="auto"/>
          </w:divBdr>
          <w:divsChild>
            <w:div w:id="1738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38865">
      <w:bodyDiv w:val="1"/>
      <w:marLeft w:val="0"/>
      <w:marRight w:val="0"/>
      <w:marTop w:val="0"/>
      <w:marBottom w:val="0"/>
      <w:divBdr>
        <w:top w:val="none" w:sz="0" w:space="0" w:color="auto"/>
        <w:left w:val="none" w:sz="0" w:space="0" w:color="auto"/>
        <w:bottom w:val="none" w:sz="0" w:space="0" w:color="auto"/>
        <w:right w:val="none" w:sz="0" w:space="0" w:color="auto"/>
      </w:divBdr>
      <w:divsChild>
        <w:div w:id="884296812">
          <w:marLeft w:val="0"/>
          <w:marRight w:val="0"/>
          <w:marTop w:val="0"/>
          <w:marBottom w:val="0"/>
          <w:divBdr>
            <w:top w:val="none" w:sz="0" w:space="0" w:color="auto"/>
            <w:left w:val="none" w:sz="0" w:space="0" w:color="auto"/>
            <w:bottom w:val="none" w:sz="0" w:space="0" w:color="auto"/>
            <w:right w:val="none" w:sz="0" w:space="0" w:color="auto"/>
          </w:divBdr>
          <w:divsChild>
            <w:div w:id="366032885">
              <w:marLeft w:val="0"/>
              <w:marRight w:val="0"/>
              <w:marTop w:val="120"/>
              <w:marBottom w:val="0"/>
              <w:divBdr>
                <w:top w:val="none" w:sz="0" w:space="0" w:color="auto"/>
                <w:left w:val="none" w:sz="0" w:space="0" w:color="auto"/>
                <w:bottom w:val="none" w:sz="0" w:space="0" w:color="auto"/>
                <w:right w:val="none" w:sz="0" w:space="0" w:color="auto"/>
              </w:divBdr>
            </w:div>
            <w:div w:id="1026642611">
              <w:marLeft w:val="0"/>
              <w:marRight w:val="0"/>
              <w:marTop w:val="0"/>
              <w:marBottom w:val="0"/>
              <w:divBdr>
                <w:top w:val="none" w:sz="0" w:space="0" w:color="auto"/>
                <w:left w:val="none" w:sz="0" w:space="0" w:color="auto"/>
                <w:bottom w:val="none" w:sz="0" w:space="0" w:color="auto"/>
                <w:right w:val="none" w:sz="0" w:space="0" w:color="auto"/>
              </w:divBdr>
            </w:div>
          </w:divsChild>
        </w:div>
        <w:div w:id="1113399956">
          <w:marLeft w:val="0"/>
          <w:marRight w:val="0"/>
          <w:marTop w:val="0"/>
          <w:marBottom w:val="0"/>
          <w:divBdr>
            <w:top w:val="none" w:sz="0" w:space="0" w:color="auto"/>
            <w:left w:val="none" w:sz="0" w:space="0" w:color="auto"/>
            <w:bottom w:val="none" w:sz="0" w:space="0" w:color="auto"/>
            <w:right w:val="none" w:sz="0" w:space="0" w:color="auto"/>
          </w:divBdr>
          <w:divsChild>
            <w:div w:id="1408381417">
              <w:marLeft w:val="0"/>
              <w:marRight w:val="0"/>
              <w:marTop w:val="0"/>
              <w:marBottom w:val="0"/>
              <w:divBdr>
                <w:top w:val="none" w:sz="0" w:space="0" w:color="auto"/>
                <w:left w:val="none" w:sz="0" w:space="0" w:color="auto"/>
                <w:bottom w:val="none" w:sz="0" w:space="0" w:color="auto"/>
                <w:right w:val="none" w:sz="0" w:space="0" w:color="auto"/>
              </w:divBdr>
              <w:divsChild>
                <w:div w:id="604701948">
                  <w:marLeft w:val="0"/>
                  <w:marRight w:val="0"/>
                  <w:marTop w:val="0"/>
                  <w:marBottom w:val="0"/>
                  <w:divBdr>
                    <w:top w:val="none" w:sz="0" w:space="0" w:color="auto"/>
                    <w:left w:val="none" w:sz="0" w:space="0" w:color="auto"/>
                    <w:bottom w:val="none" w:sz="0" w:space="0" w:color="auto"/>
                    <w:right w:val="none" w:sz="0" w:space="0" w:color="auto"/>
                  </w:divBdr>
                  <w:divsChild>
                    <w:div w:id="298195964">
                      <w:marLeft w:val="0"/>
                      <w:marRight w:val="0"/>
                      <w:marTop w:val="0"/>
                      <w:marBottom w:val="0"/>
                      <w:divBdr>
                        <w:top w:val="none" w:sz="0" w:space="0" w:color="auto"/>
                        <w:left w:val="none" w:sz="0" w:space="0" w:color="auto"/>
                        <w:bottom w:val="none" w:sz="0" w:space="0" w:color="auto"/>
                        <w:right w:val="none" w:sz="0" w:space="0" w:color="auto"/>
                      </w:divBdr>
                    </w:div>
                    <w:div w:id="2038314322">
                      <w:marLeft w:val="0"/>
                      <w:marRight w:val="0"/>
                      <w:marTop w:val="120"/>
                      <w:marBottom w:val="0"/>
                      <w:divBdr>
                        <w:top w:val="none" w:sz="0" w:space="0" w:color="auto"/>
                        <w:left w:val="none" w:sz="0" w:space="0" w:color="auto"/>
                        <w:bottom w:val="none" w:sz="0" w:space="0" w:color="auto"/>
                        <w:right w:val="none" w:sz="0" w:space="0" w:color="auto"/>
                      </w:divBdr>
                    </w:div>
                  </w:divsChild>
                </w:div>
                <w:div w:id="749741261">
                  <w:marLeft w:val="0"/>
                  <w:marRight w:val="0"/>
                  <w:marTop w:val="0"/>
                  <w:marBottom w:val="0"/>
                  <w:divBdr>
                    <w:top w:val="none" w:sz="0" w:space="0" w:color="auto"/>
                    <w:left w:val="none" w:sz="0" w:space="0" w:color="auto"/>
                    <w:bottom w:val="none" w:sz="0" w:space="0" w:color="auto"/>
                    <w:right w:val="none" w:sz="0" w:space="0" w:color="auto"/>
                  </w:divBdr>
                  <w:divsChild>
                    <w:div w:id="1057972744">
                      <w:marLeft w:val="0"/>
                      <w:marRight w:val="0"/>
                      <w:marTop w:val="120"/>
                      <w:marBottom w:val="0"/>
                      <w:divBdr>
                        <w:top w:val="none" w:sz="0" w:space="0" w:color="auto"/>
                        <w:left w:val="none" w:sz="0" w:space="0" w:color="auto"/>
                        <w:bottom w:val="none" w:sz="0" w:space="0" w:color="auto"/>
                        <w:right w:val="none" w:sz="0" w:space="0" w:color="auto"/>
                      </w:divBdr>
                    </w:div>
                    <w:div w:id="2000108556">
                      <w:marLeft w:val="0"/>
                      <w:marRight w:val="0"/>
                      <w:marTop w:val="0"/>
                      <w:marBottom w:val="0"/>
                      <w:divBdr>
                        <w:top w:val="none" w:sz="0" w:space="0" w:color="auto"/>
                        <w:left w:val="none" w:sz="0" w:space="0" w:color="auto"/>
                        <w:bottom w:val="none" w:sz="0" w:space="0" w:color="auto"/>
                        <w:right w:val="none" w:sz="0" w:space="0" w:color="auto"/>
                      </w:divBdr>
                    </w:div>
                  </w:divsChild>
                </w:div>
                <w:div w:id="2080207640">
                  <w:marLeft w:val="0"/>
                  <w:marRight w:val="0"/>
                  <w:marTop w:val="0"/>
                  <w:marBottom w:val="0"/>
                  <w:divBdr>
                    <w:top w:val="none" w:sz="0" w:space="0" w:color="auto"/>
                    <w:left w:val="none" w:sz="0" w:space="0" w:color="auto"/>
                    <w:bottom w:val="none" w:sz="0" w:space="0" w:color="auto"/>
                    <w:right w:val="none" w:sz="0" w:space="0" w:color="auto"/>
                  </w:divBdr>
                  <w:divsChild>
                    <w:div w:id="1322853141">
                      <w:marLeft w:val="0"/>
                      <w:marRight w:val="0"/>
                      <w:marTop w:val="120"/>
                      <w:marBottom w:val="0"/>
                      <w:divBdr>
                        <w:top w:val="none" w:sz="0" w:space="0" w:color="auto"/>
                        <w:left w:val="none" w:sz="0" w:space="0" w:color="auto"/>
                        <w:bottom w:val="none" w:sz="0" w:space="0" w:color="auto"/>
                        <w:right w:val="none" w:sz="0" w:space="0" w:color="auto"/>
                      </w:divBdr>
                    </w:div>
                    <w:div w:id="18836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495281">
      <w:bodyDiv w:val="1"/>
      <w:marLeft w:val="0"/>
      <w:marRight w:val="0"/>
      <w:marTop w:val="0"/>
      <w:marBottom w:val="0"/>
      <w:divBdr>
        <w:top w:val="none" w:sz="0" w:space="0" w:color="auto"/>
        <w:left w:val="none" w:sz="0" w:space="0" w:color="auto"/>
        <w:bottom w:val="none" w:sz="0" w:space="0" w:color="auto"/>
        <w:right w:val="none" w:sz="0" w:space="0" w:color="auto"/>
      </w:divBdr>
    </w:div>
    <w:div w:id="1954363522">
      <w:bodyDiv w:val="1"/>
      <w:marLeft w:val="0"/>
      <w:marRight w:val="0"/>
      <w:marTop w:val="0"/>
      <w:marBottom w:val="0"/>
      <w:divBdr>
        <w:top w:val="none" w:sz="0" w:space="0" w:color="auto"/>
        <w:left w:val="none" w:sz="0" w:space="0" w:color="auto"/>
        <w:bottom w:val="none" w:sz="0" w:space="0" w:color="auto"/>
        <w:right w:val="none" w:sz="0" w:space="0" w:color="auto"/>
      </w:divBdr>
      <w:divsChild>
        <w:div w:id="24716785">
          <w:marLeft w:val="0"/>
          <w:marRight w:val="0"/>
          <w:marTop w:val="0"/>
          <w:marBottom w:val="0"/>
          <w:divBdr>
            <w:top w:val="none" w:sz="0" w:space="0" w:color="auto"/>
            <w:left w:val="none" w:sz="0" w:space="0" w:color="auto"/>
            <w:bottom w:val="none" w:sz="0" w:space="0" w:color="auto"/>
            <w:right w:val="none" w:sz="0" w:space="0" w:color="auto"/>
          </w:divBdr>
          <w:divsChild>
            <w:div w:id="32925176">
              <w:marLeft w:val="0"/>
              <w:marRight w:val="0"/>
              <w:marTop w:val="0"/>
              <w:marBottom w:val="0"/>
              <w:divBdr>
                <w:top w:val="none" w:sz="0" w:space="0" w:color="auto"/>
                <w:left w:val="none" w:sz="0" w:space="0" w:color="auto"/>
                <w:bottom w:val="none" w:sz="0" w:space="0" w:color="auto"/>
                <w:right w:val="none" w:sz="0" w:space="0" w:color="auto"/>
              </w:divBdr>
            </w:div>
          </w:divsChild>
        </w:div>
        <w:div w:id="1393384961">
          <w:marLeft w:val="0"/>
          <w:marRight w:val="0"/>
          <w:marTop w:val="0"/>
          <w:marBottom w:val="0"/>
          <w:divBdr>
            <w:top w:val="none" w:sz="0" w:space="0" w:color="auto"/>
            <w:left w:val="none" w:sz="0" w:space="0" w:color="auto"/>
            <w:bottom w:val="none" w:sz="0" w:space="0" w:color="auto"/>
            <w:right w:val="none" w:sz="0" w:space="0" w:color="auto"/>
          </w:divBdr>
          <w:divsChild>
            <w:div w:id="475535938">
              <w:marLeft w:val="0"/>
              <w:marRight w:val="0"/>
              <w:marTop w:val="120"/>
              <w:marBottom w:val="0"/>
              <w:divBdr>
                <w:top w:val="none" w:sz="0" w:space="0" w:color="auto"/>
                <w:left w:val="none" w:sz="0" w:space="0" w:color="auto"/>
                <w:bottom w:val="none" w:sz="0" w:space="0" w:color="auto"/>
                <w:right w:val="none" w:sz="0" w:space="0" w:color="auto"/>
              </w:divBdr>
            </w:div>
            <w:div w:id="1800029414">
              <w:marLeft w:val="0"/>
              <w:marRight w:val="0"/>
              <w:marTop w:val="0"/>
              <w:marBottom w:val="0"/>
              <w:divBdr>
                <w:top w:val="none" w:sz="0" w:space="0" w:color="auto"/>
                <w:left w:val="none" w:sz="0" w:space="0" w:color="auto"/>
                <w:bottom w:val="none" w:sz="0" w:space="0" w:color="auto"/>
                <w:right w:val="none" w:sz="0" w:space="0" w:color="auto"/>
              </w:divBdr>
            </w:div>
          </w:divsChild>
        </w:div>
        <w:div w:id="1491293740">
          <w:marLeft w:val="0"/>
          <w:marRight w:val="0"/>
          <w:marTop w:val="0"/>
          <w:marBottom w:val="0"/>
          <w:divBdr>
            <w:top w:val="none" w:sz="0" w:space="0" w:color="auto"/>
            <w:left w:val="none" w:sz="0" w:space="0" w:color="auto"/>
            <w:bottom w:val="none" w:sz="0" w:space="0" w:color="auto"/>
            <w:right w:val="none" w:sz="0" w:space="0" w:color="auto"/>
          </w:divBdr>
          <w:divsChild>
            <w:div w:id="1027755062">
              <w:marLeft w:val="0"/>
              <w:marRight w:val="0"/>
              <w:marTop w:val="0"/>
              <w:marBottom w:val="0"/>
              <w:divBdr>
                <w:top w:val="none" w:sz="0" w:space="0" w:color="auto"/>
                <w:left w:val="none" w:sz="0" w:space="0" w:color="auto"/>
                <w:bottom w:val="none" w:sz="0" w:space="0" w:color="auto"/>
                <w:right w:val="none" w:sz="0" w:space="0" w:color="auto"/>
              </w:divBdr>
            </w:div>
            <w:div w:id="17264162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5556469">
      <w:bodyDiv w:val="1"/>
      <w:marLeft w:val="0"/>
      <w:marRight w:val="0"/>
      <w:marTop w:val="0"/>
      <w:marBottom w:val="0"/>
      <w:divBdr>
        <w:top w:val="none" w:sz="0" w:space="0" w:color="auto"/>
        <w:left w:val="none" w:sz="0" w:space="0" w:color="auto"/>
        <w:bottom w:val="none" w:sz="0" w:space="0" w:color="auto"/>
        <w:right w:val="none" w:sz="0" w:space="0" w:color="auto"/>
      </w:divBdr>
      <w:divsChild>
        <w:div w:id="2018387236">
          <w:marLeft w:val="0"/>
          <w:marRight w:val="0"/>
          <w:marTop w:val="0"/>
          <w:marBottom w:val="0"/>
          <w:divBdr>
            <w:top w:val="none" w:sz="0" w:space="0" w:color="auto"/>
            <w:left w:val="none" w:sz="0" w:space="0" w:color="auto"/>
            <w:bottom w:val="none" w:sz="0" w:space="0" w:color="auto"/>
            <w:right w:val="none" w:sz="0" w:space="0" w:color="auto"/>
          </w:divBdr>
        </w:div>
      </w:divsChild>
    </w:div>
    <w:div w:id="1962878403">
      <w:bodyDiv w:val="1"/>
      <w:marLeft w:val="0"/>
      <w:marRight w:val="0"/>
      <w:marTop w:val="0"/>
      <w:marBottom w:val="0"/>
      <w:divBdr>
        <w:top w:val="none" w:sz="0" w:space="0" w:color="auto"/>
        <w:left w:val="none" w:sz="0" w:space="0" w:color="auto"/>
        <w:bottom w:val="none" w:sz="0" w:space="0" w:color="auto"/>
        <w:right w:val="none" w:sz="0" w:space="0" w:color="auto"/>
      </w:divBdr>
      <w:divsChild>
        <w:div w:id="787234857">
          <w:marLeft w:val="0"/>
          <w:marRight w:val="0"/>
          <w:marTop w:val="0"/>
          <w:marBottom w:val="0"/>
          <w:divBdr>
            <w:top w:val="none" w:sz="0" w:space="0" w:color="auto"/>
            <w:left w:val="none" w:sz="0" w:space="0" w:color="auto"/>
            <w:bottom w:val="none" w:sz="0" w:space="0" w:color="auto"/>
            <w:right w:val="none" w:sz="0" w:space="0" w:color="auto"/>
          </w:divBdr>
          <w:divsChild>
            <w:div w:id="701516676">
              <w:marLeft w:val="0"/>
              <w:marRight w:val="0"/>
              <w:marTop w:val="0"/>
              <w:marBottom w:val="0"/>
              <w:divBdr>
                <w:top w:val="none" w:sz="0" w:space="0" w:color="auto"/>
                <w:left w:val="none" w:sz="0" w:space="0" w:color="auto"/>
                <w:bottom w:val="none" w:sz="0" w:space="0" w:color="auto"/>
                <w:right w:val="none" w:sz="0" w:space="0" w:color="auto"/>
              </w:divBdr>
              <w:divsChild>
                <w:div w:id="1228609792">
                  <w:marLeft w:val="0"/>
                  <w:marRight w:val="0"/>
                  <w:marTop w:val="0"/>
                  <w:marBottom w:val="0"/>
                  <w:divBdr>
                    <w:top w:val="none" w:sz="0" w:space="0" w:color="auto"/>
                    <w:left w:val="none" w:sz="0" w:space="0" w:color="auto"/>
                    <w:bottom w:val="none" w:sz="0" w:space="0" w:color="auto"/>
                    <w:right w:val="none" w:sz="0" w:space="0" w:color="auto"/>
                  </w:divBdr>
                  <w:divsChild>
                    <w:div w:id="64380372">
                      <w:marLeft w:val="0"/>
                      <w:marRight w:val="0"/>
                      <w:marTop w:val="120"/>
                      <w:marBottom w:val="0"/>
                      <w:divBdr>
                        <w:top w:val="none" w:sz="0" w:space="0" w:color="auto"/>
                        <w:left w:val="none" w:sz="0" w:space="0" w:color="auto"/>
                        <w:bottom w:val="none" w:sz="0" w:space="0" w:color="auto"/>
                        <w:right w:val="none" w:sz="0" w:space="0" w:color="auto"/>
                      </w:divBdr>
                    </w:div>
                    <w:div w:id="1067456605">
                      <w:marLeft w:val="0"/>
                      <w:marRight w:val="0"/>
                      <w:marTop w:val="0"/>
                      <w:marBottom w:val="0"/>
                      <w:divBdr>
                        <w:top w:val="none" w:sz="0" w:space="0" w:color="auto"/>
                        <w:left w:val="none" w:sz="0" w:space="0" w:color="auto"/>
                        <w:bottom w:val="none" w:sz="0" w:space="0" w:color="auto"/>
                        <w:right w:val="none" w:sz="0" w:space="0" w:color="auto"/>
                      </w:divBdr>
                    </w:div>
                  </w:divsChild>
                </w:div>
                <w:div w:id="1822577187">
                  <w:marLeft w:val="0"/>
                  <w:marRight w:val="0"/>
                  <w:marTop w:val="0"/>
                  <w:marBottom w:val="0"/>
                  <w:divBdr>
                    <w:top w:val="none" w:sz="0" w:space="0" w:color="auto"/>
                    <w:left w:val="none" w:sz="0" w:space="0" w:color="auto"/>
                    <w:bottom w:val="none" w:sz="0" w:space="0" w:color="auto"/>
                    <w:right w:val="none" w:sz="0" w:space="0" w:color="auto"/>
                  </w:divBdr>
                  <w:divsChild>
                    <w:div w:id="822624877">
                      <w:marLeft w:val="0"/>
                      <w:marRight w:val="0"/>
                      <w:marTop w:val="120"/>
                      <w:marBottom w:val="0"/>
                      <w:divBdr>
                        <w:top w:val="none" w:sz="0" w:space="0" w:color="auto"/>
                        <w:left w:val="none" w:sz="0" w:space="0" w:color="auto"/>
                        <w:bottom w:val="none" w:sz="0" w:space="0" w:color="auto"/>
                        <w:right w:val="none" w:sz="0" w:space="0" w:color="auto"/>
                      </w:divBdr>
                    </w:div>
                    <w:div w:id="16202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768180">
      <w:bodyDiv w:val="1"/>
      <w:marLeft w:val="0"/>
      <w:marRight w:val="0"/>
      <w:marTop w:val="0"/>
      <w:marBottom w:val="0"/>
      <w:divBdr>
        <w:top w:val="none" w:sz="0" w:space="0" w:color="auto"/>
        <w:left w:val="none" w:sz="0" w:space="0" w:color="auto"/>
        <w:bottom w:val="none" w:sz="0" w:space="0" w:color="auto"/>
        <w:right w:val="none" w:sz="0" w:space="0" w:color="auto"/>
      </w:divBdr>
      <w:divsChild>
        <w:div w:id="1614630380">
          <w:marLeft w:val="0"/>
          <w:marRight w:val="0"/>
          <w:marTop w:val="0"/>
          <w:marBottom w:val="0"/>
          <w:divBdr>
            <w:top w:val="none" w:sz="0" w:space="0" w:color="auto"/>
            <w:left w:val="none" w:sz="0" w:space="0" w:color="auto"/>
            <w:bottom w:val="none" w:sz="0" w:space="0" w:color="auto"/>
            <w:right w:val="none" w:sz="0" w:space="0" w:color="auto"/>
          </w:divBdr>
        </w:div>
      </w:divsChild>
    </w:div>
    <w:div w:id="1969776763">
      <w:bodyDiv w:val="1"/>
      <w:marLeft w:val="0"/>
      <w:marRight w:val="0"/>
      <w:marTop w:val="0"/>
      <w:marBottom w:val="0"/>
      <w:divBdr>
        <w:top w:val="none" w:sz="0" w:space="0" w:color="auto"/>
        <w:left w:val="none" w:sz="0" w:space="0" w:color="auto"/>
        <w:bottom w:val="none" w:sz="0" w:space="0" w:color="auto"/>
        <w:right w:val="none" w:sz="0" w:space="0" w:color="auto"/>
      </w:divBdr>
    </w:div>
    <w:div w:id="1988585931">
      <w:bodyDiv w:val="1"/>
      <w:marLeft w:val="0"/>
      <w:marRight w:val="0"/>
      <w:marTop w:val="0"/>
      <w:marBottom w:val="0"/>
      <w:divBdr>
        <w:top w:val="none" w:sz="0" w:space="0" w:color="auto"/>
        <w:left w:val="none" w:sz="0" w:space="0" w:color="auto"/>
        <w:bottom w:val="none" w:sz="0" w:space="0" w:color="auto"/>
        <w:right w:val="none" w:sz="0" w:space="0" w:color="auto"/>
      </w:divBdr>
      <w:divsChild>
        <w:div w:id="1358045703">
          <w:marLeft w:val="0"/>
          <w:marRight w:val="0"/>
          <w:marTop w:val="0"/>
          <w:marBottom w:val="0"/>
          <w:divBdr>
            <w:top w:val="none" w:sz="0" w:space="0" w:color="auto"/>
            <w:left w:val="none" w:sz="0" w:space="0" w:color="auto"/>
            <w:bottom w:val="none" w:sz="0" w:space="0" w:color="auto"/>
            <w:right w:val="none" w:sz="0" w:space="0" w:color="auto"/>
          </w:divBdr>
        </w:div>
      </w:divsChild>
    </w:div>
    <w:div w:id="1996642953">
      <w:bodyDiv w:val="1"/>
      <w:marLeft w:val="0"/>
      <w:marRight w:val="0"/>
      <w:marTop w:val="0"/>
      <w:marBottom w:val="0"/>
      <w:divBdr>
        <w:top w:val="none" w:sz="0" w:space="0" w:color="auto"/>
        <w:left w:val="none" w:sz="0" w:space="0" w:color="auto"/>
        <w:bottom w:val="none" w:sz="0" w:space="0" w:color="auto"/>
        <w:right w:val="none" w:sz="0" w:space="0" w:color="auto"/>
      </w:divBdr>
      <w:divsChild>
        <w:div w:id="1142235582">
          <w:marLeft w:val="0"/>
          <w:marRight w:val="0"/>
          <w:marTop w:val="0"/>
          <w:marBottom w:val="0"/>
          <w:divBdr>
            <w:top w:val="none" w:sz="0" w:space="0" w:color="auto"/>
            <w:left w:val="none" w:sz="0" w:space="0" w:color="auto"/>
            <w:bottom w:val="none" w:sz="0" w:space="0" w:color="auto"/>
            <w:right w:val="none" w:sz="0" w:space="0" w:color="auto"/>
          </w:divBdr>
          <w:divsChild>
            <w:div w:id="1321034484">
              <w:marLeft w:val="0"/>
              <w:marRight w:val="0"/>
              <w:marTop w:val="0"/>
              <w:marBottom w:val="0"/>
              <w:divBdr>
                <w:top w:val="none" w:sz="0" w:space="0" w:color="auto"/>
                <w:left w:val="none" w:sz="0" w:space="0" w:color="auto"/>
                <w:bottom w:val="none" w:sz="0" w:space="0" w:color="auto"/>
                <w:right w:val="none" w:sz="0" w:space="0" w:color="auto"/>
              </w:divBdr>
              <w:divsChild>
                <w:div w:id="706220074">
                  <w:marLeft w:val="0"/>
                  <w:marRight w:val="0"/>
                  <w:marTop w:val="0"/>
                  <w:marBottom w:val="0"/>
                  <w:divBdr>
                    <w:top w:val="none" w:sz="0" w:space="0" w:color="auto"/>
                    <w:left w:val="none" w:sz="0" w:space="0" w:color="auto"/>
                    <w:bottom w:val="none" w:sz="0" w:space="0" w:color="auto"/>
                    <w:right w:val="none" w:sz="0" w:space="0" w:color="auto"/>
                  </w:divBdr>
                  <w:divsChild>
                    <w:div w:id="709843238">
                      <w:marLeft w:val="0"/>
                      <w:marRight w:val="0"/>
                      <w:marTop w:val="0"/>
                      <w:marBottom w:val="0"/>
                      <w:divBdr>
                        <w:top w:val="none" w:sz="0" w:space="0" w:color="auto"/>
                        <w:left w:val="none" w:sz="0" w:space="0" w:color="auto"/>
                        <w:bottom w:val="none" w:sz="0" w:space="0" w:color="auto"/>
                        <w:right w:val="none" w:sz="0" w:space="0" w:color="auto"/>
                      </w:divBdr>
                    </w:div>
                    <w:div w:id="1876236137">
                      <w:marLeft w:val="0"/>
                      <w:marRight w:val="0"/>
                      <w:marTop w:val="120"/>
                      <w:marBottom w:val="0"/>
                      <w:divBdr>
                        <w:top w:val="none" w:sz="0" w:space="0" w:color="auto"/>
                        <w:left w:val="none" w:sz="0" w:space="0" w:color="auto"/>
                        <w:bottom w:val="none" w:sz="0" w:space="0" w:color="auto"/>
                        <w:right w:val="none" w:sz="0" w:space="0" w:color="auto"/>
                      </w:divBdr>
                    </w:div>
                  </w:divsChild>
                </w:div>
                <w:div w:id="1051147207">
                  <w:marLeft w:val="0"/>
                  <w:marRight w:val="0"/>
                  <w:marTop w:val="0"/>
                  <w:marBottom w:val="0"/>
                  <w:divBdr>
                    <w:top w:val="none" w:sz="0" w:space="0" w:color="auto"/>
                    <w:left w:val="none" w:sz="0" w:space="0" w:color="auto"/>
                    <w:bottom w:val="none" w:sz="0" w:space="0" w:color="auto"/>
                    <w:right w:val="none" w:sz="0" w:space="0" w:color="auto"/>
                  </w:divBdr>
                  <w:divsChild>
                    <w:div w:id="117845480">
                      <w:marLeft w:val="0"/>
                      <w:marRight w:val="0"/>
                      <w:marTop w:val="0"/>
                      <w:marBottom w:val="0"/>
                      <w:divBdr>
                        <w:top w:val="none" w:sz="0" w:space="0" w:color="auto"/>
                        <w:left w:val="none" w:sz="0" w:space="0" w:color="auto"/>
                        <w:bottom w:val="none" w:sz="0" w:space="0" w:color="auto"/>
                        <w:right w:val="none" w:sz="0" w:space="0" w:color="auto"/>
                      </w:divBdr>
                    </w:div>
                    <w:div w:id="1380277028">
                      <w:marLeft w:val="0"/>
                      <w:marRight w:val="0"/>
                      <w:marTop w:val="120"/>
                      <w:marBottom w:val="0"/>
                      <w:divBdr>
                        <w:top w:val="none" w:sz="0" w:space="0" w:color="auto"/>
                        <w:left w:val="none" w:sz="0" w:space="0" w:color="auto"/>
                        <w:bottom w:val="none" w:sz="0" w:space="0" w:color="auto"/>
                        <w:right w:val="none" w:sz="0" w:space="0" w:color="auto"/>
                      </w:divBdr>
                    </w:div>
                  </w:divsChild>
                </w:div>
                <w:div w:id="1193879079">
                  <w:marLeft w:val="0"/>
                  <w:marRight w:val="0"/>
                  <w:marTop w:val="0"/>
                  <w:marBottom w:val="0"/>
                  <w:divBdr>
                    <w:top w:val="none" w:sz="0" w:space="0" w:color="auto"/>
                    <w:left w:val="none" w:sz="0" w:space="0" w:color="auto"/>
                    <w:bottom w:val="none" w:sz="0" w:space="0" w:color="auto"/>
                    <w:right w:val="none" w:sz="0" w:space="0" w:color="auto"/>
                  </w:divBdr>
                  <w:divsChild>
                    <w:div w:id="622346261">
                      <w:marLeft w:val="0"/>
                      <w:marRight w:val="0"/>
                      <w:marTop w:val="120"/>
                      <w:marBottom w:val="0"/>
                      <w:divBdr>
                        <w:top w:val="none" w:sz="0" w:space="0" w:color="auto"/>
                        <w:left w:val="none" w:sz="0" w:space="0" w:color="auto"/>
                        <w:bottom w:val="none" w:sz="0" w:space="0" w:color="auto"/>
                        <w:right w:val="none" w:sz="0" w:space="0" w:color="auto"/>
                      </w:divBdr>
                    </w:div>
                    <w:div w:id="2059354125">
                      <w:marLeft w:val="0"/>
                      <w:marRight w:val="0"/>
                      <w:marTop w:val="0"/>
                      <w:marBottom w:val="0"/>
                      <w:divBdr>
                        <w:top w:val="none" w:sz="0" w:space="0" w:color="auto"/>
                        <w:left w:val="none" w:sz="0" w:space="0" w:color="auto"/>
                        <w:bottom w:val="none" w:sz="0" w:space="0" w:color="auto"/>
                        <w:right w:val="none" w:sz="0" w:space="0" w:color="auto"/>
                      </w:divBdr>
                    </w:div>
                  </w:divsChild>
                </w:div>
                <w:div w:id="1693148976">
                  <w:marLeft w:val="0"/>
                  <w:marRight w:val="0"/>
                  <w:marTop w:val="0"/>
                  <w:marBottom w:val="0"/>
                  <w:divBdr>
                    <w:top w:val="none" w:sz="0" w:space="0" w:color="auto"/>
                    <w:left w:val="none" w:sz="0" w:space="0" w:color="auto"/>
                    <w:bottom w:val="none" w:sz="0" w:space="0" w:color="auto"/>
                    <w:right w:val="none" w:sz="0" w:space="0" w:color="auto"/>
                  </w:divBdr>
                  <w:divsChild>
                    <w:div w:id="993609462">
                      <w:marLeft w:val="0"/>
                      <w:marRight w:val="0"/>
                      <w:marTop w:val="0"/>
                      <w:marBottom w:val="0"/>
                      <w:divBdr>
                        <w:top w:val="none" w:sz="0" w:space="0" w:color="auto"/>
                        <w:left w:val="none" w:sz="0" w:space="0" w:color="auto"/>
                        <w:bottom w:val="none" w:sz="0" w:space="0" w:color="auto"/>
                        <w:right w:val="none" w:sz="0" w:space="0" w:color="auto"/>
                      </w:divBdr>
                    </w:div>
                    <w:div w:id="1093434725">
                      <w:marLeft w:val="0"/>
                      <w:marRight w:val="0"/>
                      <w:marTop w:val="120"/>
                      <w:marBottom w:val="0"/>
                      <w:divBdr>
                        <w:top w:val="none" w:sz="0" w:space="0" w:color="auto"/>
                        <w:left w:val="none" w:sz="0" w:space="0" w:color="auto"/>
                        <w:bottom w:val="none" w:sz="0" w:space="0" w:color="auto"/>
                        <w:right w:val="none" w:sz="0" w:space="0" w:color="auto"/>
                      </w:divBdr>
                    </w:div>
                  </w:divsChild>
                </w:div>
                <w:div w:id="1933314939">
                  <w:marLeft w:val="0"/>
                  <w:marRight w:val="0"/>
                  <w:marTop w:val="0"/>
                  <w:marBottom w:val="0"/>
                  <w:divBdr>
                    <w:top w:val="none" w:sz="0" w:space="0" w:color="auto"/>
                    <w:left w:val="none" w:sz="0" w:space="0" w:color="auto"/>
                    <w:bottom w:val="none" w:sz="0" w:space="0" w:color="auto"/>
                    <w:right w:val="none" w:sz="0" w:space="0" w:color="auto"/>
                  </w:divBdr>
                  <w:divsChild>
                    <w:div w:id="4017951">
                      <w:marLeft w:val="0"/>
                      <w:marRight w:val="0"/>
                      <w:marTop w:val="0"/>
                      <w:marBottom w:val="0"/>
                      <w:divBdr>
                        <w:top w:val="none" w:sz="0" w:space="0" w:color="auto"/>
                        <w:left w:val="none" w:sz="0" w:space="0" w:color="auto"/>
                        <w:bottom w:val="none" w:sz="0" w:space="0" w:color="auto"/>
                        <w:right w:val="none" w:sz="0" w:space="0" w:color="auto"/>
                      </w:divBdr>
                    </w:div>
                    <w:div w:id="1340080999">
                      <w:marLeft w:val="0"/>
                      <w:marRight w:val="0"/>
                      <w:marTop w:val="120"/>
                      <w:marBottom w:val="0"/>
                      <w:divBdr>
                        <w:top w:val="none" w:sz="0" w:space="0" w:color="auto"/>
                        <w:left w:val="none" w:sz="0" w:space="0" w:color="auto"/>
                        <w:bottom w:val="none" w:sz="0" w:space="0" w:color="auto"/>
                        <w:right w:val="none" w:sz="0" w:space="0" w:color="auto"/>
                      </w:divBdr>
                    </w:div>
                  </w:divsChild>
                </w:div>
                <w:div w:id="2108578801">
                  <w:marLeft w:val="0"/>
                  <w:marRight w:val="0"/>
                  <w:marTop w:val="0"/>
                  <w:marBottom w:val="0"/>
                  <w:divBdr>
                    <w:top w:val="none" w:sz="0" w:space="0" w:color="auto"/>
                    <w:left w:val="none" w:sz="0" w:space="0" w:color="auto"/>
                    <w:bottom w:val="none" w:sz="0" w:space="0" w:color="auto"/>
                    <w:right w:val="none" w:sz="0" w:space="0" w:color="auto"/>
                  </w:divBdr>
                  <w:divsChild>
                    <w:div w:id="925915656">
                      <w:marLeft w:val="0"/>
                      <w:marRight w:val="0"/>
                      <w:marTop w:val="0"/>
                      <w:marBottom w:val="0"/>
                      <w:divBdr>
                        <w:top w:val="none" w:sz="0" w:space="0" w:color="auto"/>
                        <w:left w:val="none" w:sz="0" w:space="0" w:color="auto"/>
                        <w:bottom w:val="none" w:sz="0" w:space="0" w:color="auto"/>
                        <w:right w:val="none" w:sz="0" w:space="0" w:color="auto"/>
                      </w:divBdr>
                    </w:div>
                    <w:div w:id="10268294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32754067">
          <w:marLeft w:val="0"/>
          <w:marRight w:val="0"/>
          <w:marTop w:val="0"/>
          <w:marBottom w:val="0"/>
          <w:divBdr>
            <w:top w:val="none" w:sz="0" w:space="0" w:color="auto"/>
            <w:left w:val="none" w:sz="0" w:space="0" w:color="auto"/>
            <w:bottom w:val="none" w:sz="0" w:space="0" w:color="auto"/>
            <w:right w:val="none" w:sz="0" w:space="0" w:color="auto"/>
          </w:divBdr>
          <w:divsChild>
            <w:div w:id="10346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11114">
      <w:bodyDiv w:val="1"/>
      <w:marLeft w:val="0"/>
      <w:marRight w:val="0"/>
      <w:marTop w:val="0"/>
      <w:marBottom w:val="0"/>
      <w:divBdr>
        <w:top w:val="none" w:sz="0" w:space="0" w:color="auto"/>
        <w:left w:val="none" w:sz="0" w:space="0" w:color="auto"/>
        <w:bottom w:val="none" w:sz="0" w:space="0" w:color="auto"/>
        <w:right w:val="none" w:sz="0" w:space="0" w:color="auto"/>
      </w:divBdr>
    </w:div>
    <w:div w:id="2004310423">
      <w:bodyDiv w:val="1"/>
      <w:marLeft w:val="0"/>
      <w:marRight w:val="0"/>
      <w:marTop w:val="0"/>
      <w:marBottom w:val="0"/>
      <w:divBdr>
        <w:top w:val="none" w:sz="0" w:space="0" w:color="auto"/>
        <w:left w:val="none" w:sz="0" w:space="0" w:color="auto"/>
        <w:bottom w:val="none" w:sz="0" w:space="0" w:color="auto"/>
        <w:right w:val="none" w:sz="0" w:space="0" w:color="auto"/>
      </w:divBdr>
    </w:div>
    <w:div w:id="2037923958">
      <w:bodyDiv w:val="1"/>
      <w:marLeft w:val="0"/>
      <w:marRight w:val="0"/>
      <w:marTop w:val="0"/>
      <w:marBottom w:val="0"/>
      <w:divBdr>
        <w:top w:val="none" w:sz="0" w:space="0" w:color="auto"/>
        <w:left w:val="none" w:sz="0" w:space="0" w:color="auto"/>
        <w:bottom w:val="none" w:sz="0" w:space="0" w:color="auto"/>
        <w:right w:val="none" w:sz="0" w:space="0" w:color="auto"/>
      </w:divBdr>
    </w:div>
    <w:div w:id="2049912679">
      <w:bodyDiv w:val="1"/>
      <w:marLeft w:val="0"/>
      <w:marRight w:val="0"/>
      <w:marTop w:val="0"/>
      <w:marBottom w:val="0"/>
      <w:divBdr>
        <w:top w:val="none" w:sz="0" w:space="0" w:color="auto"/>
        <w:left w:val="none" w:sz="0" w:space="0" w:color="auto"/>
        <w:bottom w:val="none" w:sz="0" w:space="0" w:color="auto"/>
        <w:right w:val="none" w:sz="0" w:space="0" w:color="auto"/>
      </w:divBdr>
    </w:div>
    <w:div w:id="2071223845">
      <w:bodyDiv w:val="1"/>
      <w:marLeft w:val="0"/>
      <w:marRight w:val="0"/>
      <w:marTop w:val="0"/>
      <w:marBottom w:val="0"/>
      <w:divBdr>
        <w:top w:val="none" w:sz="0" w:space="0" w:color="auto"/>
        <w:left w:val="none" w:sz="0" w:space="0" w:color="auto"/>
        <w:bottom w:val="none" w:sz="0" w:space="0" w:color="auto"/>
        <w:right w:val="none" w:sz="0" w:space="0" w:color="auto"/>
      </w:divBdr>
      <w:divsChild>
        <w:div w:id="375280425">
          <w:marLeft w:val="0"/>
          <w:marRight w:val="0"/>
          <w:marTop w:val="0"/>
          <w:marBottom w:val="0"/>
          <w:divBdr>
            <w:top w:val="none" w:sz="0" w:space="0" w:color="auto"/>
            <w:left w:val="none" w:sz="0" w:space="0" w:color="auto"/>
            <w:bottom w:val="none" w:sz="0" w:space="0" w:color="auto"/>
            <w:right w:val="none" w:sz="0" w:space="0" w:color="auto"/>
          </w:divBdr>
          <w:divsChild>
            <w:div w:id="1426996129">
              <w:marLeft w:val="0"/>
              <w:marRight w:val="0"/>
              <w:marTop w:val="0"/>
              <w:marBottom w:val="0"/>
              <w:divBdr>
                <w:top w:val="none" w:sz="0" w:space="0" w:color="auto"/>
                <w:left w:val="none" w:sz="0" w:space="0" w:color="auto"/>
                <w:bottom w:val="none" w:sz="0" w:space="0" w:color="auto"/>
                <w:right w:val="none" w:sz="0" w:space="0" w:color="auto"/>
              </w:divBdr>
            </w:div>
            <w:div w:id="2143572183">
              <w:marLeft w:val="0"/>
              <w:marRight w:val="0"/>
              <w:marTop w:val="120"/>
              <w:marBottom w:val="0"/>
              <w:divBdr>
                <w:top w:val="none" w:sz="0" w:space="0" w:color="auto"/>
                <w:left w:val="none" w:sz="0" w:space="0" w:color="auto"/>
                <w:bottom w:val="none" w:sz="0" w:space="0" w:color="auto"/>
                <w:right w:val="none" w:sz="0" w:space="0" w:color="auto"/>
              </w:divBdr>
            </w:div>
          </w:divsChild>
        </w:div>
        <w:div w:id="548417119">
          <w:marLeft w:val="0"/>
          <w:marRight w:val="0"/>
          <w:marTop w:val="0"/>
          <w:marBottom w:val="0"/>
          <w:divBdr>
            <w:top w:val="none" w:sz="0" w:space="0" w:color="auto"/>
            <w:left w:val="none" w:sz="0" w:space="0" w:color="auto"/>
            <w:bottom w:val="none" w:sz="0" w:space="0" w:color="auto"/>
            <w:right w:val="none" w:sz="0" w:space="0" w:color="auto"/>
          </w:divBdr>
          <w:divsChild>
            <w:div w:id="216673107">
              <w:marLeft w:val="0"/>
              <w:marRight w:val="0"/>
              <w:marTop w:val="0"/>
              <w:marBottom w:val="0"/>
              <w:divBdr>
                <w:top w:val="none" w:sz="0" w:space="0" w:color="auto"/>
                <w:left w:val="none" w:sz="0" w:space="0" w:color="auto"/>
                <w:bottom w:val="none" w:sz="0" w:space="0" w:color="auto"/>
                <w:right w:val="none" w:sz="0" w:space="0" w:color="auto"/>
              </w:divBdr>
            </w:div>
            <w:div w:id="1404328680">
              <w:marLeft w:val="0"/>
              <w:marRight w:val="0"/>
              <w:marTop w:val="120"/>
              <w:marBottom w:val="0"/>
              <w:divBdr>
                <w:top w:val="none" w:sz="0" w:space="0" w:color="auto"/>
                <w:left w:val="none" w:sz="0" w:space="0" w:color="auto"/>
                <w:bottom w:val="none" w:sz="0" w:space="0" w:color="auto"/>
                <w:right w:val="none" w:sz="0" w:space="0" w:color="auto"/>
              </w:divBdr>
            </w:div>
          </w:divsChild>
        </w:div>
        <w:div w:id="936326137">
          <w:marLeft w:val="0"/>
          <w:marRight w:val="0"/>
          <w:marTop w:val="0"/>
          <w:marBottom w:val="0"/>
          <w:divBdr>
            <w:top w:val="none" w:sz="0" w:space="0" w:color="auto"/>
            <w:left w:val="none" w:sz="0" w:space="0" w:color="auto"/>
            <w:bottom w:val="none" w:sz="0" w:space="0" w:color="auto"/>
            <w:right w:val="none" w:sz="0" w:space="0" w:color="auto"/>
          </w:divBdr>
          <w:divsChild>
            <w:div w:id="288360600">
              <w:marLeft w:val="0"/>
              <w:marRight w:val="0"/>
              <w:marTop w:val="0"/>
              <w:marBottom w:val="0"/>
              <w:divBdr>
                <w:top w:val="none" w:sz="0" w:space="0" w:color="auto"/>
                <w:left w:val="none" w:sz="0" w:space="0" w:color="auto"/>
                <w:bottom w:val="none" w:sz="0" w:space="0" w:color="auto"/>
                <w:right w:val="none" w:sz="0" w:space="0" w:color="auto"/>
              </w:divBdr>
            </w:div>
            <w:div w:id="1854760934">
              <w:marLeft w:val="0"/>
              <w:marRight w:val="0"/>
              <w:marTop w:val="120"/>
              <w:marBottom w:val="0"/>
              <w:divBdr>
                <w:top w:val="none" w:sz="0" w:space="0" w:color="auto"/>
                <w:left w:val="none" w:sz="0" w:space="0" w:color="auto"/>
                <w:bottom w:val="none" w:sz="0" w:space="0" w:color="auto"/>
                <w:right w:val="none" w:sz="0" w:space="0" w:color="auto"/>
              </w:divBdr>
            </w:div>
          </w:divsChild>
        </w:div>
        <w:div w:id="1281062962">
          <w:marLeft w:val="0"/>
          <w:marRight w:val="0"/>
          <w:marTop w:val="0"/>
          <w:marBottom w:val="0"/>
          <w:divBdr>
            <w:top w:val="none" w:sz="0" w:space="0" w:color="auto"/>
            <w:left w:val="none" w:sz="0" w:space="0" w:color="auto"/>
            <w:bottom w:val="none" w:sz="0" w:space="0" w:color="auto"/>
            <w:right w:val="none" w:sz="0" w:space="0" w:color="auto"/>
          </w:divBdr>
          <w:divsChild>
            <w:div w:id="1238127851">
              <w:marLeft w:val="0"/>
              <w:marRight w:val="0"/>
              <w:marTop w:val="0"/>
              <w:marBottom w:val="0"/>
              <w:divBdr>
                <w:top w:val="none" w:sz="0" w:space="0" w:color="auto"/>
                <w:left w:val="none" w:sz="0" w:space="0" w:color="auto"/>
                <w:bottom w:val="none" w:sz="0" w:space="0" w:color="auto"/>
                <w:right w:val="none" w:sz="0" w:space="0" w:color="auto"/>
              </w:divBdr>
            </w:div>
            <w:div w:id="21169450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5154196">
      <w:bodyDiv w:val="1"/>
      <w:marLeft w:val="0"/>
      <w:marRight w:val="0"/>
      <w:marTop w:val="0"/>
      <w:marBottom w:val="0"/>
      <w:divBdr>
        <w:top w:val="none" w:sz="0" w:space="0" w:color="auto"/>
        <w:left w:val="none" w:sz="0" w:space="0" w:color="auto"/>
        <w:bottom w:val="none" w:sz="0" w:space="0" w:color="auto"/>
        <w:right w:val="none" w:sz="0" w:space="0" w:color="auto"/>
      </w:divBdr>
    </w:div>
    <w:div w:id="2082676885">
      <w:bodyDiv w:val="1"/>
      <w:marLeft w:val="0"/>
      <w:marRight w:val="0"/>
      <w:marTop w:val="0"/>
      <w:marBottom w:val="0"/>
      <w:divBdr>
        <w:top w:val="none" w:sz="0" w:space="0" w:color="auto"/>
        <w:left w:val="none" w:sz="0" w:space="0" w:color="auto"/>
        <w:bottom w:val="none" w:sz="0" w:space="0" w:color="auto"/>
        <w:right w:val="none" w:sz="0" w:space="0" w:color="auto"/>
      </w:divBdr>
    </w:div>
    <w:div w:id="2083721096">
      <w:bodyDiv w:val="1"/>
      <w:marLeft w:val="0"/>
      <w:marRight w:val="0"/>
      <w:marTop w:val="0"/>
      <w:marBottom w:val="0"/>
      <w:divBdr>
        <w:top w:val="none" w:sz="0" w:space="0" w:color="auto"/>
        <w:left w:val="none" w:sz="0" w:space="0" w:color="auto"/>
        <w:bottom w:val="none" w:sz="0" w:space="0" w:color="auto"/>
        <w:right w:val="none" w:sz="0" w:space="0" w:color="auto"/>
      </w:divBdr>
    </w:div>
    <w:div w:id="2094737452">
      <w:bodyDiv w:val="1"/>
      <w:marLeft w:val="0"/>
      <w:marRight w:val="0"/>
      <w:marTop w:val="0"/>
      <w:marBottom w:val="0"/>
      <w:divBdr>
        <w:top w:val="none" w:sz="0" w:space="0" w:color="auto"/>
        <w:left w:val="none" w:sz="0" w:space="0" w:color="auto"/>
        <w:bottom w:val="none" w:sz="0" w:space="0" w:color="auto"/>
        <w:right w:val="none" w:sz="0" w:space="0" w:color="auto"/>
      </w:divBdr>
      <w:divsChild>
        <w:div w:id="226110594">
          <w:marLeft w:val="0"/>
          <w:marRight w:val="0"/>
          <w:marTop w:val="0"/>
          <w:marBottom w:val="0"/>
          <w:divBdr>
            <w:top w:val="none" w:sz="0" w:space="0" w:color="auto"/>
            <w:left w:val="none" w:sz="0" w:space="0" w:color="auto"/>
            <w:bottom w:val="none" w:sz="0" w:space="0" w:color="auto"/>
            <w:right w:val="none" w:sz="0" w:space="0" w:color="auto"/>
          </w:divBdr>
        </w:div>
        <w:div w:id="367342769">
          <w:marLeft w:val="0"/>
          <w:marRight w:val="0"/>
          <w:marTop w:val="120"/>
          <w:marBottom w:val="0"/>
          <w:divBdr>
            <w:top w:val="none" w:sz="0" w:space="0" w:color="auto"/>
            <w:left w:val="none" w:sz="0" w:space="0" w:color="auto"/>
            <w:bottom w:val="none" w:sz="0" w:space="0" w:color="auto"/>
            <w:right w:val="none" w:sz="0" w:space="0" w:color="auto"/>
          </w:divBdr>
        </w:div>
      </w:divsChild>
    </w:div>
    <w:div w:id="2103258134">
      <w:bodyDiv w:val="1"/>
      <w:marLeft w:val="0"/>
      <w:marRight w:val="0"/>
      <w:marTop w:val="0"/>
      <w:marBottom w:val="0"/>
      <w:divBdr>
        <w:top w:val="none" w:sz="0" w:space="0" w:color="auto"/>
        <w:left w:val="none" w:sz="0" w:space="0" w:color="auto"/>
        <w:bottom w:val="none" w:sz="0" w:space="0" w:color="auto"/>
        <w:right w:val="none" w:sz="0" w:space="0" w:color="auto"/>
      </w:divBdr>
      <w:divsChild>
        <w:div w:id="1911303835">
          <w:marLeft w:val="0"/>
          <w:marRight w:val="0"/>
          <w:marTop w:val="0"/>
          <w:marBottom w:val="0"/>
          <w:divBdr>
            <w:top w:val="none" w:sz="0" w:space="0" w:color="auto"/>
            <w:left w:val="none" w:sz="0" w:space="0" w:color="auto"/>
            <w:bottom w:val="none" w:sz="0" w:space="0" w:color="auto"/>
            <w:right w:val="none" w:sz="0" w:space="0" w:color="auto"/>
          </w:divBdr>
        </w:div>
      </w:divsChild>
    </w:div>
    <w:div w:id="2106535612">
      <w:bodyDiv w:val="1"/>
      <w:marLeft w:val="0"/>
      <w:marRight w:val="0"/>
      <w:marTop w:val="0"/>
      <w:marBottom w:val="0"/>
      <w:divBdr>
        <w:top w:val="none" w:sz="0" w:space="0" w:color="auto"/>
        <w:left w:val="none" w:sz="0" w:space="0" w:color="auto"/>
        <w:bottom w:val="none" w:sz="0" w:space="0" w:color="auto"/>
        <w:right w:val="none" w:sz="0" w:space="0" w:color="auto"/>
      </w:divBdr>
      <w:divsChild>
        <w:div w:id="978650783">
          <w:marLeft w:val="0"/>
          <w:marRight w:val="0"/>
          <w:marTop w:val="0"/>
          <w:marBottom w:val="0"/>
          <w:divBdr>
            <w:top w:val="none" w:sz="0" w:space="0" w:color="auto"/>
            <w:left w:val="none" w:sz="0" w:space="0" w:color="auto"/>
            <w:bottom w:val="none" w:sz="0" w:space="0" w:color="auto"/>
            <w:right w:val="none" w:sz="0" w:space="0" w:color="auto"/>
          </w:divBdr>
          <w:divsChild>
            <w:div w:id="1134298885">
              <w:marLeft w:val="0"/>
              <w:marRight w:val="0"/>
              <w:marTop w:val="0"/>
              <w:marBottom w:val="0"/>
              <w:divBdr>
                <w:top w:val="none" w:sz="0" w:space="0" w:color="auto"/>
                <w:left w:val="none" w:sz="0" w:space="0" w:color="auto"/>
                <w:bottom w:val="none" w:sz="0" w:space="0" w:color="auto"/>
                <w:right w:val="none" w:sz="0" w:space="0" w:color="auto"/>
              </w:divBdr>
              <w:divsChild>
                <w:div w:id="153450162">
                  <w:marLeft w:val="0"/>
                  <w:marRight w:val="0"/>
                  <w:marTop w:val="0"/>
                  <w:marBottom w:val="0"/>
                  <w:divBdr>
                    <w:top w:val="none" w:sz="0" w:space="0" w:color="auto"/>
                    <w:left w:val="none" w:sz="0" w:space="0" w:color="auto"/>
                    <w:bottom w:val="none" w:sz="0" w:space="0" w:color="auto"/>
                    <w:right w:val="none" w:sz="0" w:space="0" w:color="auto"/>
                  </w:divBdr>
                </w:div>
                <w:div w:id="1222130222">
                  <w:marLeft w:val="0"/>
                  <w:marRight w:val="0"/>
                  <w:marTop w:val="120"/>
                  <w:marBottom w:val="0"/>
                  <w:divBdr>
                    <w:top w:val="none" w:sz="0" w:space="0" w:color="auto"/>
                    <w:left w:val="none" w:sz="0" w:space="0" w:color="auto"/>
                    <w:bottom w:val="none" w:sz="0" w:space="0" w:color="auto"/>
                    <w:right w:val="none" w:sz="0" w:space="0" w:color="auto"/>
                  </w:divBdr>
                </w:div>
              </w:divsChild>
            </w:div>
            <w:div w:id="1280911885">
              <w:marLeft w:val="0"/>
              <w:marRight w:val="0"/>
              <w:marTop w:val="0"/>
              <w:marBottom w:val="0"/>
              <w:divBdr>
                <w:top w:val="none" w:sz="0" w:space="0" w:color="auto"/>
                <w:left w:val="none" w:sz="0" w:space="0" w:color="auto"/>
                <w:bottom w:val="none" w:sz="0" w:space="0" w:color="auto"/>
                <w:right w:val="none" w:sz="0" w:space="0" w:color="auto"/>
              </w:divBdr>
              <w:divsChild>
                <w:div w:id="1075973760">
                  <w:marLeft w:val="0"/>
                  <w:marRight w:val="0"/>
                  <w:marTop w:val="0"/>
                  <w:marBottom w:val="0"/>
                  <w:divBdr>
                    <w:top w:val="none" w:sz="0" w:space="0" w:color="auto"/>
                    <w:left w:val="none" w:sz="0" w:space="0" w:color="auto"/>
                    <w:bottom w:val="none" w:sz="0" w:space="0" w:color="auto"/>
                    <w:right w:val="none" w:sz="0" w:space="0" w:color="auto"/>
                  </w:divBdr>
                </w:div>
                <w:div w:id="11252679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0965783">
          <w:marLeft w:val="0"/>
          <w:marRight w:val="0"/>
          <w:marTop w:val="120"/>
          <w:marBottom w:val="0"/>
          <w:divBdr>
            <w:top w:val="none" w:sz="0" w:space="0" w:color="auto"/>
            <w:left w:val="none" w:sz="0" w:space="0" w:color="auto"/>
            <w:bottom w:val="none" w:sz="0" w:space="0" w:color="auto"/>
            <w:right w:val="none" w:sz="0" w:space="0" w:color="auto"/>
          </w:divBdr>
        </w:div>
      </w:divsChild>
    </w:div>
    <w:div w:id="2120374635">
      <w:bodyDiv w:val="1"/>
      <w:marLeft w:val="0"/>
      <w:marRight w:val="0"/>
      <w:marTop w:val="0"/>
      <w:marBottom w:val="0"/>
      <w:divBdr>
        <w:top w:val="none" w:sz="0" w:space="0" w:color="auto"/>
        <w:left w:val="none" w:sz="0" w:space="0" w:color="auto"/>
        <w:bottom w:val="none" w:sz="0" w:space="0" w:color="auto"/>
        <w:right w:val="none" w:sz="0" w:space="0" w:color="auto"/>
      </w:divBdr>
    </w:div>
    <w:div w:id="2129666629">
      <w:bodyDiv w:val="1"/>
      <w:marLeft w:val="0"/>
      <w:marRight w:val="0"/>
      <w:marTop w:val="0"/>
      <w:marBottom w:val="0"/>
      <w:divBdr>
        <w:top w:val="none" w:sz="0" w:space="0" w:color="auto"/>
        <w:left w:val="none" w:sz="0" w:space="0" w:color="auto"/>
        <w:bottom w:val="none" w:sz="0" w:space="0" w:color="auto"/>
        <w:right w:val="none" w:sz="0" w:space="0" w:color="auto"/>
      </w:divBdr>
    </w:div>
    <w:div w:id="2134207184">
      <w:bodyDiv w:val="1"/>
      <w:marLeft w:val="0"/>
      <w:marRight w:val="0"/>
      <w:marTop w:val="0"/>
      <w:marBottom w:val="0"/>
      <w:divBdr>
        <w:top w:val="none" w:sz="0" w:space="0" w:color="auto"/>
        <w:left w:val="none" w:sz="0" w:space="0" w:color="auto"/>
        <w:bottom w:val="none" w:sz="0" w:space="0" w:color="auto"/>
        <w:right w:val="none" w:sz="0" w:space="0" w:color="auto"/>
      </w:divBdr>
    </w:div>
    <w:div w:id="2139638045">
      <w:bodyDiv w:val="1"/>
      <w:marLeft w:val="0"/>
      <w:marRight w:val="0"/>
      <w:marTop w:val="0"/>
      <w:marBottom w:val="0"/>
      <w:divBdr>
        <w:top w:val="none" w:sz="0" w:space="0" w:color="auto"/>
        <w:left w:val="none" w:sz="0" w:space="0" w:color="auto"/>
        <w:bottom w:val="none" w:sz="0" w:space="0" w:color="auto"/>
        <w:right w:val="none" w:sz="0" w:space="0" w:color="auto"/>
      </w:divBdr>
      <w:divsChild>
        <w:div w:id="162429148">
          <w:marLeft w:val="0"/>
          <w:marRight w:val="0"/>
          <w:marTop w:val="0"/>
          <w:marBottom w:val="0"/>
          <w:divBdr>
            <w:top w:val="none" w:sz="0" w:space="0" w:color="auto"/>
            <w:left w:val="none" w:sz="0" w:space="0" w:color="auto"/>
            <w:bottom w:val="none" w:sz="0" w:space="0" w:color="auto"/>
            <w:right w:val="none" w:sz="0" w:space="0" w:color="auto"/>
          </w:divBdr>
          <w:divsChild>
            <w:div w:id="624695998">
              <w:marLeft w:val="0"/>
              <w:marRight w:val="0"/>
              <w:marTop w:val="0"/>
              <w:marBottom w:val="0"/>
              <w:divBdr>
                <w:top w:val="none" w:sz="0" w:space="0" w:color="auto"/>
                <w:left w:val="none" w:sz="0" w:space="0" w:color="auto"/>
                <w:bottom w:val="none" w:sz="0" w:space="0" w:color="auto"/>
                <w:right w:val="none" w:sz="0" w:space="0" w:color="auto"/>
              </w:divBdr>
              <w:divsChild>
                <w:div w:id="1057633041">
                  <w:marLeft w:val="0"/>
                  <w:marRight w:val="0"/>
                  <w:marTop w:val="0"/>
                  <w:marBottom w:val="0"/>
                  <w:divBdr>
                    <w:top w:val="none" w:sz="0" w:space="0" w:color="auto"/>
                    <w:left w:val="none" w:sz="0" w:space="0" w:color="auto"/>
                    <w:bottom w:val="none" w:sz="0" w:space="0" w:color="auto"/>
                    <w:right w:val="none" w:sz="0" w:space="0" w:color="auto"/>
                  </w:divBdr>
                  <w:divsChild>
                    <w:div w:id="792793888">
                      <w:marLeft w:val="0"/>
                      <w:marRight w:val="0"/>
                      <w:marTop w:val="0"/>
                      <w:marBottom w:val="0"/>
                      <w:divBdr>
                        <w:top w:val="none" w:sz="0" w:space="0" w:color="auto"/>
                        <w:left w:val="none" w:sz="0" w:space="0" w:color="auto"/>
                        <w:bottom w:val="none" w:sz="0" w:space="0" w:color="auto"/>
                        <w:right w:val="none" w:sz="0" w:space="0" w:color="auto"/>
                      </w:divBdr>
                    </w:div>
                    <w:div w:id="14611424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01218237">
          <w:marLeft w:val="0"/>
          <w:marRight w:val="0"/>
          <w:marTop w:val="0"/>
          <w:marBottom w:val="0"/>
          <w:divBdr>
            <w:top w:val="none" w:sz="0" w:space="0" w:color="auto"/>
            <w:left w:val="none" w:sz="0" w:space="0" w:color="auto"/>
            <w:bottom w:val="none" w:sz="0" w:space="0" w:color="auto"/>
            <w:right w:val="none" w:sz="0" w:space="0" w:color="auto"/>
          </w:divBdr>
          <w:divsChild>
            <w:div w:id="7321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AUTO/?uri=celex:32013R0575R%2802%29" TargetMode="External"/><Relationship Id="rId18" Type="http://schemas.openxmlformats.org/officeDocument/2006/relationships/hyperlink" Target="https://eur-lex.europa.eu/legal-content/RO/TXT/?uri=CELEX%3A02013R0575-20240101&amp;qid=1708947031554" TargetMode="External"/><Relationship Id="rId26" Type="http://schemas.openxmlformats.org/officeDocument/2006/relationships/hyperlink" Target="https://eur-lex.europa.eu/legal-content/RO/AUTO/?uri=celex:32019R2160" TargetMode="External"/><Relationship Id="rId39" Type="http://schemas.openxmlformats.org/officeDocument/2006/relationships/hyperlink" Target="https://eur-lex.europa.eu/legal-content/RO/AUTO/?uri=celex:32024R1623" TargetMode="External"/><Relationship Id="rId21" Type="http://schemas.openxmlformats.org/officeDocument/2006/relationships/hyperlink" Target="https://eur-lex.europa.eu/legal-content/RO/AUTO/?uri=celex:32019R2160" TargetMode="External"/><Relationship Id="rId34" Type="http://schemas.openxmlformats.org/officeDocument/2006/relationships/image" Target="media/image8.jpeg"/><Relationship Id="rId42" Type="http://schemas.openxmlformats.org/officeDocument/2006/relationships/hyperlink" Target="https://eur-lex.europa.eu/legal-content/RO/AUTO/?uri=celex:32019R0876" TargetMode="External"/><Relationship Id="rId47" Type="http://schemas.openxmlformats.org/officeDocument/2006/relationships/hyperlink" Target="https://eur-lex.europa.eu/legal-content/RO/AUTO/?uri=celex:32019R0876" TargetMode="External"/><Relationship Id="rId50" Type="http://schemas.openxmlformats.org/officeDocument/2006/relationships/hyperlink" Target="https://eur-lex.europa.eu/legal-content/RO/AUTO/?uri=celex:32019R0876" TargetMode="External"/><Relationship Id="rId55" Type="http://schemas.openxmlformats.org/officeDocument/2006/relationships/hyperlink" Target="https://eur-lex.europa.eu/legal-content/RO/AUTO/?uri=celex:32013R0575R%2802%2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RO/AUTO/?uri=celex:32024R1623" TargetMode="External"/><Relationship Id="rId29" Type="http://schemas.openxmlformats.org/officeDocument/2006/relationships/image" Target="media/image3.jpeg"/><Relationship Id="rId11" Type="http://schemas.openxmlformats.org/officeDocument/2006/relationships/hyperlink" Target="https://eur-lex.europa.eu/legal-content/RO/TXT/?uri=CELEX%3A02013R0575-20230628&amp;qid=1645079008920" TargetMode="External"/><Relationship Id="rId24" Type="http://schemas.openxmlformats.org/officeDocument/2006/relationships/hyperlink" Target="https://eur-lex.europa.eu/legal-content/RO/AUTO/?uri=celex:32019R2160" TargetMode="External"/><Relationship Id="rId32" Type="http://schemas.openxmlformats.org/officeDocument/2006/relationships/image" Target="media/image6.jpeg"/><Relationship Id="rId37" Type="http://schemas.openxmlformats.org/officeDocument/2006/relationships/hyperlink" Target="https://eur-lex.europa.eu/legal-content/RO/AUTO/?uri=celex:32013R0575R%2802%29" TargetMode="External"/><Relationship Id="rId40" Type="http://schemas.openxmlformats.org/officeDocument/2006/relationships/hyperlink" Target="https://eur-lex.europa.eu/legal-content/RO/AUTO/?uri=celex:32019R0876" TargetMode="External"/><Relationship Id="rId45" Type="http://schemas.openxmlformats.org/officeDocument/2006/relationships/hyperlink" Target="https://eur-lex.europa.eu/legal-content/RO/AUTO/?uri=celex:32019R0876" TargetMode="External"/><Relationship Id="rId53" Type="http://schemas.openxmlformats.org/officeDocument/2006/relationships/hyperlink" Target="https://eur-lex.europa.eu/legal-content/RO/AUTO/?uri=celex:32024R1623"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eur-lex.europa.eu/legal-content/RO/AUTO/?uri=celex:32019R2160" TargetMode="External"/><Relationship Id="rId14" Type="http://schemas.openxmlformats.org/officeDocument/2006/relationships/hyperlink" Target="https://eur-lex.europa.eu/legal-content/RO/AUTO/?uri=celex:32024R1623" TargetMode="External"/><Relationship Id="rId22" Type="http://schemas.openxmlformats.org/officeDocument/2006/relationships/hyperlink" Target="https://eur-lex.europa.eu/legal-content/RO/AUTO/?uri=celex:32013R0575R%2802%29" TargetMode="External"/><Relationship Id="rId27" Type="http://schemas.openxmlformats.org/officeDocument/2006/relationships/image" Target="media/image1.jpeg"/><Relationship Id="rId30" Type="http://schemas.openxmlformats.org/officeDocument/2006/relationships/image" Target="media/image4.jpeg"/><Relationship Id="rId35" Type="http://schemas.openxmlformats.org/officeDocument/2006/relationships/hyperlink" Target="https://eur-lex.europa.eu/legal-content/RO/AUTO/?uri=celex:32024R1623" TargetMode="External"/><Relationship Id="rId43" Type="http://schemas.openxmlformats.org/officeDocument/2006/relationships/image" Target="media/image9.jpeg"/><Relationship Id="rId48" Type="http://schemas.openxmlformats.org/officeDocument/2006/relationships/hyperlink" Target="https://eur-lex.europa.eu/legal-content/RO/AUTO/?uri=celex:32019R0876"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eur-lex.europa.eu/legal-content/RO/AUTO/?uri=celex:32024R1623" TargetMode="External"/><Relationship Id="rId3" Type="http://schemas.openxmlformats.org/officeDocument/2006/relationships/customXml" Target="../customXml/item3.xml"/><Relationship Id="rId12" Type="http://schemas.openxmlformats.org/officeDocument/2006/relationships/hyperlink" Target="https://eur-lex.europa.eu/legal-content/RO/AUTO/?uri=celex:32019R0876" TargetMode="External"/><Relationship Id="rId17" Type="http://schemas.openxmlformats.org/officeDocument/2006/relationships/hyperlink" Target="https://eur-lex.europa.eu/legal-content/RO/AUTO/?uri=celex:32019R2160" TargetMode="External"/><Relationship Id="rId25" Type="http://schemas.openxmlformats.org/officeDocument/2006/relationships/hyperlink" Target="https://eur-lex.europa.eu/legal-content/RO/AUTO/?uri=celex:32019R2160" TargetMode="External"/><Relationship Id="rId33" Type="http://schemas.openxmlformats.org/officeDocument/2006/relationships/image" Target="media/image7.jpeg"/><Relationship Id="rId38" Type="http://schemas.openxmlformats.org/officeDocument/2006/relationships/hyperlink" Target="https://eur-lex.europa.eu/legal-content/RO/AUTO/?uri=celex:32024R1623" TargetMode="External"/><Relationship Id="rId46" Type="http://schemas.openxmlformats.org/officeDocument/2006/relationships/hyperlink" Target="https://eur-lex.europa.eu/legal-content/RO/AUTO/?uri=celex:32024R1623" TargetMode="External"/><Relationship Id="rId59" Type="http://schemas.openxmlformats.org/officeDocument/2006/relationships/footer" Target="footer2.xml"/><Relationship Id="rId20" Type="http://schemas.openxmlformats.org/officeDocument/2006/relationships/hyperlink" Target="https://eur-lex.europa.eu/legal-content/RO/AUTO/?uri=celex:32013R0575R%2802%29" TargetMode="External"/><Relationship Id="rId41" Type="http://schemas.openxmlformats.org/officeDocument/2006/relationships/hyperlink" Target="https://eur-lex.europa.eu/legal-content/RO/AUTO/?uri=celex:32024R1623" TargetMode="External"/><Relationship Id="rId54" Type="http://schemas.openxmlformats.org/officeDocument/2006/relationships/hyperlink" Target="https://eur-lex.europa.eu/legal-content/RO/AUTO/?uri=celex:32019R0876"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lex.europa.eu/legal-content/RO/AUTO/?uri=celex:32013R0575R%2802%29" TargetMode="External"/><Relationship Id="rId23" Type="http://schemas.openxmlformats.org/officeDocument/2006/relationships/hyperlink" Target="https://eur-lex.europa.eu/legal-content/RO/AUTO/?uri=celex:32019R2160" TargetMode="External"/><Relationship Id="rId28" Type="http://schemas.openxmlformats.org/officeDocument/2006/relationships/image" Target="media/image2.jpeg"/><Relationship Id="rId36" Type="http://schemas.openxmlformats.org/officeDocument/2006/relationships/hyperlink" Target="https://eur-lex.europa.eu/legal-content/RO/AUTO/?uri=celex:32024R1623" TargetMode="External"/><Relationship Id="rId49" Type="http://schemas.openxmlformats.org/officeDocument/2006/relationships/hyperlink" Target="https://eur-lex.europa.eu/legal-content/RO/AUTO/?uri=celex:32024R1623"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image" Target="media/image5.jpeg"/><Relationship Id="rId44" Type="http://schemas.openxmlformats.org/officeDocument/2006/relationships/hyperlink" Target="https://eur-lex.europa.eu/legal-content/RO/AUTO/?uri=celex:32019R0876R%2811%29" TargetMode="External"/><Relationship Id="rId52" Type="http://schemas.openxmlformats.org/officeDocument/2006/relationships/hyperlink" Target="https://eur-lex.europa.eu/legal-content/RO/AUTO/?uri=celex:32019R0876"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3D102-30B6-4D33-937A-8655F64D821A}">
  <ds:schemaRefs>
    <ds:schemaRef ds:uri="http://schemas.openxmlformats.org/officeDocument/2006/bibliography"/>
  </ds:schemaRefs>
</ds:datastoreItem>
</file>

<file path=customXml/itemProps2.xml><?xml version="1.0" encoding="utf-8"?>
<ds:datastoreItem xmlns:ds="http://schemas.openxmlformats.org/officeDocument/2006/customXml" ds:itemID="{BA1D3947-E460-4E7E-A4BA-242D8B993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73C94-DCA8-40AE-BC54-8912CD3DDB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04024C-5915-4350-8ACE-0CBE48178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55389</Words>
  <Characters>321257</Characters>
  <Application>Microsoft Office Word</Application>
  <DocSecurity>0</DocSecurity>
  <Lines>2677</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2025-10-13T07:53:00Z</cp:lastPrinted>
  <dcterms:created xsi:type="dcterms:W3CDTF">2025-10-13T07:54:00Z</dcterms:created>
  <dcterms:modified xsi:type="dcterms:W3CDTF">2025-10-13T07:54:00Z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0x01010041CC8FD9FC602D47942046F00E7457D2</vt:lpwstr>
  </property>
  <property fmtid="{D5CDD505-2E9C-101B-9397-08002B2CF9AE}" pid="3" name="TitusGUID">
    <vt:lpwstr>da421007-e4ca-427f-846e-06ed34b4b3fe</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2025-02-12T07:16:22Z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34f25fb5-ba26-40b4-8647-27e0c910e656</vt:lpwstr>
  </property>
  <property fmtid="{D5CDD505-2E9C-101B-9397-08002B2CF9AE}" pid="11" name="MSIP_Label_38962dcf-d39f-4edc-a396-338a56ba9170_ContentBits">
    <vt:lpwstr>0</vt:lpwstr>
  </property>
</Properties>
</file>